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Projet GNL — Contexte professionnel &amp; explication détaillée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22"/>
          <w:szCs w:val="22"/>
        </w:rPr>
        <w:t xml:space="preserve">Modèle d'arbitrage et de routing de cargaisons GNL — Luca Desplat</w:t>
      </w:r>
    </w:p>
    <w:p>
      <w:pPr>
        <w:spacing w:after="120" w:line="276"/>
      </w:pPr>
      <w:r>
        <w:t xml:space="preserve">Ce document accompagne le guide de construction et les prompts Claude Code. Il rappelle </w:t>
      </w:r>
      <w:r>
        <w:rPr>
          <w:i/>
          <w:iCs/>
        </w:rPr>
        <w:t xml:space="preserve">pourquoi</w:t>
      </w:r>
      <w:r>
        <w:t xml:space="preserve"> tu construis ce projet (ton projet professionnel), puis explique le </w:t>
      </w:r>
      <w:r>
        <w:rPr>
          <w:i/>
          <w:iCs/>
        </w:rPr>
        <w:t xml:space="preserve">fond</w:t>
      </w:r>
      <w:r>
        <w:t xml:space="preserve"> : chaque formule, pourquoi elle a cette forme, et comment rester au plus près du réel. Tu peux aussi le donner à Claude Code comme contexte : il comprendra l'intention et pourra t'expliquer les choix, pas seulement produire du code.</w:t>
      </w:r>
    </w:p>
    <w:p>
      <w:pPr>
        <w:pStyle w:val="Heading1"/>
      </w:pPr>
      <w:r>
        <w:t xml:space="preserve">Partie 1 — Mon projet professionnel (le « pourquoi »)</w:t>
      </w:r>
    </w:p>
    <w:p>
      <w:pPr>
        <w:spacing w:after="120" w:line="276"/>
      </w:pPr>
      <w:r>
        <w:rPr>
          <w:b/>
          <w:bCs/>
        </w:rPr>
        <w:t xml:space="preserve">Qui je suis. </w:t>
      </w:r>
      <w:r>
        <w:t xml:space="preserve">Élève ingénieur à l'ICAM Toulouse en formation par alternance, apprenti chargé d'affaires chez SPIECAPAG (groupe VINCI) sur des projets d'infrastructures gazières — gazoducs, tuyauterie industrielle, stations de compression et d'essai. J'ai donc une connaissance concrète du gaz physique : les flux, les ouvrages, la logistique. Mon mémoire d'ingénieur (MSI) est orienté Data Science / IA, donc côté Python et data science, je serai déjà couvert.</w:t>
      </w:r>
    </w:p>
    <w:p>
      <w:pPr>
        <w:spacing w:after="120" w:line="276"/>
      </w:pPr>
      <w:r>
        <w:rPr>
          <w:b/>
          <w:bCs/>
        </w:rPr>
        <w:t xml:space="preserve">Où je vais. </w:t>
      </w:r>
      <w:r>
        <w:t xml:space="preserve">Mon objectif est d'intégrer l'IFP School, master Énergie et Marchés (ENM), à la rentrée 2027, en alternance. C'est la formation de référence pour passer de l'ingénierie énergétique vers les marchés de l'énergie : trading, analyse de marché, gestion des risques, energy management. Ma cible métier : analyse de marché / trading dans l'énergie, spécialité gaz/GNL, sur un axe Paris d'abord, Genève ensuite.</w:t>
      </w:r>
    </w:p>
    <w:p>
      <w:pPr>
        <w:spacing w:after="120" w:line="276"/>
      </w:pPr>
      <w:r>
        <w:rPr>
          <w:b/>
          <w:bCs/>
        </w:rPr>
        <w:t xml:space="preserve">Le fil rouge de ma candidature. </w:t>
      </w:r>
      <w:r>
        <w:t xml:space="preserve">Mon atout différenciant, c'est le pont entre deux mondes : je viens du gaz physique (SPIECAPAG) et je vais vers les marchés (IFP). Or les marchés du gaz et du GNL, ce sont exactement ça : des flux physiques qui deviennent des prix et des arbitrages. Mon expérience terrain n'est pas un hors-sujet, c'est une base rare que peu de candidats « finance » possèdent.</w:t>
      </w:r>
    </w:p>
    <w:p>
      <w:pPr>
        <w:spacing w:after="120" w:line="276"/>
      </w:pPr>
      <w:r>
        <w:rPr>
          <w:b/>
          <w:bCs/>
        </w:rPr>
        <w:t xml:space="preserve">Pourquoi ce projet personnel. </w:t>
      </w:r>
      <w:r>
        <w:t xml:space="preserve">Un recruteur ou un jury se demande toujours si un ingénieur qui dit vouloir aller vers les marchés en comprend vraiment la mécanique commerciale, ou s'il en a seulement l'envie. Ce projet répond à la question par une preuve : j'ai reconstruit le calcul que fait un opérateur GNL tous les jours. Il est complémentaire de mon mémoire : le mémoire prouve l'IA/le code, le projet prouve la compréhension des marchés et la maîtrise d'Excel. Ensemble, ils rendent ma candidature cohérente et me donnent une vraie matière d'entretien.</w:t>
      </w:r>
    </w:p>
    <w:p>
      <w:pPr>
        <w:pStyle w:val="Heading1"/>
      </w:pPr>
      <w:r>
        <w:t xml:space="preserve">Partie 2 — L'esprit du projet : une simulation au plus proche du réel</w:t>
      </w:r>
    </w:p>
    <w:p>
      <w:pPr>
        <w:spacing w:after="120" w:line="276"/>
      </w:pPr>
      <w:r>
        <w:t xml:space="preserve">Le but n'est pas un exercice scolaire, mais de simuler une décision réelle de desk GNL. On reproduit le raisonnement d'un trader/opérateur, avec de vraies données là où elles sont accessibles gratuitement, et des hypothèses assumées et documentées là où la donnée est payante (le prix asiatique JKM, les taux d'affrètement).</w:t>
      </w:r>
    </w:p>
    <w:p>
      <w:pPr>
        <w:spacing w:after="120" w:line="276"/>
      </w:pPr>
      <w:r>
        <w:rPr>
          <w:b/>
          <w:bCs/>
        </w:rPr>
        <w:t xml:space="preserve">La situation qu'on simule. </w:t>
      </w:r>
      <w:r>
        <w:t xml:space="preserve">Une cargaison de GNL est chargée au Golfe du Mexique (type Sabine Pass). Le détenteur de la cargaison doit décider : la livrer en Europe (valorisée au prix TTF) ou en Asie (valorisée au prix JKM) ? C'est une décision d'arbitrage et de routing : on envoie la cargaison là où elle rapporte le plus, une fois retirés les coûts de transport.</w:t>
      </w:r>
    </w:p>
    <w:p>
      <w:pPr>
        <w:spacing w:after="120" w:line="276"/>
      </w:pPr>
      <w:r>
        <w:rPr>
          <w:b/>
          <w:bCs/>
        </w:rPr>
        <w:t xml:space="preserve">Le déroulé réel reproduit : </w:t>
      </w:r>
      <w:r>
        <w:t xml:space="preserve">cargaison chargée → on évalue la valeur nette de chaque destination → on choisit la route qui maximise cette valeur → (extension) on exécute côté opérations. Le modèle doit refléter ce raisonnement, avec les bons ordres de grandeur, les bonnes unités, et une conclusion défendable.</w:t>
      </w:r>
    </w:p>
    <w:p>
      <w:pPr>
        <w:pStyle w:val="Heading1"/>
      </w:pPr>
      <w:r>
        <w:t xml:space="preserve">Partie 3 — Le détail du projet et le POURQUOI de chaque formule</w:t>
      </w:r>
    </w:p>
    <w:p>
      <w:pPr>
        <w:spacing w:after="120" w:line="276"/>
      </w:pPr>
      <w:r>
        <w:t xml:space="preserve">Pour chaque brique : ce qu'on calcule, la formule, et surtout le raisonnement économique derrière.</w:t>
      </w:r>
    </w:p>
    <w:p>
      <w:pPr>
        <w:pStyle w:val="Heading2"/>
      </w:pPr>
      <w:r>
        <w:t xml:space="preserve">1. Le netback — la notion centrale</w:t>
      </w:r>
    </w:p>
    <w:p>
      <w:pPr>
        <w:spacing w:after="120" w:line="276"/>
      </w:pPr>
      <w:r>
        <w:rPr>
          <w:b/>
          <w:bCs/>
        </w:rPr>
        <w:t xml:space="preserve">Ce que c'est. </w:t>
      </w:r>
      <w:r>
        <w:t xml:space="preserve">Le netback d'une destination, c'est la valeur nette que rapporte la cargaison si on la vend à cette destination, ramenée au point de chargement — c'est-à-dire le prix de marché moins tous les coûts variables pour y acheminer et livrer le gaz.</w:t>
      </w:r>
    </w:p>
    <w:p>
      <w:pPr>
        <w:spacing w:after="120" w:line="276"/>
      </w:pPr>
      <w:r>
        <w:rPr>
          <w:b/>
          <w:bCs/>
        </w:rPr>
        <w:t xml:space="preserve">La formule.</w:t>
      </w:r>
    </w:p>
    <w:p>
      <w:pP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netback(destination) = prix_rendu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− coût_FOB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− fret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− perte_boil_off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− frais_regaz</w:t>
      </w:r>
    </w:p>
    <w:p>
      <w:pPr>
        <w:spacing w:after="120" w:line="276"/>
      </w:pPr>
      <w:r>
        <w:rPr>
          <w:b/>
          <w:bCs/>
        </w:rPr>
        <w:t xml:space="preserve">Pourquoi raisonner en netback ? </w:t>
      </w:r>
      <w:r>
        <w:t xml:space="preserve">Parce qu'un prix affiché à Rotterdam et un prix affiché à Tokyo ne sont pas comparables tels quels : aller à Tokyo coûte beaucoup plus cher en transport. Le netback « nettoie » chaque prix de son coût d'acheminement, ce qui rend les destinations enfin comparables. On envoie la cargaison au netback le plus élevé.</w:t>
      </w:r>
    </w:p>
    <w:p>
      <w:pPr>
        <w:spacing w:after="120" w:line="276"/>
      </w:pPr>
      <w:r>
        <w:rPr>
          <w:b/>
          <w:bCs/>
        </w:rPr>
        <w:t xml:space="preserve">Nuance importante (netback vs marge). </w:t>
      </w:r>
      <w:r>
        <w:t xml:space="preserve">Pour la décision de routing, le coût FOB est identique quelle que soit la destination : il « s'annule » dans la comparaison. Ce qui décide, c'est le delta entre destinations (prix et transport). Le FOB ne compte que si tu veux la marge/P&amp;L absolue de l'opération. Bon réflexe : le modèle calcule les deux — le netback pour choisir la route, la marge pour dire si l'opération est rentable.</w:t>
      </w:r>
    </w:p>
    <w:p>
      <w:pPr>
        <w:pStyle w:val="Heading2"/>
      </w:pPr>
      <w:r>
        <w:t xml:space="preserve">2. Le prix rendu et la question des unités</w:t>
      </w:r>
    </w:p>
    <w:p>
      <w:pPr>
        <w:spacing w:after="120" w:line="276"/>
      </w:pPr>
      <w:r>
        <w:rPr>
          <w:b/>
          <w:bCs/>
        </w:rPr>
        <w:t xml:space="preserve">Ce que c'est. </w:t>
      </w:r>
      <w:r>
        <w:t xml:space="preserve">Le prix de vente à l'arrivée (DES, Delivered Ex Ship) : TTF pour l'Europe, JKM pour l'Asie, les deux indices spot de référence.</w:t>
      </w:r>
    </w:p>
    <w:p>
      <w:pPr>
        <w:spacing w:after="120" w:line="276"/>
      </w:pPr>
      <w:r>
        <w:rPr>
          <w:b/>
          <w:bCs/>
        </w:rPr>
        <w:t xml:space="preserve">Le piège des unités. </w:t>
      </w:r>
      <w:r>
        <w:t xml:space="preserve">Le TTF est souvent coté en €/MWh, le JKM en $/MMBtu. On ne peut rien comparer sans tout ramener à la même unité et à la même devise :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TTF ($/MMBtu) = TTF (€/MWh) ÷ 3,412 × (USD/EUR)</w:t>
      </w:r>
    </w:p>
    <w:p>
      <w:pPr>
        <w:spacing w:after="120" w:line="276"/>
      </w:pPr>
      <w:r>
        <w:rPr>
          <w:b/>
          <w:bCs/>
        </w:rPr>
        <w:t xml:space="preserve">Pourquoi 3,412 ? </w:t>
      </w:r>
      <w:r>
        <w:t xml:space="preserve">C'est la conversion d'énergie : 1 MWh = 3,412 MMBtu. </w:t>
      </w:r>
      <w:r>
        <w:rPr>
          <w:b/>
          <w:bCs/>
        </w:rPr>
        <w:t xml:space="preserve">Pourquoi le taux de change ? </w:t>
      </w:r>
      <w:r>
        <w:t xml:space="preserve">Pour passer des euros aux dollars, la devise universelle du GNL. Ça peut sembler un détail, mais une erreur d'unité fausse totalement l'arbitrage : c'est précisément le genre de rigueur qu'on attend d'un analyste, et un point fort à mentionner.</w:t>
      </w:r>
    </w:p>
    <w:p>
      <w:pPr>
        <w:pStyle w:val="Heading2"/>
      </w:pPr>
      <w:r>
        <w:t xml:space="preserve">3. Le fret</w:t>
      </w:r>
    </w:p>
    <w:p>
      <w:pPr>
        <w:spacing w:after="120" w:line="276"/>
      </w:pPr>
      <w:r>
        <w:rPr>
          <w:b/>
          <w:bCs/>
        </w:rPr>
        <w:t xml:space="preserve">La formule.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fret = taux_affrètement ($/jour) × jours_de_voyage (+ péage_Panama)</w:t>
      </w:r>
    </w:p>
    <w:p>
      <w:pPr>
        <w:spacing w:after="120" w:line="276"/>
      </w:pPr>
      <w:r>
        <w:rPr>
          <w:b/>
          <w:bCs/>
        </w:rPr>
        <w:t xml:space="preserve">Pourquoi cette forme ? </w:t>
      </w:r>
      <w:r>
        <w:t xml:space="preserve">Un méthanier se loue à la journée (taux spot). Le coût total dépend donc directement de la durée du voyage. D'où l'importance de la route : US Gulf → Europe ≈ 12-15 jours ; → Asie via Panama ≈ 25-30 ; via le cap de Bonne-Espérance ≈ 35-40. Plus c'est loin, plus le fret grimpe. Le péage de Panama est un coût fixe qui s'ajoute quand on emprunte le canal.</w:t>
      </w:r>
    </w:p>
    <w:p>
      <w:pPr>
        <w:spacing w:after="120" w:line="276"/>
      </w:pPr>
      <w:r>
        <w:rPr>
          <w:b/>
          <w:bCs/>
        </w:rPr>
        <w:t xml:space="preserve">Un choix de modélisation à assumer : </w:t>
      </w:r>
      <w:r>
        <w:t xml:space="preserve">aller simple ou aller-retour ? Pour une décision sur une cargaison isolée, on prend souvent l'aller simple (le repositionnement du navire est géré à part). L'aller-retour est plus conservateur. Il faut choisir, le documenter, et savoir l'expliquer — c'est un vrai sujet d'entretien.</w:t>
      </w:r>
    </w:p>
    <w:p>
      <w:pPr>
        <w:pStyle w:val="Heading2"/>
      </w:pPr>
      <w:r>
        <w:t xml:space="preserve">4. Le boil-off</w:t>
      </w:r>
    </w:p>
    <w:p>
      <w:pPr>
        <w:spacing w:after="120" w:line="276"/>
      </w:pPr>
      <w:r>
        <w:rPr>
          <w:b/>
          <w:bCs/>
        </w:rPr>
        <w:t xml:space="preserve">Ce que c'est. </w:t>
      </w:r>
      <w:r>
        <w:t xml:space="preserve">Le GNL est transporté à −162 °C ; une petite fraction s'évapore en continu (le boil-off gas), de l'ordre de 0,1 %/jour du volume sur un méthanier moderne.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perte_boil_off ≈ taux (%/jour) × jours_de_mer × valeur_cargaison</w:t>
      </w:r>
    </w:p>
    <w:p>
      <w:pPr>
        <w:spacing w:after="120" w:line="276"/>
      </w:pPr>
      <w:r>
        <w:rPr>
          <w:b/>
          <w:bCs/>
        </w:rPr>
        <w:t xml:space="preserve">Pourquoi le soustraire ? </w:t>
      </w:r>
      <w:r>
        <w:t xml:space="preserve">Ce gaz évaporé, c'est de la cargaison que tu ne vendras pas (il sert en partie de carburant au navire). C'est une fuite de valeur proportionnelle au temps en mer. Conséquence : la distance pénalise deux fois — plus de fret et plus de boil-off. C'est un argument clé pour comprendre pourquoi un petit écart de prix TTF/JKM ne suffit pas toujours à justifier le long trajet vers l'Asie.</w:t>
      </w:r>
    </w:p>
    <w:p>
      <w:pPr>
        <w:pStyle w:val="Heading2"/>
      </w:pPr>
      <w:r>
        <w:t xml:space="preserve">5. Les frais de regazéification</w:t>
      </w:r>
    </w:p>
    <w:p>
      <w:pPr>
        <w:spacing w:after="120" w:line="276"/>
      </w:pPr>
      <w:r>
        <w:t xml:space="preserve">Pour injecter le gaz dans le réseau du pays d'arrivée, on paie un tarif de regaz au terminal importateur. Coût propre à la destination, à soustraire du prix rendu.</w:t>
      </w:r>
    </w:p>
    <w:p>
      <w:pPr>
        <w:pStyle w:val="Heading2"/>
      </w:pPr>
      <w:r>
        <w:t xml:space="preserve">6. La décision d'arbitrage</w:t>
      </w:r>
    </w:p>
    <w:p>
      <w:pPr>
        <w:shd w:fill="F2F2F2" w:color="auto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destination retenue = celle au netback le plus élevé</w:t>
      </w:r>
    </w:p>
    <w:p>
      <w:pPr>
        <w:spacing w:after="120" w:line="276"/>
      </w:pPr>
      <w:r>
        <w:rPr>
          <w:b/>
          <w:bCs/>
        </w:rPr>
        <w:t xml:space="preserve">Formulation équivalente, façon trader : </w:t>
      </w:r>
      <w:r>
        <w:t xml:space="preserve">on va en Asie si l'écart de prix (JKM − TTF) dépasse le surcoût de transport vers l'Asie par rapport à l'Europe. Les deux écritures disent la même chose ; la seconde est la manière dont un desk raisonne au quotidien — « est-ce que le spread paie le fret ? ».</w:t>
      </w:r>
    </w:p>
    <w:p>
      <w:pPr>
        <w:pStyle w:val="Heading2"/>
      </w:pPr>
      <w:r>
        <w:t xml:space="preserve">7. La table de sensibilité (le livrable qui « fait trader »)</w:t>
      </w:r>
    </w:p>
    <w:p>
      <w:pPr>
        <w:spacing w:after="120" w:line="276"/>
      </w:pPr>
      <w:r>
        <w:t xml:space="preserve">On fait varier deux paramètres : le taux de fret et l'écart de prix TTF/JKM.</w:t>
      </w:r>
    </w:p>
    <w:p>
      <w:pPr>
        <w:spacing w:after="120" w:line="276"/>
      </w:pPr>
      <w:r>
        <w:rPr>
          <w:b/>
          <w:bCs/>
        </w:rPr>
        <w:t xml:space="preserve">Pourquoi ces deux-là ? </w:t>
      </w:r>
      <w:r>
        <w:t xml:space="preserve">Parce que ce sont les plus volatils et les plus incertains — et justement tes deux hypothèses les moins solides. La table révèle la frontière de bascule : la ligne où Europe et Asie se valent. Elle répond à la vraie question d'un décideur : « à quel point ma recommandation est-elle robuste si mes hypothèses bougent ? ». C'est ce qui transforme une calculette en outil d'aide à la décision.</w:t>
      </w:r>
    </w:p>
    <w:p>
      <w:pPr>
        <w:pStyle w:val="Heading2"/>
      </w:pPr>
      <w:r>
        <w:t xml:space="preserve">8. Les hypothèses de réalisme (et pourquoi ces valeurs)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Taille de cargaison ≈ 3,5 TBtu : </w:t>
      </w:r>
      <w:r>
        <w:t xml:space="preserve">contenu énergétique d'un méthanier standard (160-174 000 m³).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Coût FOB ≈ 115 % du Henry Hub + frais de liquéfaction : </w:t>
      </w:r>
      <w:r>
        <w:t xml:space="preserve">structure typique d'un contrat d'enlèvement de GNL américain (type Sabine Pass).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Boil-off ≈ 0,1 %/jour, durées de voyage : </w:t>
      </w:r>
      <w:r>
        <w:t xml:space="preserve">selon les routes réelles.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JKM et taux de fret = hypothèses assumées </w:t>
      </w:r>
      <w:r>
        <w:t xml:space="preserve">(pas de source gratuite fiable) : à isoler dans config.py et à documenter. Bien présentées, elles montrent que tu connais les limites de ta donnée — un signe de maturité, pas une faiblesse.</w:t>
      </w:r>
    </w:p>
    <w:p>
      <w:pPr>
        <w:pStyle w:val="Heading1"/>
      </w:pPr>
      <w:r>
        <w:t xml:space="preserve">Partie 4 — Le contrat de travail avec Claude Code</w:t>
      </w:r>
    </w:p>
    <w:p>
      <w:pPr>
        <w:spacing w:after="120" w:line="276"/>
      </w:pPr>
      <w:r>
        <w:t xml:space="preserve">À coller/rappeler en plus des prompts de jalon. C'est ce qui garantit que tu comprends et que tu pilotes le projet, au lieu de le subir.</w:t>
      </w:r>
    </w:p>
    <w:p>
      <w:pPr>
        <w:shd w:fill="F2F2F2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Règles de collaboration sur ce projet 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1. Pédagogie. À chaque étape, tu expliques ce que fait le code ET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pourquoi cette formule a cette forme (le raisonnement économique,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pas seulement la syntaxe). Je dois pouvoir tout réexpliquer à l'oral.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2. Réalisme d'abord. C'est une simulation qui doit coller au réel 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privilégie les ordres de grandeur et les pratiques réelles d'un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desk GNL, et documente chaque hypothèse.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3. Dialogue sur mes idées. Quand je propose une amélioration (ex. 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passer en fret aller-retour, ajouter la valeur de l'option de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déroutage, changer une hypothèse), traite-la comme une proposition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à discuter : explique-moi les compromis (réalisme, complexité,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intérêt CV) et intègre-la si on est d'accord. Si une de mes idées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nuit au réalisme ou complique inutilement, DIS-LE-MOI franchement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plutôt que de l'appliquer en silence — je veux un vrai retour.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4. Petits pas. Un jalon à la fois, tu t'arrêtes, tu attends ma</w:t>
      </w:r>
    </w:p>
    <w:p>
      <w:pPr>
        <w:shd w:fill="F2F2F2" w:color="auto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   validation.</w:t>
      </w:r>
    </w:p>
    <w:p>
      <w:pPr>
        <w:pBdr>
          <w:left w:val="single" w:color="1F4E79" w:sz="18" w:space="12"/>
        </w:pBdr>
        <w:spacing w:after="120" w:line="276"/>
        <w:ind w:left="200"/>
      </w:pPr>
      <w:r>
        <w:rPr>
          <w:i/>
          <w:iCs/>
          <w:color w:val="595959"/>
        </w:rPr>
        <w:t xml:space="preserve">Le point 3 est important : tu veux un binôme qui discute tes idées, pas un exécutant qui dit oui à tout. C'est comme ça qu'on progresse, et c'est aussi ce qui te fera comprendre les compromis de modélisation — un sujet d'entretien en or.</w:t>
      </w:r>
    </w:p>
    <w:p>
      <w:pPr>
        <w:pStyle w:val="Heading1"/>
      </w:pPr>
      <w:r>
        <w:t xml:space="preserve">Partie 5 — Comment ça sert ma candidature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Ligne CV : </w:t>
      </w:r>
      <w:r>
        <w:t xml:space="preserve">« Modèle Python + Excel d'arbitrage de cargaisons GNL (netback Europe/Asie, fret, boil-off, sensibilité) — pipeline de données alimentant un modèle Excel décisionnel. 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 entretien : </w:t>
      </w:r>
      <w:r>
        <w:t xml:space="preserve">chaque choix du modèle (route, unités, hypothèse JKM, aller simple vs retour) est une porte ouverte pour montrer mon jugement — là où la plupart des candidats n'ont rien à faire creuser.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Pour l'IFP et l'alternance : </w:t>
      </w:r>
      <w:r>
        <w:t xml:space="preserve">la preuve concrète que le pont gaz physique → marchés que je revendique, je l'ai déjà construit de mes mains.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2026-09-10T10:32:31.148Z</dcterms:created>
  <dcterms:modified xsi:type="dcterms:W3CDTF">2026-09-10T10:32:31.159Z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