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Lucas Miguel Bastiani Honório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Criar um site que ajuda a produzir redações de escola e histórias através de AI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 xml:space="preserve"> Página inicial, página de login,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página que pergunta o que você quer criar,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página de criação de histórias e redações.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 xml:space="preserve">: 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FEB7233"/>
    <w:rsid w:val="FDEE9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11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2023-06-20T07:52:38Z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