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MANAGED SERVICES AGREEMENT</w:t>
      </w:r>
    </w:p>
    <w:p>
      <w:r>
        <w:t>Contract No. CTR-2024-006</w:t>
      </w:r>
    </w:p>
    <w:p>
      <w:r>
        <w:t>Effective Date: April 15, 2024</w:t>
      </w:r>
    </w:p>
    <w:p>
      <w:r>
        <w:t>PROVIDER: DataVista Solutions S.r.l., Rome, Italy</w:t>
      </w:r>
    </w:p>
    <w:p>
      <w:r>
        <w:t>CLIENT: Logistica Express S.r.l., Via Appia Nuova 501, 00179 Rome, Italy</w:t>
      </w:r>
    </w:p>
    <w:p>
      <w:pPr>
        <w:pStyle w:val="Heading1"/>
      </w:pPr>
      <w:r>
        <w:t>P.IVA: IT33445566778</w:t>
      </w:r>
    </w:p>
    <w:p>
      <w:r>
        <w:t>Represented by: Sig. Roberto Ferrara, General Manager</w:t>
      </w:r>
    </w:p>
    <w:p>
      <w:r>
        <w:t>Client Industry: Logistics / Transportation</w:t>
      </w:r>
    </w:p>
    <w:p>
      <w:pPr>
        <w:pStyle w:val="Heading1"/>
      </w:pPr>
      <w:r>
        <w:t>1. SERVICES AND FEES</w:t>
      </w:r>
    </w:p>
    <w:p>
      <w:r>
        <w:rPr>
          <w:b/>
          <w:sz w:val="20"/>
        </w:rPr>
        <w:t>1.1 DataVista Cloud Platform - SME License</w:t>
      </w:r>
    </w:p>
    <w:p>
      <w:pPr>
        <w:pStyle w:val="ListBullet"/>
      </w:pPr>
      <w:r>
        <w:t>Up to 50 users</w:t>
      </w:r>
    </w:p>
    <w:p>
      <w:pPr>
        <w:pStyle w:val="ListBullet"/>
      </w:pPr>
      <w:r>
        <w:t>Standard deployment</w:t>
      </w:r>
    </w:p>
    <w:p>
      <w:pPr>
        <w:pStyle w:val="ListBullet"/>
      </w:pPr>
      <w:r>
        <w:t>Annual fee: EUR 48,000.00</w:t>
      </w:r>
    </w:p>
    <w:p>
      <w:r>
        <w:rPr>
          <w:b/>
          <w:sz w:val="20"/>
        </w:rPr>
        <w:t>1.2 Fleet Management Analytics</w:t>
      </w:r>
    </w:p>
    <w:p>
      <w:pPr>
        <w:pStyle w:val="ListBullet"/>
      </w:pPr>
      <w:r>
        <w:t>GPS data integration and route optimization</w:t>
      </w:r>
    </w:p>
    <w:p>
      <w:pPr>
        <w:pStyle w:val="ListBullet"/>
      </w:pPr>
      <w:r>
        <w:t>Fuel consumption analytics</w:t>
      </w:r>
    </w:p>
    <w:p>
      <w:pPr>
        <w:pStyle w:val="ListBullet"/>
      </w:pPr>
      <w:r>
        <w:t>Annual fee: EUR 22,000.00</w:t>
      </w:r>
    </w:p>
    <w:p>
      <w:r>
        <w:rPr>
          <w:b/>
          <w:sz w:val="20"/>
        </w:rPr>
        <w:t>1.3 Warehouse Management Dashboard</w:t>
      </w:r>
    </w:p>
    <w:p>
      <w:pPr>
        <w:pStyle w:val="ListBullet"/>
      </w:pPr>
      <w:r>
        <w:t>Inventory tracking and forecasting</w:t>
      </w:r>
    </w:p>
    <w:p>
      <w:pPr>
        <w:pStyle w:val="ListBullet"/>
      </w:pPr>
      <w:r>
        <w:t>Annual fee: EUR 18,000.00</w:t>
      </w:r>
    </w:p>
    <w:p>
      <w:r>
        <w:t>Total Annual Contract Value: EUR 88,000.00</w:t>
      </w:r>
    </w:p>
    <w:p>
      <w:r>
        <w:t>Total Contract Value (24 months): EUR 176,000.00</w:t>
      </w:r>
    </w:p>
    <w:p>
      <w:r>
        <w:rPr>
          <w:b/>
          <w:sz w:val="20"/>
        </w:rPr>
        <w:t>2. TERM</w:t>
      </w:r>
    </w:p>
    <w:p>
      <w:r>
        <w:rPr>
          <w:b/>
          <w:sz w:val="20"/>
        </w:rPr>
        <w:t>2.1 Duration: 24 months (April 15, 2024 - April 14, 2026).</w:t>
      </w:r>
    </w:p>
    <w:p>
      <w:pPr>
        <w:pStyle w:val="Heading1"/>
      </w:pPr>
      <w:r>
        <w:t>*** CONTRACT EXPIRES IN LESS THAN 1 MONTH - CRITICAL RENEWAL NEEDED ***</w:t>
      </w:r>
    </w:p>
    <w:p>
      <w:r>
        <w:rPr>
          <w:b/>
          <w:sz w:val="20"/>
        </w:rPr>
        <w:t>2.2 Auto-renewal: 12-month periods, 30 days' opt-out notice.</w:t>
      </w:r>
    </w:p>
    <w:p>
      <w:r>
        <w:t>NOTE: The opt-out notice period is unusually short (company standard</w:t>
      </w:r>
    </w:p>
    <w:p>
      <w:r>
        <w:t>is 90 days). This was agreed as a special concession.</w:t>
      </w:r>
    </w:p>
    <w:p>
      <w:r>
        <w:rPr>
          <w:b/>
          <w:sz w:val="20"/>
        </w:rPr>
        <w:t>3. PRICING</w:t>
      </w:r>
    </w:p>
    <w:p>
      <w:r>
        <w:rPr>
          <w:b/>
          <w:sz w:val="20"/>
        </w:rPr>
        <w:t>3.1 Monthly invoicing, payment net 45 days.</w:t>
      </w:r>
    </w:p>
    <w:p>
      <w:r>
        <w:rPr>
          <w:b/>
          <w:sz w:val="20"/>
        </w:rPr>
        <w:t>3.2 SPECIAL DISCOUNT: A promotional discount of 35% was applied to the</w:t>
      </w:r>
    </w:p>
    <w:p>
      <w:r>
        <w:t>Cloud Platform license for the first year as part of a market entry</w:t>
      </w:r>
    </w:p>
    <w:p>
      <w:r>
        <w:t>initiative in the logistics sector.</w:t>
      </w:r>
    </w:p>
    <w:p>
      <w:r>
        <w:t>Standard SME Platform price: EUR 73,846/year</w:t>
      </w:r>
    </w:p>
    <w:p>
      <w:r>
        <w:t>Year 1 discounted price: EUR 48,000/year</w:t>
      </w:r>
    </w:p>
    <w:p>
      <w:r>
        <w:t>Year 2 reverts to standard pricing</w:t>
      </w:r>
    </w:p>
    <w:p>
      <w:r>
        <w:rPr>
          <w:b/>
          <w:i/>
          <w:color w:val="B40000"/>
          <w:sz w:val="18"/>
        </w:rPr>
        <w:t>WARNING: This 35% discount significantly exceeds the maximum</w:t>
      </w:r>
    </w:p>
    <w:p>
      <w:r>
        <w:t>authorized promotional discount of 20%. Approved as exception by</w:t>
      </w:r>
    </w:p>
    <w:p>
      <w:r>
        <w:rPr>
          <w:b/>
          <w:i/>
          <w:color w:val="B40000"/>
          <w:sz w:val="18"/>
        </w:rPr>
        <w:t>VP Sales, Ref: APPROVAL-2024-0189</w:t>
      </w:r>
    </w:p>
    <w:p>
      <w:r>
        <w:rPr>
          <w:b/>
          <w:sz w:val="20"/>
        </w:rPr>
        <w:t>3.3 No late payment interest clause is included in this contract.</w:t>
      </w:r>
    </w:p>
    <w:p>
      <w:r>
        <w:rPr>
          <w:b/>
          <w:i/>
          <w:color w:val="B40000"/>
          <w:sz w:val="18"/>
        </w:rPr>
        <w:t>ANOMALY: All standard contracts include late payment interest.</w:t>
      </w:r>
    </w:p>
    <w:p>
      <w:r>
        <w:rPr>
          <w:b/>
          <w:i/>
          <w:color w:val="B40000"/>
          <w:sz w:val="18"/>
        </w:rPr>
        <w:t>This clause was inadvertently omitted during drafting.</w:t>
      </w:r>
    </w:p>
    <w:p>
      <w:pPr>
        <w:pStyle w:val="Heading1"/>
      </w:pPr>
      <w:r>
        <w:t>4. SERVICE LEVELS</w:t>
      </w:r>
    </w:p>
    <w:p>
      <w:r>
        <w:rPr>
          <w:b/>
          <w:sz w:val="20"/>
        </w:rPr>
        <w:t>4.1 Platform Uptime: 99.0% (standard for SME tier is 99.5%).</w:t>
      </w:r>
    </w:p>
    <w:p>
      <w:r>
        <w:rPr>
          <w:b/>
          <w:i/>
          <w:color w:val="B40000"/>
          <w:sz w:val="18"/>
        </w:rPr>
        <w:t>BELOW-STANDARD SLA: This client receives a lower uptime</w:t>
      </w:r>
    </w:p>
    <w:p>
      <w:r>
        <w:rPr>
          <w:b/>
          <w:i/>
          <w:color w:val="B40000"/>
          <w:sz w:val="18"/>
        </w:rPr>
        <w:t>guarantee than the standard SME offering.</w:t>
      </w:r>
    </w:p>
    <w:p>
      <w:r>
        <w:rPr>
          <w:b/>
          <w:sz w:val="20"/>
        </w:rPr>
        <w:t>4.2 Support: Business hours only (9:00-18:00, Mon-Fri)</w:t>
      </w:r>
    </w:p>
    <w:p>
      <w:pPr>
        <w:pStyle w:val="ListBullet"/>
      </w:pPr>
      <w:r>
        <w:t>P1: 4-hour response, 24-hour resolution</w:t>
      </w:r>
    </w:p>
    <w:p>
      <w:pPr>
        <w:pStyle w:val="ListBullet"/>
      </w:pPr>
      <w:r>
        <w:t>P2: 8-hour response, 48-hour resolution</w:t>
      </w:r>
    </w:p>
    <w:p>
      <w:pPr>
        <w:pStyle w:val="ListBullet"/>
      </w:pPr>
      <w:r>
        <w:t>P3: Next business day response</w:t>
      </w:r>
    </w:p>
    <w:p>
      <w:r>
        <w:rPr>
          <w:b/>
          <w:sz w:val="20"/>
        </w:rPr>
        <w:t>4.3 No SLA credits are offered under this contract.</w:t>
      </w:r>
    </w:p>
    <w:p>
      <w:pPr>
        <w:pStyle w:val="Heading1"/>
      </w:pPr>
      <w:r>
        <w:t>5. PENALTIES</w:t>
      </w:r>
    </w:p>
    <w:p>
      <w:r>
        <w:t>None. No penalty clauses were included in this contract.</w:t>
      </w:r>
    </w:p>
    <w:p>
      <w:pPr>
        <w:pStyle w:val="Heading1"/>
      </w:pPr>
      <w:r>
        <w:t>6. LIABILITY</w:t>
      </w:r>
    </w:p>
    <w:p>
      <w:r>
        <w:rPr>
          <w:b/>
          <w:sz w:val="20"/>
        </w:rPr>
        <w:t>6.1 Liability capped at 50% of annual contract value (EUR 44,000).</w:t>
      </w:r>
    </w:p>
    <w:p>
      <w:r>
        <w:rPr>
          <w:b/>
          <w:sz w:val="20"/>
        </w:rPr>
        <w:t>6.2 No indemnification clauses.</w:t>
      </w:r>
    </w:p>
    <w:p>
      <w:pPr>
        <w:pStyle w:val="Heading1"/>
      </w:pPr>
      <w:r>
        <w:t>7. TERMINATION</w:t>
      </w:r>
    </w:p>
    <w:p>
      <w:r>
        <w:rPr>
          <w:b/>
          <w:sz w:val="20"/>
        </w:rPr>
        <w:t>7.1 Either party: 30 days' notice for material breach.</w:t>
      </w:r>
    </w:p>
    <w:p>
      <w:r>
        <w:rPr>
          <w:b/>
          <w:sz w:val="20"/>
        </w:rPr>
        <w:t>7.2 No termination for convenience clause.</w:t>
      </w:r>
    </w:p>
    <w:p>
      <w:r>
        <w:rPr>
          <w:b/>
          <w:i/>
          <w:color w:val="B40000"/>
          <w:sz w:val="18"/>
        </w:rPr>
        <w:t>MISSING CLAUSE: Standard contracts include termination for</w:t>
      </w:r>
    </w:p>
    <w:p>
      <w:r>
        <w:rPr>
          <w:b/>
          <w:i/>
          <w:color w:val="B40000"/>
          <w:sz w:val="18"/>
        </w:rPr>
        <w:t>convenience. This omission restricts flexibility.</w:t>
      </w:r>
    </w:p>
    <w:p>
      <w:pPr>
        <w:pStyle w:val="Heading1"/>
      </w:pPr>
      <w:r>
        <w:t>8. GOVERNING LAW</w:t>
      </w:r>
    </w:p>
    <w:p>
      <w:r>
        <w:t>Italian law. Court of Rome.</w:t>
      </w:r>
    </w:p>
    <w:p>
      <w:pPr>
        <w:pStyle w:val="Heading1"/>
      </w:pPr>
      <w:r>
        <w:t>SIGNATURES</w:t>
      </w:r>
    </w:p>
    <w:p>
      <w:r>
        <w:t>Dr. Marco Bianchi                    Sig. Roberto Ferrara</w:t>
      </w:r>
    </w:p>
    <w:p>
      <w:r>
        <w:t>CEO, DataVista Solutions S.r.l.      GM, Logistica Express S.r.l.</w:t>
      </w:r>
    </w:p>
    <w:p>
      <w:r>
        <w:t>Date: April 15, 2024                 Date: April 15,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