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TRANSFORMATION AGREEMENT</w:t>
      </w:r>
    </w:p>
    <w:p>
      <w:r>
        <w:t>Contract No. CTR-2025-008</w:t>
      </w:r>
    </w:p>
    <w:p>
      <w:r>
        <w:t>Date: January 10, 2025</w:t>
      </w:r>
    </w:p>
    <w:p>
      <w:pPr>
        <w:pStyle w:val="Heading1"/>
      </w:pPr>
      <w:r>
        <w:t>BETWEEN:</w:t>
      </w:r>
    </w:p>
    <w:p>
      <w:r>
        <w:t>DataVista Solutions S.r.l. ("Provider"), Rome, Italy</w:t>
      </w:r>
    </w:p>
    <w:p>
      <w:r>
        <w:t>AND:</w:t>
      </w:r>
    </w:p>
    <w:p>
      <w:r>
        <w:t>Fashion House Belmonte S.p.A. ("Client")</w:t>
      </w:r>
    </w:p>
    <w:p>
      <w:r>
        <w:t>Via Montenapoleone 8, 20121 Milan, Italy</w:t>
      </w:r>
    </w:p>
    <w:p>
      <w:pPr>
        <w:pStyle w:val="Heading1"/>
      </w:pPr>
      <w:r>
        <w:t>VAT: IT66778899001</w:t>
      </w:r>
    </w:p>
    <w:p>
      <w:r>
        <w:t>Represented by: Sig.ra Valentina Belmonte, Creative Director &amp; CEO</w:t>
      </w:r>
    </w:p>
    <w:p>
      <w:r>
        <w:t>Client Industry: Retail / Fashion / Luxury</w:t>
      </w:r>
    </w:p>
    <w:p>
      <w:pPr>
        <w:pStyle w:val="Heading1"/>
      </w:pPr>
      <w:r>
        <w:t>1. PROJECT OVERVIEW</w:t>
      </w:r>
    </w:p>
    <w:p>
      <w:r>
        <w:t>The Client is undergoing a comprehensive digital transformation of its</w:t>
      </w:r>
    </w:p>
    <w:p>
      <w:r>
        <w:t>retail operations. This Agreement covers the first phase of the</w:t>
      </w:r>
    </w:p>
    <w:p>
      <w:r>
        <w:t>transformation, focused on data analytics and customer intelligence.</w:t>
      </w:r>
    </w:p>
    <w:p>
      <w:pPr>
        <w:pStyle w:val="Heading1"/>
      </w:pPr>
      <w:r>
        <w:t>2. SERVICES AND PRICING</w:t>
      </w:r>
    </w:p>
    <w:p>
      <w:r>
        <w:rPr>
          <w:b/>
          <w:sz w:val="20"/>
        </w:rPr>
        <w:t>2.1 DataVista Cloud Platform - Retail Edition</w:t>
      </w:r>
    </w:p>
    <w:p>
      <w:pPr>
        <w:pStyle w:val="ListBullet"/>
      </w:pPr>
      <w:r>
        <w:t>E-commerce data integration</w:t>
      </w:r>
    </w:p>
    <w:p>
      <w:pPr>
        <w:pStyle w:val="ListBullet"/>
      </w:pPr>
      <w:r>
        <w:t>150 users (HQ + 22 boutiques)</w:t>
      </w:r>
    </w:p>
    <w:p>
      <w:pPr>
        <w:pStyle w:val="ListBullet"/>
      </w:pPr>
      <w:r>
        <w:t>Annual fee: EUR 145,000.00</w:t>
      </w:r>
    </w:p>
    <w:p>
      <w:r>
        <w:rPr>
          <w:b/>
          <w:sz w:val="20"/>
        </w:rPr>
        <w:t>2.2 Customer Intelligence Suite</w:t>
      </w:r>
    </w:p>
    <w:p>
      <w:pPr>
        <w:pStyle w:val="ListBullet"/>
      </w:pPr>
      <w:r>
        <w:t>Customer lifetime value modeling</w:t>
      </w:r>
    </w:p>
    <w:p>
      <w:pPr>
        <w:pStyle w:val="ListBullet"/>
      </w:pPr>
      <w:r>
        <w:t>Purchase pattern analytics</w:t>
      </w:r>
    </w:p>
    <w:p>
      <w:pPr>
        <w:pStyle w:val="ListBullet"/>
      </w:pPr>
      <w:r>
        <w:t>Personalization engine</w:t>
      </w:r>
    </w:p>
    <w:p>
      <w:pPr>
        <w:pStyle w:val="ListBullet"/>
      </w:pPr>
      <w:r>
        <w:t>Annual fee: EUR 110,000.00</w:t>
      </w:r>
    </w:p>
    <w:p>
      <w:r>
        <w:rPr>
          <w:b/>
          <w:sz w:val="20"/>
        </w:rPr>
        <w:t>2.3 Supply Chain Visibility Module</w:t>
      </w:r>
    </w:p>
    <w:p>
      <w:pPr>
        <w:pStyle w:val="ListBullet"/>
      </w:pPr>
      <w:r>
        <w:t>Real-time inventory tracking across boutiques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Annual fee: EUR 65,000.00</w:t>
      </w:r>
    </w:p>
    <w:p>
      <w:r>
        <w:rPr>
          <w:b/>
          <w:sz w:val="20"/>
        </w:rPr>
        <w:t>2.4 Consulting Services - Digital Strategy</w:t>
      </w:r>
    </w:p>
    <w:p>
      <w:pPr>
        <w:pStyle w:val="ListBullet"/>
      </w:pPr>
      <w:r>
        <w:t>60 days of senior consultant time</w:t>
      </w:r>
    </w:p>
    <w:p>
      <w:pPr>
        <w:pStyle w:val="ListBullet"/>
      </w:pPr>
      <w:r>
        <w:t>Fee: EUR 108,000.00 (EUR 1,800/day)</w:t>
      </w:r>
    </w:p>
    <w:p>
      <w:r>
        <w:t>Total Annual Contract Value: EUR 428,000.00</w:t>
      </w:r>
    </w:p>
    <w:p>
      <w:r>
        <w:t>Total Contract Value (36 months): EUR 1,392,000.00</w:t>
      </w:r>
    </w:p>
    <w:p>
      <w:r>
        <w:rPr>
          <w:b/>
          <w:sz w:val="20"/>
        </w:rPr>
        <w:t>3. TERM</w:t>
      </w:r>
    </w:p>
    <w:p>
      <w:r>
        <w:rPr>
          <w:b/>
          <w:sz w:val="20"/>
        </w:rPr>
        <w:t>3.1 36 months: January 10, 2025 to January 9, 2028.</w:t>
      </w:r>
    </w:p>
    <w:p>
      <w:r>
        <w:rPr>
          <w:b/>
          <w:sz w:val="20"/>
        </w:rPr>
        <w:t>3.2 Auto-renewal: 12-month periods, 90 days' notice to opt out.</w:t>
      </w:r>
    </w:p>
    <w:p>
      <w:pPr>
        <w:pStyle w:val="Heading1"/>
      </w:pPr>
      <w:r>
        <w:t>4. PAYMENT TERMS</w:t>
      </w:r>
    </w:p>
    <w:p>
      <w:r>
        <w:rPr>
          <w:b/>
          <w:sz w:val="20"/>
        </w:rPr>
        <w:t>4.1 Platform and modules: Quarterly in advance.</w:t>
      </w:r>
    </w:p>
    <w:p>
      <w:r>
        <w:rPr>
          <w:b/>
          <w:sz w:val="20"/>
        </w:rPr>
        <w:t>4.2 Consulting: Monthly in arrears based on delivered days.</w:t>
      </w:r>
    </w:p>
    <w:p>
      <w:r>
        <w:rPr>
          <w:b/>
          <w:sz w:val="20"/>
        </w:rPr>
        <w:t>4.3 Payment: Net 90 days.</w:t>
      </w:r>
    </w:p>
    <w:p>
      <w:r>
        <w:rPr>
          <w:b/>
          <w:i/>
          <w:color w:val="B40000"/>
          <w:sz w:val="18"/>
        </w:rPr>
        <w:t>NON-STANDARD: Net 90 days significantly exceeds the company</w:t>
      </w:r>
    </w:p>
    <w:p>
      <w:r>
        <w:t>standard of net 30 days. This extended term was requested by the</w:t>
      </w:r>
    </w:p>
    <w:p>
      <w:r>
        <w:t>Client due to seasonal cash flow patterns in the fashion industry.</w:t>
      </w:r>
    </w:p>
    <w:p>
      <w:r>
        <w:rPr>
          <w:b/>
          <w:i/>
          <w:color w:val="B40000"/>
          <w:sz w:val="18"/>
        </w:rPr>
        <w:t>Approved by CFO, Ref: FIN-2025-0012.</w:t>
      </w:r>
    </w:p>
    <w:p>
      <w:r>
        <w:rPr>
          <w:b/>
          <w:sz w:val="20"/>
        </w:rPr>
        <w:t>4.4 Early payment incentive: 2% discount for payment within 15 days.</w:t>
      </w:r>
    </w:p>
    <w:p>
      <w:r>
        <w:rPr>
          <w:b/>
          <w:sz w:val="20"/>
        </w:rPr>
        <w:t>4.5 No volume discount applied.</w:t>
      </w:r>
    </w:p>
    <w:p>
      <w:r>
        <w:rPr>
          <w:b/>
          <w:sz w:val="20"/>
        </w:rPr>
        <w:t>4.6 Late payment interest: 6% per annum.</w:t>
      </w:r>
    </w:p>
    <w:p>
      <w:pPr>
        <w:pStyle w:val="Heading1"/>
      </w:pPr>
      <w:r>
        <w:t>5. SERVICE LEVELS</w:t>
      </w:r>
    </w:p>
    <w:p>
      <w:r>
        <w:rPr>
          <w:b/>
          <w:sz w:val="20"/>
        </w:rPr>
        <w:t>5.1 Platform Uptime: 99.5% monthly.</w:t>
      </w:r>
    </w:p>
    <w:p>
      <w:r>
        <w:rPr>
          <w:b/>
          <w:sz w:val="20"/>
        </w:rPr>
        <w:t>5.2 CRITICAL PERIOD SLA: During Milan Fashion Week (typically February</w:t>
      </w:r>
    </w:p>
    <w:p>
      <w:r>
        <w:t>and September) and Black Friday / Holiday Season (November 15 -</w:t>
      </w:r>
    </w:p>
    <w:p>
      <w:r>
        <w:t>December 31), the following enhanced SLAs apply:</w:t>
      </w:r>
    </w:p>
    <w:p>
      <w:pPr>
        <w:pStyle w:val="ListBullet"/>
      </w:pPr>
      <w:r>
        <w:t>Uptime guarantee increases to 99.9%</w:t>
      </w:r>
    </w:p>
    <w:p>
      <w:pPr>
        <w:pStyle w:val="ListBullet"/>
      </w:pPr>
      <w:r>
        <w:t>P1 response time: 30 minutes (standard: 2 hours)</w:t>
      </w:r>
    </w:p>
    <w:p>
      <w:pPr>
        <w:pStyle w:val="ListBullet"/>
      </w:pPr>
      <w:r>
        <w:t>Dedicated on-call engineer assigned</w:t>
      </w:r>
    </w:p>
    <w:p>
      <w:r>
        <w:rPr>
          <w:b/>
          <w:i/>
          <w:color w:val="B40000"/>
          <w:sz w:val="18"/>
        </w:rPr>
        <w:t>CUSTOM SLA: These seasonal enhanced SLAs are non-standard and</w:t>
      </w:r>
    </w:p>
    <w:p>
      <w:r>
        <w:rPr>
          <w:b/>
          <w:i/>
          <w:color w:val="B40000"/>
          <w:sz w:val="18"/>
        </w:rPr>
        <w:t>increase operational cost. Resource allocation must be planned.</w:t>
      </w:r>
    </w:p>
    <w:p>
      <w:r>
        <w:rPr>
          <w:b/>
          <w:sz w:val="20"/>
        </w:rPr>
        <w:t>5.3 Standard SLA credits apply (2% per 0.1% below target, capped at 15%).</w:t>
      </w:r>
    </w:p>
    <w:p>
      <w:pPr>
        <w:pStyle w:val="Heading1"/>
      </w:pPr>
      <w:r>
        <w:t>6. PENALTIES</w:t>
      </w:r>
    </w:p>
    <w:p>
      <w:r>
        <w:rPr>
          <w:b/>
          <w:sz w:val="20"/>
        </w:rPr>
        <w:t>6.1 Fashion Week System Failure: If the platform experiences downtime</w:t>
      </w:r>
    </w:p>
    <w:p>
      <w:r>
        <w:t>exceeding 1 hour during Milan Fashion Week events, the Provider shall</w:t>
      </w:r>
    </w:p>
    <w:p>
      <w:r>
        <w:t>pay liquidated damages of EUR 50,000 per incident.</w:t>
      </w:r>
    </w:p>
    <w:p>
      <w:r>
        <w:rPr>
          <w:b/>
          <w:i/>
          <w:color w:val="B40000"/>
          <w:sz w:val="18"/>
        </w:rPr>
        <w:t>HIGH-SEVERITY PENALTY: The financial exposure during these</w:t>
      </w:r>
    </w:p>
    <w:p>
      <w:r>
        <w:rPr>
          <w:b/>
          <w:i/>
          <w:color w:val="B40000"/>
          <w:sz w:val="18"/>
        </w:rPr>
        <w:t>2-week periods is significant relative to the contract value.</w:t>
      </w:r>
    </w:p>
    <w:p>
      <w:r>
        <w:rPr>
          <w:b/>
          <w:sz w:val="20"/>
        </w:rPr>
        <w:t>6.2 Consulting quality: If the digital strategy deliverables are rejected</w:t>
      </w:r>
    </w:p>
    <w:p>
      <w:r>
        <w:t>by the Client's board, the Provider shall revise at no additional cost</w:t>
      </w:r>
    </w:p>
    <w:p>
      <w:r>
        <w:t>up to a maximum of EUR 20,000 in additional consulting days.</w:t>
      </w:r>
    </w:p>
    <w:p>
      <w:pPr>
        <w:pStyle w:val="Heading1"/>
      </w:pPr>
      <w:r>
        <w:t>7. LIABILITY</w:t>
      </w:r>
    </w:p>
    <w:p>
      <w:r>
        <w:rPr>
          <w:b/>
          <w:sz w:val="20"/>
        </w:rPr>
        <w:t>7.1 General liability: Capped at 150% of annual contract value.</w:t>
      </w:r>
    </w:p>
    <w:p>
      <w:r>
        <w:rPr>
          <w:b/>
          <w:sz w:val="20"/>
        </w:rPr>
        <w:t>7.2 The Provider accepts unlimited liability for breaches of</w:t>
      </w:r>
    </w:p>
    <w:p>
      <w:r>
        <w:t>confidentiality regarding the Client's proprietary fashion designs,</w:t>
      </w:r>
    </w:p>
    <w:p>
      <w:r>
        <w:t>unreleased collections, and trade secrets.</w:t>
      </w:r>
    </w:p>
    <w:p>
      <w:r>
        <w:rPr>
          <w:b/>
          <w:i/>
          <w:color w:val="B40000"/>
          <w:sz w:val="18"/>
        </w:rPr>
        <w:t>UNLIMITED LIABILITY CLAUSE for trade secret breaches</w:t>
      </w:r>
    </w:p>
    <w:p>
      <w:pPr>
        <w:pStyle w:val="Heading1"/>
      </w:pPr>
      <w:r>
        <w:t>8. CONFIDENTIALITY - SPECIAL PROVISIONS</w:t>
      </w:r>
    </w:p>
    <w:p>
      <w:r>
        <w:rPr>
          <w:b/>
          <w:sz w:val="20"/>
        </w:rPr>
        <w:t>8.1 The Provider acknowledges that the Client's business involves</w:t>
      </w:r>
    </w:p>
    <w:p>
      <w:r>
        <w:t>highly sensitive intellectual property including unreleased designs.</w:t>
      </w:r>
    </w:p>
    <w:p>
      <w:r>
        <w:rPr>
          <w:b/>
          <w:sz w:val="20"/>
        </w:rPr>
        <w:t>8.2 All Provider personnel with access to Client systems must sign</w:t>
      </w:r>
    </w:p>
    <w:p>
      <w:r>
        <w:t>individual NDAs.</w:t>
      </w:r>
    </w:p>
    <w:p>
      <w:r>
        <w:rPr>
          <w:b/>
          <w:sz w:val="20"/>
        </w:rPr>
        <w:t>8.3 The Provider shall not disclose the existence of this Agreement</w:t>
      </w:r>
    </w:p>
    <w:p>
      <w:r>
        <w:t>or the Client's use of the platform without prior written consent.</w:t>
      </w:r>
    </w:p>
    <w:p>
      <w:pPr>
        <w:pStyle w:val="Heading1"/>
      </w:pPr>
      <w:r>
        <w:t>9. TERMINATION</w:t>
      </w:r>
    </w:p>
    <w:p>
      <w:r>
        <w:rPr>
          <w:b/>
          <w:sz w:val="20"/>
        </w:rPr>
        <w:t>9.1 Material breach: 60 days' notice, 30-day cure period.</w:t>
      </w:r>
    </w:p>
    <w:p>
      <w:r>
        <w:rPr>
          <w:b/>
          <w:sz w:val="20"/>
        </w:rPr>
        <w:t>9.2 Convenience: After 18 months, with 90 days' notice and payment of</w:t>
      </w:r>
    </w:p>
    <w:p>
      <w:r>
        <w:t>early termination fee equal to 20% of remaining contract value.</w:t>
      </w:r>
    </w:p>
    <w:p>
      <w:pPr>
        <w:pStyle w:val="Heading1"/>
      </w:pPr>
      <w:r>
        <w:t>10. GOVERNING LAW</w:t>
      </w:r>
    </w:p>
    <w:p>
      <w:r>
        <w:t>Italian law. Court of Milan.</w:t>
      </w:r>
    </w:p>
    <w:p>
      <w:pPr>
        <w:pStyle w:val="Heading1"/>
      </w:pPr>
      <w:r>
        <w:t>SIGNATURES</w:t>
      </w:r>
    </w:p>
    <w:p>
      <w:r>
        <w:t>Dr. Marco Bianchi                    Sig.ra Valentina Belmonte</w:t>
      </w:r>
    </w:p>
    <w:p>
      <w:r>
        <w:t>CEO, DataVista Solutions S.r.l.      CEO, Fashion House Belmonte S.p.A.</w:t>
      </w:r>
    </w:p>
    <w:p>
      <w:r>
        <w:t>Date: January 10, 2025               Date: January 10,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