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AMENDMENT AND ADDENDUM NO. 1</w:t>
      </w:r>
    </w:p>
    <w:p>
      <w:r>
        <w:t>to Master Service Agreement CTR-2024-002</w:t>
      </w:r>
    </w:p>
    <w:p>
      <w:r>
        <w:t>Ref: CTR-2024-002-A1</w:t>
      </w:r>
    </w:p>
    <w:p>
      <w:r>
        <w:t>Date: December 1, 2024</w:t>
      </w:r>
    </w:p>
    <w:p>
      <w:r>
        <w:t>This Amendment modifies the Master Service Agreement CTR-2024-002</w:t>
      </w:r>
    </w:p>
    <w:p>
      <w:r>
        <w:t>dated March 1, 2024 between DataVista Solutions S.r.l. ("Provider") and</w:t>
      </w:r>
    </w:p>
    <w:p>
      <w:r>
        <w:t>Nexus Technologies GmbH ("Client").</w:t>
      </w:r>
    </w:p>
    <w:p>
      <w:r>
        <w:rPr>
          <w:b/>
          <w:sz w:val="20"/>
        </w:rPr>
        <w:t>1. PURPOSE</w:t>
      </w:r>
    </w:p>
    <w:p>
      <w:r>
        <w:t>The Client wishes to expand the scope of services under the original</w:t>
      </w:r>
    </w:p>
    <w:p>
      <w:r>
        <w:t>Agreement to include additional AI/ML capabilities and increase the</w:t>
      </w:r>
    </w:p>
    <w:p>
      <w:r>
        <w:t>platform capacity.</w:t>
      </w:r>
    </w:p>
    <w:p>
      <w:pPr>
        <w:pStyle w:val="Heading1"/>
      </w:pPr>
      <w:r>
        <w:t>2. ADDITIONAL SERVICES</w:t>
      </w:r>
    </w:p>
    <w:p>
      <w:r>
        <w:t>The following services are added to the Agreement:</w:t>
      </w:r>
    </w:p>
    <w:p>
      <w:r>
        <w:rPr>
          <w:b/>
          <w:sz w:val="20"/>
        </w:rPr>
        <w:t>2.1 Generative AI Document Processing Module</w:t>
      </w:r>
    </w:p>
    <w:p>
      <w:pPr>
        <w:pStyle w:val="ListBullet"/>
      </w:pPr>
      <w:r>
        <w:t>Contract analysis and extraction</w:t>
      </w:r>
    </w:p>
    <w:p>
      <w:pPr>
        <w:pStyle w:val="ListBullet"/>
      </w:pPr>
      <w:r>
        <w:t>Automated compliance checking</w:t>
      </w:r>
    </w:p>
    <w:p>
      <w:pPr>
        <w:pStyle w:val="ListBullet"/>
      </w:pPr>
      <w:r>
        <w:t>Multi-language support (DE, EN, IT, FR)</w:t>
      </w:r>
    </w:p>
    <w:p>
      <w:pPr>
        <w:pStyle w:val="ListBullet"/>
      </w:pPr>
      <w:r>
        <w:t>Annual fee: EUR 180,000.00</w:t>
      </w:r>
    </w:p>
    <w:p>
      <w:r>
        <w:rPr>
          <w:b/>
          <w:sz w:val="20"/>
        </w:rPr>
        <w:t>2.2 Advanced Computer Vision Module</w:t>
      </w:r>
    </w:p>
    <w:p>
      <w:pPr>
        <w:pStyle w:val="ListBullet"/>
      </w:pPr>
      <w:r>
        <w:t>Quality inspection automation</w:t>
      </w:r>
    </w:p>
    <w:p>
      <w:pPr>
        <w:pStyle w:val="ListBullet"/>
      </w:pPr>
      <w:r>
        <w:t>Defect detection for manufacturing clients</w:t>
      </w:r>
    </w:p>
    <w:p>
      <w:pPr>
        <w:pStyle w:val="ListBullet"/>
      </w:pPr>
      <w:r>
        <w:t>Annual fee: EUR 95,000.00</w:t>
      </w:r>
    </w:p>
    <w:p>
      <w:r>
        <w:rPr>
          <w:b/>
          <w:sz w:val="20"/>
        </w:rPr>
        <w:t>2.3 Platform Capacity Upgrade</w:t>
      </w:r>
    </w:p>
    <w:p>
      <w:pPr>
        <w:pStyle w:val="ListBullet"/>
      </w:pPr>
      <w:r>
        <w:t>Additional region: EU-North (Stockholm)</w:t>
      </w:r>
    </w:p>
    <w:p>
      <w:pPr>
        <w:pStyle w:val="ListBullet"/>
      </w:pPr>
      <w:r>
        <w:t>Increased compute allocation: +50%</w:t>
      </w:r>
    </w:p>
    <w:p>
      <w:pPr>
        <w:pStyle w:val="ListBullet"/>
      </w:pPr>
      <w:r>
        <w:t>Additional annual fee: EUR 120,000.00</w:t>
      </w:r>
    </w:p>
    <w:p>
      <w:r>
        <w:t>Additional Annual Value: EUR 395,000.00</w:t>
      </w:r>
    </w:p>
    <w:p>
      <w:r>
        <w:t>Revised Total Annual Contract Value: EUR 1,470,000.00</w:t>
      </w:r>
    </w:p>
    <w:p>
      <w:pPr>
        <w:pStyle w:val="Heading1"/>
      </w:pPr>
      <w:r>
        <w:t>3. REVISED FINANCIAL TERMS</w:t>
      </w:r>
    </w:p>
    <w:p>
      <w:r>
        <w:rPr>
          <w:b/>
          <w:sz w:val="20"/>
        </w:rPr>
        <w:t>3.1 The strategic partnership discount is increased from 22% to 25%</w:t>
      </w:r>
    </w:p>
    <w:p>
      <w:r>
        <w:t>on the Cloud Platform component, effective from the date of this Amendment.</w:t>
      </w:r>
    </w:p>
    <w:p>
      <w:r>
        <w:rPr>
          <w:b/>
          <w:i/>
          <w:color w:val="B40000"/>
          <w:sz w:val="18"/>
        </w:rPr>
        <w:t>FURTHER DISCOUNT INCREASE: Now 25%, well above the 15% standard</w:t>
      </w:r>
    </w:p>
    <w:p>
      <w:r>
        <w:rPr>
          <w:b/>
          <w:i/>
          <w:color w:val="B40000"/>
          <w:sz w:val="18"/>
        </w:rPr>
        <w:t>maximum. Justified by the expanded scope and total contract value.</w:t>
      </w:r>
    </w:p>
    <w:p>
      <w:r>
        <w:rPr>
          <w:b/>
          <w:sz w:val="20"/>
        </w:rPr>
        <w:t>3.2 A new volume commitment tier is established:</w:t>
      </w:r>
    </w:p>
    <w:p>
      <w:pPr>
        <w:pStyle w:val="ListBullet"/>
      </w:pPr>
      <w:r>
        <w:t>If annual spend exceeds EUR 1,500,000: additional 3% rebate</w:t>
      </w:r>
    </w:p>
    <w:p>
      <w:pPr>
        <w:pStyle w:val="ListBullet"/>
      </w:pPr>
      <w:r>
        <w:t>If annual spend exceeds EUR 2,000,000: additional 5% rebate</w:t>
      </w:r>
    </w:p>
    <w:p>
      <w:r>
        <w:rPr>
          <w:b/>
          <w:sz w:val="20"/>
        </w:rPr>
        <w:t>3.3 All other financial terms from CTR-2024-002 remain unchanged.</w:t>
      </w:r>
    </w:p>
    <w:p>
      <w:pPr>
        <w:pStyle w:val="Heading1"/>
      </w:pPr>
      <w:r>
        <w:t>4. REVISED SLA FOR NEW MODULES</w:t>
      </w:r>
    </w:p>
    <w:p>
      <w:r>
        <w:rPr>
          <w:b/>
          <w:sz w:val="20"/>
        </w:rPr>
        <w:t>4.1 The Generative AI module shall have a separate SLA:</w:t>
      </w:r>
    </w:p>
    <w:p>
      <w:pPr>
        <w:pStyle w:val="ListBullet"/>
      </w:pPr>
      <w:r>
        <w:t>Accuracy guarantee: 95% extraction accuracy on structured fields</w:t>
      </w:r>
    </w:p>
    <w:p>
      <w:pPr>
        <w:pStyle w:val="ListBullet"/>
      </w:pPr>
      <w:r>
        <w:t>Processing time: 95th percentile &lt; 30 seconds per document</w:t>
      </w:r>
    </w:p>
    <w:p>
      <w:pPr>
        <w:pStyle w:val="ListBullet"/>
      </w:pPr>
      <w:r>
        <w:t>Availability: 99.9%</w:t>
      </w:r>
    </w:p>
    <w:p>
      <w:r>
        <w:rPr>
          <w:b/>
          <w:sz w:val="20"/>
        </w:rPr>
        <w:t>4.2 Computer Vision module:</w:t>
      </w:r>
    </w:p>
    <w:p>
      <w:pPr>
        <w:pStyle w:val="ListBullet"/>
      </w:pPr>
      <w:r>
        <w:t>Accuracy guarantee: 98% defect detection rate</w:t>
      </w:r>
    </w:p>
    <w:p>
      <w:pPr>
        <w:pStyle w:val="ListBullet"/>
      </w:pPr>
      <w:r>
        <w:t>False positive rate: &lt; 2%</w:t>
      </w:r>
    </w:p>
    <w:p>
      <w:pPr>
        <w:pStyle w:val="ListBullet"/>
      </w:pPr>
      <w:r>
        <w:t>Availability: 99.9%</w:t>
      </w:r>
    </w:p>
    <w:p>
      <w:pPr>
        <w:pStyle w:val="Heading1"/>
      </w:pPr>
      <w:r>
        <w:t>5. ADDITIONAL PENALTY PROVISIONS</w:t>
      </w:r>
    </w:p>
    <w:p>
      <w:r>
        <w:rPr>
          <w:b/>
          <w:sz w:val="20"/>
        </w:rPr>
        <w:t>5.1 AI Accuracy Failure: If the Generative AI module fails to maintain</w:t>
      </w:r>
    </w:p>
    <w:p>
      <w:r>
        <w:t>95% accuracy for 3 consecutive months, the Client may:</w:t>
      </w:r>
    </w:p>
    <w:p>
      <w:r>
        <w:t>a) Demand a remediation plan within 10 business days</w:t>
      </w:r>
    </w:p>
    <w:p>
      <w:r>
        <w:t>b) Withhold payment for the affected module until accuracy is restored</w:t>
      </w:r>
    </w:p>
    <w:p>
      <w:r>
        <w:t>c) Terminate the module subscription with 30 days' notice</w:t>
      </w:r>
    </w:p>
    <w:p>
      <w:r>
        <w:rPr>
          <w:b/>
          <w:sz w:val="20"/>
        </w:rPr>
        <w:t>5.2 If the Computer Vision module produces false positives exceeding 5%</w:t>
      </w:r>
    </w:p>
    <w:p>
      <w:r>
        <w:t>in a production environment, resulting in Client's customer complaints,</w:t>
      </w:r>
    </w:p>
    <w:p>
      <w:r>
        <w:t>the Provider shall be liable for actual damages up to EUR 500,000.</w:t>
      </w:r>
    </w:p>
    <w:p>
      <w:r>
        <w:rPr>
          <w:b/>
          <w:sz w:val="20"/>
        </w:rPr>
        <w:t>6. TERM</w:t>
      </w:r>
    </w:p>
    <w:p>
      <w:r>
        <w:rPr>
          <w:b/>
          <w:sz w:val="20"/>
        </w:rPr>
        <w:t>6.1 This Amendment is effective from December 1, 2024 and shall run</w:t>
      </w:r>
    </w:p>
    <w:p>
      <w:r>
        <w:t>co-terminus with the original Agreement (through February 28, 2028).</w:t>
      </w:r>
    </w:p>
    <w:p>
      <w:pPr>
        <w:pStyle w:val="Heading1"/>
      </w:pPr>
      <w:r>
        <w:t>7. ALL OTHER TERMS</w:t>
      </w:r>
    </w:p>
    <w:p>
      <w:r>
        <w:t>All other terms and conditions of CTR-2024-002 remain in full force</w:t>
      </w:r>
    </w:p>
    <w:p>
      <w:r>
        <w:t>and effect. In case of conflict between this Amendment and the original</w:t>
      </w:r>
    </w:p>
    <w:p>
      <w:r>
        <w:t>Agreement, this Amendment shall prevail.</w:t>
      </w:r>
    </w:p>
    <w:p>
      <w:pPr>
        <w:pStyle w:val="Heading1"/>
      </w:pPr>
      <w:r>
        <w:t>SIGNATURES</w:t>
      </w:r>
    </w:p>
    <w:p>
      <w:r>
        <w:t>Dr. Marco Bianchi                    Herr Klaus Weber</w:t>
      </w:r>
    </w:p>
    <w:p>
      <w:r>
        <w:t>CEO, DataVista Solutions S.r.l.      Managing Director, Nexus Technologies GmbH</w:t>
      </w:r>
    </w:p>
    <w:p>
      <w:r>
        <w:t>Date: December 1, 2024               Date: December 1, 2024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1E1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336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