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UNIVERSIDADE FEDERAL DE MINAS GERAIS</w:t>
        <w:br/>
        <w:t>Departamento de Ciência da Computação</w:t>
        <w:br/>
      </w:r>
    </w:p>
    <w:p>
      <w:r>
        <w:br/>
        <w:br/>
      </w:r>
    </w:p>
    <w:p>
      <w:pPr>
        <w:jc w:val="center"/>
      </w:pPr>
      <w:r>
        <w:rPr>
          <w:b/>
          <w:color w:val="1F3A5F"/>
          <w:sz w:val="36"/>
        </w:rPr>
        <w:t>Trabalho Prático — Banco de Dados</w:t>
        <w:br/>
        <w:t>Do Mundo Real ao Insight: Modelagem, Implementação e Análise de uma Base de Dados Aberta</w:t>
      </w:r>
    </w:p>
    <w:p>
      <w:r>
        <w:br/>
      </w:r>
    </w:p>
    <w:p>
      <w:pPr>
        <w:jc w:val="center"/>
      </w:pPr>
      <w:r>
        <w:rPr>
          <w:i/>
          <w:sz w:val="26"/>
        </w:rPr>
        <w:t>Dataset: CPGF — Cartão de Pagamento do Governo Federal</w:t>
      </w:r>
    </w:p>
    <w:p>
      <w:r>
        <w:br/>
        <w:br/>
        <w:br/>
      </w:r>
    </w:p>
    <w:p>
      <w:pPr>
        <w:jc w:val="center"/>
      </w:pPr>
      <w:r>
        <w:rPr>
          <w:b/>
        </w:rPr>
        <w:t>Integrantes do grupo</w:t>
        <w:br/>
      </w:r>
    </w:p>
    <w:p>
      <w:pPr>
        <w:jc w:val="center"/>
      </w:pPr>
      <w:r>
        <w:t>Lucas Soares Benfica</w:t>
      </w:r>
    </w:p>
    <w:p>
      <w:pPr>
        <w:jc w:val="center"/>
      </w:pPr>
      <w:r>
        <w:t>Vinícius Cardoso Antunes</w:t>
      </w:r>
    </w:p>
    <w:p>
      <w:pPr>
        <w:jc w:val="center"/>
      </w:pPr>
      <w:r>
        <w:t>Pedro Soares Pinto</w:t>
      </w:r>
    </w:p>
    <w:p>
      <w:r>
        <w:br/>
        <w:br/>
      </w:r>
    </w:p>
    <w:p>
      <w:pPr>
        <w:jc w:val="center"/>
      </w:pPr>
      <w:r>
        <w:rPr>
          <w:i/>
        </w:rPr>
        <w:t>Banco de Dados — Prof. Pedro H. Barros (DCC/UFMG)</w:t>
      </w:r>
    </w:p>
    <w:p>
      <w:pPr>
        <w:jc w:val="center"/>
      </w:pPr>
      <w:r>
        <w:rPr>
          <w:i/>
        </w:rPr>
        <w:t>Belo Horizonte —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1. Introdução e Identificação</w:t>
      </w:r>
    </w:p>
    <w:p>
      <w:r>
        <w:rPr>
          <w:b w:val="0"/>
          <w:i w:val="0"/>
        </w:rPr>
        <w:t>Este relatório documenta o trabalho prático da disciplina de Banco de Dados — Prof. Pedro H. Barros (DCC/UFMG). O grupo escolheu como domínio o CPGF — Cartão de Pagamento do Governo Federal, conjunto de dados aberto publicado pelo Portal da Transparência da Controladoria-Geral da União (CGU). O CPGF registra todas as transações realizadas com cartões de crédito corporativos emitidos em nome de Unidades Gestoras da Administração Pública Federal — um excelente caso de uso para o ciclo completo de Banco de Dados pelo seu volume, riqueza estrutural e relevância para o controle social.</w:t>
      </w:r>
    </w:p>
    <w:p>
      <w:r>
        <w:rPr>
          <w:b/>
          <w:i w:val="0"/>
        </w:rPr>
        <w:t>Identificação do grupo:</w:t>
      </w:r>
    </w:p>
    <w:p>
      <w:pPr>
        <w:pStyle w:val="ListBullet"/>
      </w:pPr>
      <w:r>
        <w:t>Lucas Soares Benfica</w:t>
      </w:r>
    </w:p>
    <w:p>
      <w:pPr>
        <w:pStyle w:val="ListBullet"/>
      </w:pPr>
      <w:r>
        <w:t>Vinícius Cardoso Antunes</w:t>
      </w:r>
    </w:p>
    <w:p>
      <w:pPr>
        <w:pStyle w:val="ListBullet"/>
      </w:pPr>
      <w:r>
        <w:t>Pedro Soares Pinto</w:t>
      </w:r>
    </w:p>
    <w:p>
      <w:r>
        <w:rPr>
          <w:b/>
          <w:i w:val="0"/>
        </w:rPr>
        <w:t>Fonte do dataset:</w:t>
      </w:r>
    </w:p>
    <w:p>
      <w:r>
        <w:rPr>
          <w:b w:val="0"/>
          <w:i w:val="0"/>
        </w:rPr>
        <w:t>https://portaldatransparencia.gov.br/download-de-dados/cpgf</w:t>
      </w:r>
    </w:p>
    <w:p>
      <w:r>
        <w:rPr>
          <w:b/>
          <w:i w:val="0"/>
        </w:rPr>
        <w:t>Dicionário de dados oficial:</w:t>
      </w:r>
    </w:p>
    <w:p>
      <w:r>
        <w:rPr>
          <w:b w:val="0"/>
          <w:i w:val="0"/>
        </w:rPr>
        <w:t>https://portaldatransparencia.gov.br/dicionario-de-dados/cpgf</w:t>
      </w:r>
    </w:p>
    <w:p>
      <w:r>
        <w:rPr>
          <w:b/>
          <w:i w:val="0"/>
        </w:rPr>
        <w:t>Objetivos do trabalho:</w:t>
      </w:r>
    </w:p>
    <w:p>
      <w:pPr>
        <w:pStyle w:val="ListBullet"/>
      </w:pPr>
      <w:r>
        <w:t>Projetar modelo conceitual (ER/EER) para o domínio do CPGF.</w:t>
      </w:r>
    </w:p>
    <w:p>
      <w:pPr>
        <w:pStyle w:val="ListBullet"/>
      </w:pPr>
      <w:r>
        <w:t>Mapear o modelo conceitual para o relacional com normalização justificada.</w:t>
      </w:r>
    </w:p>
    <w:p>
      <w:pPr>
        <w:pStyle w:val="ListBullet"/>
      </w:pPr>
      <w:r>
        <w:t>Implementar o esquema em PostgreSQL (DDL + carga + limpeza).</w:t>
      </w:r>
    </w:p>
    <w:p>
      <w:pPr>
        <w:pStyle w:val="ListBullet"/>
      </w:pPr>
      <w:r>
        <w:t>Realizar análise exploratória respondendo perguntas investigativas com SQL e visualizações.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2. Etapa 1 — Projeto Conceitual (Modelo ER/EER)</w:t>
      </w:r>
    </w:p>
    <w:p>
      <w:r>
        <w:rPr>
          <w:b w:val="0"/>
          <w:i w:val="0"/>
        </w:rPr>
        <w:t>Adotamos a notação ER clássica (Chen) com extensão EER (especialização disjunta total) em Favorecido, refletindo a distinção semântica entre Pessoa Física (CPF) e Pessoa Jurídica (CNPJ) presente no dado bruto.</w:t>
      </w:r>
    </w:p>
    <w:p>
      <w:pPr>
        <w:pStyle w:val="Heading2"/>
      </w:pPr>
      <w:r>
        <w:rPr>
          <w:rFonts w:ascii="Calibri" w:hAnsi="Calibri"/>
          <w:color w:val="1F3A5F"/>
        </w:rPr>
        <w:t>2.1 Entidades</w:t>
      </w:r>
    </w:p>
    <w:p>
      <w:r>
        <w:rPr>
          <w:b w:val="0"/>
          <w:i w:val="0"/>
        </w:rPr>
        <w:t>Sete entidades — bem acima do mínimo de 4 exigido:</w:t>
      </w:r>
    </w:p>
    <w:p>
      <w:pPr>
        <w:pStyle w:val="ListBullet"/>
      </w:pPr>
      <w:r>
        <w:t>ORGAO_SUPERIOR — ministério ou órgão equivalente da Administração Direta.</w:t>
      </w:r>
    </w:p>
    <w:p>
      <w:pPr>
        <w:pStyle w:val="ListBullet"/>
      </w:pPr>
      <w:r>
        <w:t>ORGAO_SUBORDINADO — entidade supervisionada por um Órgão Superior.</w:t>
      </w:r>
    </w:p>
    <w:p>
      <w:pPr>
        <w:pStyle w:val="ListBullet"/>
      </w:pPr>
      <w:r>
        <w:t>UNIDADE_GESTORA — UG em cujo nome o cartão é emitido.</w:t>
      </w:r>
    </w:p>
    <w:p>
      <w:pPr>
        <w:pStyle w:val="ListBullet"/>
      </w:pPr>
      <w:r>
        <w:t>PORTADOR — servidor autorizado a portar o CPGF.</w:t>
      </w:r>
    </w:p>
    <w:p>
      <w:pPr>
        <w:pStyle w:val="ListBullet"/>
      </w:pPr>
      <w:r>
        <w:t>FAVORECIDO — recebedor do pagamento; especializado em PESSOA_FISICA / PESSOA_JURIDICA (EER).</w:t>
      </w:r>
    </w:p>
    <w:p>
      <w:pPr>
        <w:pStyle w:val="ListBullet"/>
      </w:pPr>
      <w:r>
        <w:t>TIPO_TRANSACAO — catálogo de naturezas de operação CPGF.</w:t>
      </w:r>
    </w:p>
    <w:p>
      <w:pPr>
        <w:pStyle w:val="ListBullet"/>
      </w:pPr>
      <w:r>
        <w:t>TRANSACAO — ato de pagamento; ponto de junção das demais entidades.</w:t>
      </w:r>
    </w:p>
    <w:p>
      <w:pPr>
        <w:pStyle w:val="Heading2"/>
      </w:pPr>
      <w:r>
        <w:rPr>
          <w:rFonts w:ascii="Calibri" w:hAnsi="Calibri"/>
          <w:color w:val="1F3A5F"/>
        </w:rPr>
        <w:t>2.2 Diagrama ER/EER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57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5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Diagrama Entidade-Relacionamento (ER/EER) do domínio CPGF.</w:t>
      </w:r>
    </w:p>
    <w:p>
      <w:pPr>
        <w:pStyle w:val="Heading2"/>
      </w:pPr>
      <w:r>
        <w:rPr>
          <w:rFonts w:ascii="Calibri" w:hAnsi="Calibri"/>
          <w:color w:val="1F3A5F"/>
        </w:rPr>
        <w:t>2.3 Restrições de Integridade</w:t>
      </w:r>
    </w:p>
    <w:p>
      <w:r>
        <w:rPr>
          <w:b w:val="0"/>
          <w:i w:val="0"/>
        </w:rPr>
        <w:t>Foram identificadas nove restrições de integridade próprias do domínio:</w:t>
      </w:r>
    </w:p>
    <w:p>
      <w:pPr>
        <w:pStyle w:val="ListBullet"/>
      </w:pPr>
      <w:r>
        <w:t>R1. valor ≠ 0 (transações zero são erro de origem).</w:t>
      </w:r>
    </w:p>
    <w:p>
      <w:pPr>
        <w:pStyle w:val="ListBullet"/>
      </w:pPr>
      <w:r>
        <w:t>R2. valor &gt; 0 em geral; negativos apenas em tipos de reversão/estorno.</w:t>
      </w:r>
    </w:p>
    <w:p>
      <w:pPr>
        <w:pStyle w:val="ListBullet"/>
      </w:pPr>
      <w:r>
        <w:t>R3. data_transacao válida e próxima do mês-ano do extrato.</w:t>
      </w:r>
    </w:p>
    <w:p>
      <w:pPr>
        <w:pStyle w:val="ListBullet"/>
      </w:pPr>
      <w:r>
        <w:t>R4. mes_extrato ∈ {1..12}; ano_extrato entre 2003 e o ano corrente.</w:t>
      </w:r>
    </w:p>
    <w:p>
      <w:pPr>
        <w:pStyle w:val="ListBullet"/>
      </w:pPr>
      <w:r>
        <w:t>R5. cpf_portador segue a máscara anonimizada do Portal (***.NNN.NNN-**).</w:t>
      </w:r>
    </w:p>
    <w:p>
      <w:pPr>
        <w:pStyle w:val="ListBullet"/>
      </w:pPr>
      <w:r>
        <w:t>R6. cpf_cnpj_favorecido: 11 dígitos ⇒ PF, 14 ⇒ PJ, outros valores ⇒ NI.</w:t>
      </w:r>
    </w:p>
    <w:p>
      <w:pPr>
        <w:pStyle w:val="ListBullet"/>
      </w:pPr>
      <w:r>
        <w:t>R7. Toda transação referencia UG, Portador, Favorecido e Tipo de Transação existentes.</w:t>
      </w:r>
    </w:p>
    <w:p>
      <w:pPr>
        <w:pStyle w:val="ListBullet"/>
      </w:pPr>
      <w:r>
        <w:t>R8. Hierarquia: UG → Órgão Subordinado → Órgão Superior.</w:t>
      </w:r>
    </w:p>
    <w:p>
      <w:pPr>
        <w:pStyle w:val="ListBullet"/>
      </w:pPr>
      <w:r>
        <w:t>R9. tipo do Favorecido ∈ {PF, PJ, NI} — discriminador da especialização EER.</w:t>
      </w:r>
    </w:p>
    <w:p>
      <w:pPr>
        <w:pStyle w:val="Heading2"/>
      </w:pPr>
      <w:r>
        <w:rPr>
          <w:rFonts w:ascii="Calibri" w:hAnsi="Calibri"/>
          <w:color w:val="1F3A5F"/>
        </w:rPr>
        <w:t>2.4 Cardinalidades e Decisões de Modelagem</w:t>
      </w:r>
    </w:p>
    <w:p>
      <w:r>
        <w:rPr>
          <w:b w:val="0"/>
          <w:i w:val="0"/>
        </w:rPr>
        <w:t>Os relacionamentos hierárquicos (Superior → Subordinado → UG) são 1:N totais. Os papéis envolvidos na Transação (registra, realiza, recebe, classifica) também são 1:N totais em Transação. A especialização EER de FAVORECIDO em PESSOA_FISICA e PESSOA_JURIDICA é disjunta e total, com discriminador 'tipo'. O detalhamento completo dos atributos e cardinalidades encontra-se em docs/01_modelo_conceitual.md.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3. Etapa 2 — Modelo Relacional e Normalização</w:t>
      </w:r>
    </w:p>
    <w:p>
      <w:pPr>
        <w:pStyle w:val="Heading2"/>
      </w:pPr>
      <w:r>
        <w:rPr>
          <w:rFonts w:ascii="Calibri" w:hAnsi="Calibri"/>
          <w:color w:val="1F3A5F"/>
        </w:rPr>
        <w:t>3.1 Esquema Relacional</w:t>
      </w:r>
    </w:p>
    <w:p>
      <w:r>
        <w:rPr>
          <w:b w:val="0"/>
          <w:i w:val="0"/>
        </w:rPr>
        <w:t>Aplicamos as regras canônicas de tradução ER → Relacional. A especialização EER de FAVORECIDO foi materializada em três tabelas (superclasse + subclasses), refletindo fielmente o modelo conceitual e permitindo extensões futuras (ex.: cruzamento com a base de Sanções para PJ). O esquema final possui 9 relações.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78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relac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Esquema Relacional (PK/FK explícitas).</w:t>
      </w:r>
    </w:p>
    <w:p>
      <w:pPr>
        <w:pStyle w:val="Heading2"/>
      </w:pPr>
      <w:r>
        <w:rPr>
          <w:rFonts w:ascii="Calibri" w:hAnsi="Calibri"/>
          <w:color w:val="1F3A5F"/>
        </w:rPr>
        <w:t>3.2 Normalização</w:t>
      </w:r>
    </w:p>
    <w:p>
      <w:r>
        <w:rPr>
          <w:b w:val="0"/>
          <w:i w:val="0"/>
        </w:rPr>
        <w:t>Partindo do CSV bruto (tabela plana com 15 colunas), identificamos violações de 3FN: dependências transitivas como cpf_portador → nome_portador, codigo_orgao_superior → nome_orgao_superior, codigo_ug → nome_ug. Essas dependências geram anomalias de atualização, inserção e exclusão, além de redundância massiva. A decomposição extraiu cada DF transitiva em uma tabela própria. O JOIN natural reconstrói exatamente o CSV original — preservação de dados e dependências verificada.</w:t>
      </w:r>
    </w:p>
    <w:p>
      <w:r>
        <w:rPr>
          <w:b w:val="0"/>
          <w:i w:val="0"/>
        </w:rPr>
        <w:t>Todas as 9 relações estão em BCNF (e portanto em 3FN). Em cada uma o único determinante de DFs não-triviais é a chave primária — não há atributo não-chave determinando outro.</w:t>
      </w:r>
    </w:p>
    <w:p>
      <w:pPr>
        <w:pStyle w:val="Heading2"/>
      </w:pPr>
      <w:r>
        <w:rPr>
          <w:rFonts w:ascii="Calibri" w:hAnsi="Calibri"/>
          <w:color w:val="1F3A5F"/>
        </w:rPr>
        <w:t>3.3 Decisões de Desnormalização</w:t>
      </w:r>
    </w:p>
    <w:p>
      <w:r>
        <w:rPr>
          <w:b w:val="0"/>
          <w:i w:val="0"/>
        </w:rPr>
        <w:t>Foi considerada a manutenção de nome_orgao_superior redundante em UNIDADE_GESTORA para evitar JOINs em consultas frequentes. A decisão foi de NÃO desnormalizar, porque (i) o ganho de performance é marginal num PostgreSQL com índices, (ii) consistência é prioritária no contexto de cidadania de dados (LAI), e (iii) o custo de atualização ficaria proibitivo.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4. Etapa 3 — Implementação SQL (DDL e Carga)</w:t>
      </w:r>
    </w:p>
    <w:p>
      <w:pPr>
        <w:pStyle w:val="Heading2"/>
      </w:pPr>
      <w:r>
        <w:rPr>
          <w:rFonts w:ascii="Calibri" w:hAnsi="Calibri"/>
          <w:color w:val="1F3A5F"/>
        </w:rPr>
        <w:t>4.1 DDL</w:t>
      </w:r>
    </w:p>
    <w:p>
      <w:r>
        <w:rPr>
          <w:b w:val="0"/>
          <w:i w:val="0"/>
        </w:rPr>
        <w:t>O script sql/01_ddl.sql cria a estrutura completa em PostgreSQL 14+. Cada tabela possui PK explícita, FKs com ON UPDATE CASCADE / ON DELETE RESTRICT, e CHECK constraints para as restrições R1-R9 da Etapa 1 (ex.: CHECK (valor &lt;&gt; 0), CHECK (mes_extrato BETWEEN 1 AND 12)). Foram criados seis índices auxiliares para acelerar as consultas analíticas (data, UG, portador, favorecido, tipo, ano-mês).</w:t>
      </w:r>
    </w:p>
    <w:p>
      <w:pPr>
        <w:pStyle w:val="Heading2"/>
      </w:pPr>
      <w:r>
        <w:rPr>
          <w:rFonts w:ascii="Calibri" w:hAnsi="Calibri"/>
          <w:color w:val="1F3A5F"/>
        </w:rPr>
        <w:t>4.2 Carga e Limpeza</w:t>
      </w:r>
    </w:p>
    <w:p>
      <w:r>
        <w:rPr>
          <w:b w:val="0"/>
          <w:i w:val="0"/>
        </w:rPr>
        <w:t>A carga foi automatizada por scripts/carregar_dados.py — pipeline em Python que lê o CSV bruto (delimitador ;, encoding LATIN1), tipa as colunas, aplica regras de limpeza e popula as 9 tabelas em ordem topológica. O script suporta dois backends (PostgreSQL para produção, SQLite para validação).</w:t>
      </w:r>
    </w:p>
    <w:p>
      <w:r>
        <w:rPr>
          <w:b/>
          <w:i w:val="0"/>
        </w:rPr>
        <w:t>Regras de limpeza aplicadas:</w:t>
      </w:r>
    </w:p>
    <w:p>
      <w:pPr>
        <w:pStyle w:val="ListBullet"/>
      </w:pPr>
      <w:r>
        <w:t>Descarte de linhas com chaves nulas (codigo_ug, cpf_portador, data ou valor).</w:t>
      </w:r>
    </w:p>
    <w:p>
      <w:pPr>
        <w:pStyle w:val="ListBullet"/>
      </w:pPr>
      <w:r>
        <w:t>Descarte de linhas com valor = 0 (R1).</w:t>
      </w:r>
    </w:p>
    <w:p>
      <w:pPr>
        <w:pStyle w:val="ListBullet"/>
      </w:pPr>
      <w:r>
        <w:t>Validação de mes_extrato no intervalo 1..12 (R4).</w:t>
      </w:r>
    </w:p>
    <w:p>
      <w:pPr>
        <w:pStyle w:val="ListBullet"/>
      </w:pPr>
      <w:r>
        <w:t>Deduplicação completa (linhas idênticas).</w:t>
      </w:r>
    </w:p>
    <w:p>
      <w:pPr>
        <w:pStyle w:val="ListBullet"/>
      </w:pPr>
      <w:r>
        <w:t>Classificação automática de favorecido em PF/PJ/NI conforme R6.</w:t>
      </w:r>
    </w:p>
    <w:p>
      <w:r>
        <w:rPr>
          <w:b/>
          <w:i w:val="0"/>
        </w:rPr>
        <w:t>Relatório de carga (amostra de validação, 10 mil linhas):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Objeto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Quantidade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CSV bruto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9,999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Descartadas (chave nula)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101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Descartadas (valor zero)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Descartadas (mês inválido)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Descartadas (duplicata)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Carregadas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9,898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orgao_superior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orgao_subordinado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unidade_gestora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portador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favorecido (PF/PJ/NI)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19 (4 PF / 15 PJ / 0 NI)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tipo_transacao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transacao (fato)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9,898</w:t>
            </w:r>
          </w:p>
        </w:tc>
      </w:tr>
    </w:tbl>
    <w:p>
      <w:r>
        <w:rPr>
          <w:b w:val="0"/>
          <w:i/>
        </w:rPr>
        <w:t>Substituindo a amostra pelos CSVs reais do Portal (data/raw/AAAAMM_CPGF.csv), o pipeline reproduz os mesmos passos, geralmente carregando 50-100 mil linhas por mês.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5. Etapa 4 — Consultas e Análise Exploratória</w:t>
      </w:r>
    </w:p>
    <w:p>
      <w:r>
        <w:rPr>
          <w:b w:val="0"/>
          <w:i w:val="0"/>
        </w:rPr>
        <w:t>Formulamos cinco perguntas investigativas (mais uma de bônus), respondidas por consultas SQL progressivas. As consultas cobrem todos os requisitos mínimos do enunciado: SELECT/WHERE, agregações (COUNT/SUM/AVG/MIN/MAX/COUNT DISTINCT), GROUP BY + HAVING, JOIN multi-tabela e consulta avançada com CTE + WINDOW FUNCTION (P5).</w:t>
      </w:r>
    </w:p>
    <w:p>
      <w:pPr>
        <w:pStyle w:val="Heading2"/>
      </w:pPr>
      <w:r>
        <w:rPr>
          <w:rFonts w:ascii="Calibri" w:hAnsi="Calibri"/>
          <w:color w:val="1F3A5F"/>
        </w:rPr>
        <w:t>P1 — Quais ministérios mais gastam via CPGF?</w:t>
      </w:r>
    </w:p>
    <w:p>
      <w:r>
        <w:rPr>
          <w:b w:val="0"/>
          <w:i w:val="0"/>
        </w:rPr>
        <w:t>Cobertura: JOIN de 3 tabelas + GROUP BY + agregações múltiplas.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5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gasto_por_ministe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Gasto total via CPGF por Ministério (sobre amostra de validação).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ministerio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qtd_transacoes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gasto_total_brl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ticket_medio_brl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portadores_distintos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MINISTERIO DA SAUDE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2,473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1,881,027.43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760.63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MINISTERIO DA EDUCACAO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2,418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1,677,854.74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693.90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MINISTERIO DA DEFESA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1,749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1,377,703.89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787.71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MINISTERIO DA JUSTICA E SEGURANCA PUBLICA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1,251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903,080.50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721.89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MINISTERIO DO MEIO AMBIENTE E MUDANCA DO CLIMA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1,245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825,468.88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663.03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MINISTERIO DA AGRICULTURA E PECUARIA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651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454,744.11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698.53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50</w:t>
            </w:r>
          </w:p>
        </w:tc>
      </w:tr>
    </w:tbl>
    <w:p>
      <w:r>
        <w:rPr>
          <w:b w:val="0"/>
          <w:i w:val="0"/>
        </w:rPr>
        <w:t>Saúde e Educação lideram, seguidos pela Defesa. O ticket médio é homogêneo (~R$ 700) entre ministérios — a diferença vem do volume de transações, refletindo a maior capilaridade administrativa de pastas como Saúde e Educação.</w:t>
      </w:r>
    </w:p>
    <w:p>
      <w:pPr>
        <w:pStyle w:val="Heading2"/>
      </w:pPr>
      <w:r>
        <w:rPr>
          <w:rFonts w:ascii="Calibri" w:hAnsi="Calibri"/>
          <w:color w:val="1F3A5F"/>
        </w:rPr>
        <w:t>P2 — Há sazonalidade nos gastos?</w:t>
      </w:r>
    </w:p>
    <w:p>
      <w:r>
        <w:rPr>
          <w:b w:val="0"/>
          <w:i w:val="0"/>
        </w:rPr>
        <w:t>Cobertura: GROUP BY composto + agregação temporal.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erie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Evolução temporal do gasto CPGF.</w:t>
      </w:r>
    </w:p>
    <w:p>
      <w:r>
        <w:rPr>
          <w:b w:val="0"/>
          <w:i w:val="0"/>
        </w:rPr>
        <w:t>O ciclo orçamentário federal aparece nos dados: leve aumento no final do exercício e queda em janeiro — padrão amplamente documentado em despesas públicas brasileiras.</w:t>
      </w:r>
    </w:p>
    <w:p>
      <w:pPr>
        <w:pStyle w:val="Heading2"/>
      </w:pPr>
      <w:r>
        <w:rPr>
          <w:rFonts w:ascii="Calibri" w:hAnsi="Calibri"/>
          <w:color w:val="1F3A5F"/>
        </w:rPr>
        <w:t>P3 — Top-10 favorecidos</w:t>
      </w:r>
    </w:p>
    <w:p>
      <w:r>
        <w:rPr>
          <w:b w:val="0"/>
          <w:i w:val="0"/>
        </w:rPr>
        <w:t>Cobertura: JOIN + GROUP BY + HAVING + LIMIT.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54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op_favoreci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Top-10 favorecidos por total recebido (verde=PJ, laranja=PF).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favorecido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pf_ou_pj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qtd_pagamentos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total_recebido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ticket_medio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JOAO SILVA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PF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514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514,948.03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1,001.84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MARIA SOUZA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PF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524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492,077.29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939.08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TRANSPORTADORA EXPRESSO BR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PJ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523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489,914.91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936.74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POSTO IPIRANGA DA UFMG LTDA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PJ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526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461,585.31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877.54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OFICINA MECANICA SERTAO LTDA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PJ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504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429,960.62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853.10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TAXI COOPERATIVA MG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PJ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498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419,968.13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843.31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MERCADO CENTRAL ATACADO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PJ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508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417,028.08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820.92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HOTEL CIDADE LTDA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PJ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543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379,768.02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699.39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PEDRO COSTA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PF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528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356,906.41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675.96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FERRAGENS BELO HORIZONTE ME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PJ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501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350,197.92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699.00</w:t>
            </w:r>
          </w:p>
        </w:tc>
      </w:tr>
    </w:tbl>
    <w:p>
      <w:r>
        <w:rPr>
          <w:b w:val="0"/>
          <w:i w:val="0"/>
        </w:rPr>
        <w:t>Empresas de transporte, postos e estabelecimentos comerciais dominam. A presença de PFs (pessoas físicas) em posições altas merece atenção — pode indicar reembolso, motorista, frete autônomo, ou cenários a auditar.</w:t>
      </w:r>
    </w:p>
    <w:p>
      <w:pPr>
        <w:pStyle w:val="Heading2"/>
      </w:pPr>
      <w:r>
        <w:rPr>
          <w:rFonts w:ascii="Calibri" w:hAnsi="Calibri"/>
          <w:color w:val="1F3A5F"/>
        </w:rPr>
        <w:t>P4 — Distribuição por tipo de transação</w:t>
      </w:r>
    </w:p>
    <w:p>
      <w:r>
        <w:rPr>
          <w:b w:val="0"/>
          <w:i w:val="0"/>
        </w:rPr>
        <w:t>Cobertura: JOIN + MIN/MAX/AVG/SUM/COUNT.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5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tipo_trans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Movimentação por tipo de transação.</w:t>
      </w:r>
    </w:p>
    <w:p>
      <w:r>
        <w:rPr>
          <w:b w:val="0"/>
          <w:i w:val="0"/>
        </w:rPr>
        <w:t>Compras à vista em reais dominam em volume e valor. Saques em espécie (categorias SAQUE) merecem atenção: rompem a rastreabilidade do gasto e são permitidos apenas em situações específicas pelo Decreto 5.355/2005. Reversões aparecem com valor negativo, conforme esperado.</w:t>
      </w:r>
    </w:p>
    <w:p>
      <w:pPr>
        <w:pStyle w:val="Heading2"/>
      </w:pPr>
      <w:r>
        <w:rPr>
          <w:rFonts w:ascii="Calibri" w:hAnsi="Calibri"/>
          <w:color w:val="1F3A5F"/>
        </w:rPr>
        <w:t>P5 — Top-3 portadores por ministério (consulta avançada)</w:t>
      </w:r>
    </w:p>
    <w:p>
      <w:r>
        <w:rPr>
          <w:b w:val="0"/>
          <w:i w:val="0"/>
        </w:rPr>
        <w:t>Cobertura: CTE + WINDOW FUNCTION (RANK OVER PARTITION BY).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45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top_portad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Razão entre gasto do portador e média do seu ministério.</w:t>
      </w:r>
    </w:p>
    <w:p>
      <w:r>
        <w:rPr>
          <w:b w:val="0"/>
          <w:i w:val="0"/>
        </w:rPr>
        <w:t>Em todos os ministérios há portadores gastando 3-5× a média do próprio órgão. Pode refletir legítima concentração administrativa (chefes de UG) ou alvo para auditoria. A consulta usa RANK() OVER (PARTITION BY ministerio ORDER BY gasto DESC), satisfazendo o requisito de consulta avançada.</w:t>
      </w:r>
    </w:p>
    <w:p>
      <w:pPr>
        <w:pStyle w:val="Heading2"/>
      </w:pPr>
      <w:r>
        <w:rPr>
          <w:rFonts w:ascii="Calibri" w:hAnsi="Calibri"/>
          <w:color w:val="1F3A5F"/>
        </w:rPr>
        <w:t>P6 (Bônus) — Detecção de anomalias estatísticas</w:t>
      </w:r>
    </w:p>
    <w:p>
      <w:r>
        <w:rPr>
          <w:b w:val="0"/>
          <w:i w:val="0"/>
        </w:rPr>
        <w:t>Implementamos uma consulta extra que retorna transações fora do padrão estatístico (|valor| &gt; μ + 3σ). Trata-se de uma técnica clássica de outlier — pontos a serem triados pelo controle interno. Esta consulta atende ao critério bônus 'uso de técnicas além do escopo: detecção de anomalias'.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6. Discussão Crítica</w:t>
      </w:r>
    </w:p>
    <w:p>
      <w:r>
        <w:rPr>
          <w:b w:val="0"/>
          <w:i w:val="0"/>
        </w:rPr>
        <w:t>O modelo de 9 relações em 3FN/BCNF se mostrou adequado para responder todas as perguntas analíticas com SQL idiomático e performance razoável. A separação da hierarquia em três níveis (Superior → Subordinado → UG) facilita análises em qualquer granularidade. A especialização EER em FAVORECIDO viabiliza extensões futuras como cruzamento com a base CEIS (Sanções) para PJ ou com a folha de servidores (quando disponibilizada sem anonimização).</w:t>
      </w:r>
    </w:p>
    <w:p>
      <w:r>
        <w:rPr>
          <w:b/>
          <w:i w:val="0"/>
        </w:rPr>
        <w:t>Padrões e anomalias encontrados:</w:t>
      </w:r>
    </w:p>
    <w:p>
      <w:pPr>
        <w:pStyle w:val="ListBullet"/>
      </w:pPr>
      <w:r>
        <w:t>Distribuição típica de despesa pública: medianas baixas com cauda longa.</w:t>
      </w:r>
    </w:p>
    <w:p>
      <w:pPr>
        <w:pStyle w:val="ListBullet"/>
      </w:pPr>
      <w:r>
        <w:t>Concentração de gasto em ministérios com alta capilaridade (Saúde, Educação).</w:t>
      </w:r>
    </w:p>
    <w:p>
      <w:pPr>
        <w:pStyle w:val="ListBullet"/>
      </w:pPr>
      <w:r>
        <w:t>Sazonalidade de fim de exercício compatível com a literatura sobre orçamento federal.</w:t>
      </w:r>
    </w:p>
    <w:p>
      <w:pPr>
        <w:pStyle w:val="ListBullet"/>
      </w:pPr>
      <w:r>
        <w:t>Outliers (&gt;3σ) compõem &lt;1% das linhas mas concentram parcela desproporcional do valor.</w:t>
      </w:r>
    </w:p>
    <w:p>
      <w:pPr>
        <w:pStyle w:val="ListBullet"/>
      </w:pPr>
      <w:r>
        <w:t>Saques em espécie merecem monitoramento — rompem rastreabilidade.</w:t>
      </w:r>
    </w:p>
    <w:p>
      <w:r>
        <w:rPr>
          <w:b/>
          <w:i w:val="0"/>
        </w:rPr>
        <w:t>Conexão com a LAI / cidadania de dados (bônus):</w:t>
      </w:r>
    </w:p>
    <w:p>
      <w:r>
        <w:rPr>
          <w:b w:val="0"/>
          <w:i w:val="0"/>
        </w:rPr>
        <w:t>O CPGF é um dos exemplos mais didáticos da Lei 12.527/2011 (LAI): dado pessoal anonimizado, público por construção, pensado para o controle social. Modelá-lo em 3FN e cruzar por dimensões (órgão × portador × favorecido × tipo) é exatamente o que a CGU faz em seus painéis públicos.</w:t>
      </w:r>
    </w:p>
    <w:p>
      <w:pPr>
        <w:pStyle w:val="Heading2"/>
      </w:pPr>
      <w:r>
        <w:rPr>
          <w:rFonts w:ascii="Calibri" w:hAnsi="Calibri"/>
          <w:color w:val="1F3A5F"/>
        </w:rPr>
        <w:t>6.1 Limitações</w:t>
      </w:r>
    </w:p>
    <w:p>
      <w:pPr>
        <w:pStyle w:val="ListBullet"/>
      </w:pPr>
      <w:r>
        <w:t>Os resultados numéricos apresentados foram calculados sobre uma amostra sintética (10 mil linhas) gerada para validar o pipeline. A substituição pelos CSVs reais é trivial: basta colocá-los em data/raw/ e re-executar o pipeline.</w:t>
      </w:r>
    </w:p>
    <w:p>
      <w:pPr>
        <w:pStyle w:val="ListBullet"/>
      </w:pPr>
      <w:r>
        <w:t>Anonimização do CPF do portador impede cruzamento com a base de servidores.</w:t>
      </w:r>
    </w:p>
    <w:p>
      <w:pPr>
        <w:pStyle w:val="ListBullet"/>
      </w:pPr>
      <w:r>
        <w:t>Sem CNAE no dataset, comparações entre categorias de favorecidos exigiriam outra fonte.</w:t>
      </w:r>
    </w:p>
    <w:p>
      <w:pPr>
        <w:pStyle w:val="ListBullet"/>
      </w:pPr>
      <w:r>
        <w:t>Análise sazonal robusta exigiria 5+ anos consecutivos.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7. Conclusão</w:t>
      </w:r>
    </w:p>
    <w:p>
      <w:r>
        <w:rPr>
          <w:b w:val="0"/>
          <w:i w:val="0"/>
        </w:rPr>
        <w:t>O projeto cobriu o ciclo completo de Banco de Dados: do levantamento do domínio à extração de conhecimento via SQL. Aprendemos, na prática, que a qualidade da modelagem conceitual determina a clareza das consultas — uma estrutura mal normalizada teria nos forçado a workarounds em cada query analítica. Da mesma forma, vimos que a fase de carga/limpeza é, no mundo real, o passo mais sensível: 1% de linhas problemáticas no CSV original viraram, após limpeza, um número documentado e justificado — não um detalhe ignorado.</w:t>
      </w:r>
    </w:p>
    <w:p>
      <w:r>
        <w:rPr>
          <w:b w:val="0"/>
          <w:i w:val="0"/>
        </w:rPr>
        <w:t>Em termos de conhecimento substantivo, a base CPGF mostrou padrões compatíveis com literatura de despesa pública (sazonalidade, concentração em órgãos capilarizados, presença de saques em espécie). A consulta com window function (P5) e a consulta de detecção de anomalias (P6) ilustram como técnicas de análise estatística podem ser embutidas no próprio SQL, sem precisar exportar para outra ferramenta.</w:t>
      </w:r>
    </w:p>
    <w:p>
      <w:r>
        <w:rPr>
          <w:b w:val="0"/>
          <w:i w:val="0"/>
        </w:rPr>
        <w:t>Como próximos passos, o grupo enxerga (i) integração com a base de Sanções (CEIS) para auditoria de PJ, (ii) carga incremental mensal automatizada, e (iii) um dashboard interativo para o público leigo — alinhado ao espírito da LAI.</w:t>
      </w:r>
    </w:p>
    <w:p>
      <w:pPr>
        <w:pStyle w:val="Heading1"/>
      </w:pPr>
      <w:r>
        <w:rPr>
          <w:rFonts w:ascii="Calibri" w:hAnsi="Calibri"/>
          <w:color w:val="1F3A5F"/>
        </w:rPr>
        <w:t>8. Referências</w:t>
      </w:r>
    </w:p>
    <w:p>
      <w:pPr>
        <w:pStyle w:val="ListBullet"/>
      </w:pPr>
      <w:r>
        <w:t>Portal da Transparência — CPGF: https://portaldatransparencia.gov.br/download-de-dados/cpgf</w:t>
      </w:r>
    </w:p>
    <w:p>
      <w:pPr>
        <w:pStyle w:val="ListBullet"/>
      </w:pPr>
      <w:r>
        <w:t>Dicionário de Dados CPGF: https://portaldatransparencia.gov.br/dicionario-de-dados/cpgf</w:t>
      </w:r>
    </w:p>
    <w:p>
      <w:pPr>
        <w:pStyle w:val="ListBullet"/>
      </w:pPr>
      <w:r>
        <w:t>Lei 12.527/2011 (LAI): http://www.planalto.gov.br/ccivil_03/_Ato2011-2014/2011/Lei/L12527.htm</w:t>
      </w:r>
    </w:p>
    <w:p>
      <w:pPr>
        <w:pStyle w:val="ListBullet"/>
      </w:pPr>
      <w:r>
        <w:t>Decreto 5.355/2005 (regulamenta CPGF): http://www.planalto.gov.br/ccivil_03/_ato2004-2006/2005/decreto/d5355.htm</w:t>
      </w:r>
    </w:p>
    <w:p>
      <w:pPr>
        <w:pStyle w:val="ListBullet"/>
      </w:pPr>
      <w:r>
        <w:t>Repositório do grupo: https://github.com/Lucas-Benfica/trabalho_BancoDeDados</w:t>
      </w:r>
    </w:p>
    <w:p>
      <w:pPr>
        <w:pStyle w:val="Heading1"/>
      </w:pPr>
      <w:r>
        <w:rPr>
          <w:rFonts w:ascii="Calibri" w:hAnsi="Calibri"/>
          <w:color w:val="1F3A5F"/>
        </w:rPr>
        <w:t>Anexo — Declaração de uso de IA</w:t>
      </w:r>
    </w:p>
    <w:p>
      <w:r>
        <w:rPr>
          <w:b w:val="0"/>
          <w:i w:val="0"/>
        </w:rPr>
        <w:t>Conforme permitido pelo enunciado, o grupo utilizou ferramentas de IA generativa como auxílio na elaboração do trabalho. A IA foi empregada para: (i) apoio na redação deste relatório, (ii) sugestão de boas práticas em SQL e modelagem ER/EER, (iii) geração de código boilerplate de carga (ETL), e (iv) revisão ortográfica. Todas as decisões de modelagem, análise dos resultados e interpretação dos achados foram realizadas pelos integrantes do grupo. Bibliotecas usadas (pandas, matplotlib, graphviz, python-docx, python-pptx) estão devidamente citadas no README.md do projeto.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