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Políticas de Crédito — Especificação</w:t>
      </w:r>
    </w:p>
    <w:p>
      <w:r>
        <w:t>Este documento descreve as regras de negócio para o motor de crédito. As políticas devem ser implementadas no pipeline PySpark.</w:t>
      </w:r>
    </w:p>
    <w:p/>
    <w:p>
      <w:r>
        <w:rPr>
          <w:b/>
        </w:rPr>
        <w:t xml:space="preserve">Política 1: </w:t>
      </w:r>
      <w:r>
        <w:t>SE score maior que 800, classificar cliente como SUPER_VIP. Caso contrário, classificar como COMUM.</w:t>
      </w:r>
    </w:p>
    <w:p>
      <w:r>
        <w:rPr>
          <w:b/>
        </w:rPr>
        <w:t xml:space="preserve">Política 2: </w:t>
      </w:r>
      <w:r>
        <w:t>SE a renda do cliente for menor que 1000 reais, o crédito deve ser NEGADO. Senão, encaminhar para ANALISE.</w:t>
      </w:r>
    </w:p>
    <w:p>
      <w:r>
        <w:rPr>
          <w:b/>
        </w:rPr>
        <w:t xml:space="preserve">Política 3: </w:t>
      </w:r>
      <w:r>
        <w:t>Clientes com idade igual a 18 anos recebem um bônus de 50 pontos no score final.</w:t>
      </w:r>
    </w:p>
    <w:p>
      <w:r>
        <w:rPr>
          <w:b/>
        </w:rPr>
        <w:t xml:space="preserve">Política 4: </w:t>
      </w:r>
      <w:r>
        <w:t>SE o estado do cliente é SP, aplicar taxa de 2%. Para outros estados, aplicar taxa de 10%.</w:t>
      </w:r>
    </w:p>
    <w:p>
      <w:r>
        <w:rPr>
          <w:b/>
        </w:rPr>
        <w:t xml:space="preserve">Política 5: </w:t>
      </w:r>
      <w:r>
        <w:t>SE o código do produto estiver entre 10, 20 ou 30, a categoria deve ser ESPECIAL. Caso contrário, NORMAL.</w:t>
      </w:r>
    </w:p>
    <w:p>
      <w:r>
        <w:rPr>
          <w:b/>
        </w:rPr>
        <w:t xml:space="preserve">Política 6: </w:t>
      </w:r>
      <w:r>
        <w:t>SE score acima de 700 E renda acima de 2000, o cliente recebe status PREMIUM.</w:t>
      </w:r>
    </w:p>
    <w:p>
      <w:r>
        <w:rPr>
          <w:b/>
        </w:rPr>
        <w:t xml:space="preserve">Política 7: </w:t>
      </w:r>
      <w:r>
        <w:t>SE idade menor que 21 OU idade maior que 65, aplicar fator de risco 1.5. Senão, fator 1.0.</w:t>
      </w:r>
    </w:p>
    <w:p>
      <w:r>
        <w:rPr>
          <w:b/>
        </w:rPr>
        <w:t xml:space="preserve">Política 8: </w:t>
      </w:r>
      <w:r>
        <w:t>SE o cliente possui mais de 3 contratos ativos, bloquear novas contratações.</w:t>
      </w:r>
    </w:p>
    <w:p>
      <w:r>
        <w:rPr>
          <w:b/>
        </w:rPr>
        <w:t xml:space="preserve">Política 9: </w:t>
      </w:r>
      <w:r>
        <w:t>Clientes do Rio de Janeiro devem pagar uma sobretaxa de 5% sobre o valor aprovado.</w:t>
      </w:r>
    </w:p>
    <w:p>
      <w:r>
        <w:rPr>
          <w:b/>
        </w:rPr>
        <w:t xml:space="preserve">Política 10: </w:t>
      </w:r>
      <w:r>
        <w:t>SE o tipo de contrato for LEASING, o prazo máximo é 48 meses. Para outros tipos, 60 meses.</w:t>
      </w:r>
    </w:p>
    <w:p/>
    <w:p>
      <w:r>
        <w:t>— Fim do documento de especificação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