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W xmlns:w="http://schemas.openxmlformats.org/wordprocessingml/2006/main" w:w="9360" w:type="dxa"/>
        <w:jc xmlns:w="http://schemas.openxmlformats.org/wordprocessingml/2006/main" w:val="center"/>
        <w:tblLayout xmlns:w="http://schemas.openxmlformats.org/wordprocessingml/2006/main" w:type="fixed"/>
        <w:tblCellMar xmlns:w="http://schemas.openxmlformats.org/wordprocessingml/2006/main">
          <w:top xmlns:w="http://schemas.openxmlformats.org/wordprocessingml/2006/main" w:w="0" w:type="dxa"/>
          <w:left xmlns:w="http://schemas.openxmlformats.org/wordprocessingml/2006/main" w:w="60" w:type="dxa"/>
          <w:bottom xmlns:w="http://schemas.openxmlformats.org/wordprocessingml/2006/main" w:w="0" w:type="dxa"/>
          <w:right xmlns:w="http://schemas.openxmlformats.org/wordprocessingml/2006/main" w:w="60" w:type="dxa"/>
        </w:tblCellMar>
        <w:tblLook xmlns:w="http://schemas.openxmlformats.org/wordprocessingml/2006/main" w:firstRow="0" w:lastRow="0" w:firstColumn="0" w:lastColumn="0" w:noHBand="0" w:noVBand="0"/>
      </w:tblPr>
      <w:tblGrid>
        <w:gridCol w:w="835"/>
        <w:gridCol w:w="2340"/>
        <w:gridCol w:w="1755"/>
        <w:gridCol w:w="835"/>
        <w:gridCol w:w="835"/>
        <w:gridCol w:w="2760"/>
      </w:tblGrid>
      <w:tr>
        <w:trPr>
          <w:cantSplit/>
          <w:tblHeader/>
        </w:trPr>
        <w:tc>
          <w:tcPr>
            <w:tcW xmlns:w="http://schemas.openxmlformats.org/wordprocessingml/2006/main" w:w="835" w:type="dxa"/>
            <w:gridSpan xmlns:w="http://schemas.openxmlformats.org/wordprocessingml/2006/main" w:val="1"/>
            <w:vMerge xmlns:w="http://schemas.openxmlformats.org/wordprocessingml/2006/main" w:val="restart"/>
            <w:tcBorders xmlns:w="http://schemas.openxmlformats.org/wordprocessingml/2006/main">
              <w:top w:val="single" w:sz="16" w:space="0" w:color="D3D3D3"/>
            </w:tcBorders>
            <w:vAlign xmlns:w="http://schemas.openxmlformats.org/wordprocessingml/2006/main" w:val="bottom"/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4095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Cumulative effect, year 4</w:t>
            </w:r>
          </w:p>
        </w:tc>
        <w:tc>
          <w:tcPr>
            <w:tcW xmlns:w="http://schemas.openxmlformats.org/wordprocessingml/2006/main" w:w="1670" w:type="dxa"/>
            <w:gridSpan xmlns:w="http://schemas.openxmlformats.org/wordprocessingml/2006/main" w:val="2"/>
            <w:tcBorders xmlns:w="http://schemas.openxmlformats.org/wordprocessingml/2006/main">
              <w:top w:val="single" w:sz="16" w:space="0" w:color="D3D3D3"/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center"/>
            </w:pPr>
            <w:r>
              <w:rPr>
                <w:rFonts w:ascii="Calibri" w:hAnsi="Calibri"/>
                <w:sz w:val="18"/>
              </w:rPr>
              <w:t xml:space="default">Heterogeneity test, p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W xmlns:w="http://schemas.openxmlformats.org/wordprocessingml/2006/main" w:w="835" w:type="dxa"/>
            <w:vMerge xmlns:w="http://schemas.openxmlformats.org/wordprocessingml/2006/main" w:val="continue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/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Deaths per county (95% CI)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Rate ratio (95% CI)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T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T(−1)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bottom w:val="single" w:sz="16" w:space="0" w:color="D3D3D3"/>
            </w:tcBorders>
          </w:tcPr>
          <w:p>
            <w:pPr>
              <w:keepNext xmlns:w="http://schemas.openxmlformats.org/wordprocessingml/2006/main"/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Long trainings, exp(β) (95% CI)</w:t>
            </w:r>
          </w:p>
        </w:tc>
      </w:tr>
      <w:tr>
        <w:trPr>
          <w:cantSplit/>
        </w:trPr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TWFE</w:t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−0.35 (−0.81, 0.01)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(0.74, 1.01)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0.03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0.50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1.77 (0.79, 3.76)</w:t>
            </w:r>
          </w:p>
        </w:tc>
      </w:tr>
      <w:tr>
        <w:trPr>
          <w:cantSplit/>
        </w:trPr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ETWFE</w:t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−0.31 (−0.82, 0.17)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0.88 (0.73, 1.08)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&lt;0.01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0.07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1.24 (0.50, 3.09)</w:t>
            </w:r>
          </w:p>
        </w:tc>
      </w:tr>
      <w:tr>
        <w:trPr>
          <w:cantSplit/>
        </w:trPr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</w:t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−0.34 (−0.99, 0.20)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0.87 (0.70, 1.09)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0.12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1.26 (0.53, 2.91)</w:t>
            </w:r>
          </w:p>
        </w:tc>
      </w:tr>
      <w:tr>
        <w:trPr>
          <w:cantSplit/>
        </w:trPr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RW-IID</w:t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−0.37 (−0.94, 0.12)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0.86 (0.71, 1.06)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0.19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1.54 (0.68, 3.68)</w:t>
            </w:r>
          </w:p>
        </w:tc>
      </w:tr>
      <w:tr>
        <w:trPr>
          <w:cantSplit/>
        </w:trPr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RW-ST</w:t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−0.41 (−1.01, 0.15)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 (0.69, 1.07)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0.60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1.31 (0.52, 3.35)</w:t>
            </w:r>
          </w:p>
        </w:tc>
      </w:tr>
      <w:tr>
        <w:trPr>
          <w:cantSplit/>
        </w:trPr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left"/>
            </w:pPr>
            <w:r>
              <w:rPr>
                <w:rFonts w:ascii="Calibri" w:hAnsi="Calibri"/>
                <w:sz w:val="18"/>
              </w:rPr>
              <w:t xml:space="default">GB-Ens</w:t>
            </w:r>
          </w:p>
        </w:tc>
        <w:tc>
          <w:tcPr>
            <w:tcW xmlns:w="http://schemas.openxmlformats.org/wordprocessingml/2006/main" w:w="234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−0.39 (−0.91, 0.17)</w:t>
            </w:r>
          </w:p>
        </w:tc>
        <w:tc>
          <w:tcPr>
            <w:tcW xmlns:w="http://schemas.openxmlformats.org/wordprocessingml/2006/main" w:w="175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0.85 (0.71, 1.08)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0.01</w:t>
            </w:r>
          </w:p>
        </w:tc>
        <w:tc>
          <w:tcPr>
            <w:tcW xmlns:w="http://schemas.openxmlformats.org/wordprocessingml/2006/main" w:w="835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0.18</w:t>
            </w:r>
          </w:p>
        </w:tc>
        <w:tc>
          <w:tcPr>
            <w:tcW xmlns:w="http://schemas.openxmlformats.org/wordprocessingml/2006/main" w:w="2760" w:type="dxa"/>
            <w:tcBorders xmlns:w="http://schemas.openxmlformats.org/wordprocessingml/2006/main">
              <w:top w:val="single" w:space="0" w:color="D3D3D3"/>
              <w:bottom w:val="single" w:space="0" w:color="D3D3D3"/>
            </w:tcBorders>
          </w:tcPr>
          <w:p>
            <w:pPr>
              <w:spacing xmlns:w="http://schemas.openxmlformats.org/wordprocessingml/2006/main" w:before="0" w:after="60"/>
              <w:jc xmlns:w="http://schemas.openxmlformats.org/wordprocessingml/2006/main" w:val="right"/>
            </w:pPr>
            <w:r>
              <w:rPr>
                <w:rFonts w:ascii="Calibri" w:hAnsi="Calibri"/>
                <w:sz w:val="18"/>
              </w:rPr>
              <w:t xml:space="default">1.11 (0.50, 2.53)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Noncore counties with five post-adoption years, cumulative through event year 4 (n = 82); models with covariates, full sample; 200 predictive draws per model.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Deaths per county: mean observed minus predicted cumulative deaths; rate ratio: observed over predicted deaths. Intervals from the predictive draws with Poisson noise.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Heterogeneity test: T tests whether county counts vary around the predictions more than expected from noise (weighted toward the largest counties); T(−1) drops the county with the largest contribution. p-values against the placebo null of the same model, the largest across the three simulation scenarios.</w:t>
            </w:r>
          </w:p>
        </w:tc>
      </w:tr>
      <w:tr>
        <w:trPr>
          <w:cantSplit/>
        </w:trPr>
        <w:tc>
          <w:tcPr>
            <w:tcW xmlns:w="http://schemas.openxmlformats.org/wordprocessingml/2006/main" w:w="9360" w:type="dxa"/>
            <w:gridSpan xmlns:w="http://schemas.openxmlformats.org/wordprocessingml/2006/main" w:val="6"/>
          </w:tcPr>
          <w:p>
            <w:pPr>
              <w:spacing xmlns:w="http://schemas.openxmlformats.org/wordprocessingml/2006/main" w:before="0" w:after="60"/>
            </w:pPr>
            <w:r>
              <w:rPr>
                <w:rFonts w:ascii="Calibri" w:hAnsi="Calibri"/>
                <w:sz w:val="18"/>
              </w:rPr>
              <w:t xml:space="default">Long trainings: ratio of rate ratios between the highest- and lowest-ranked county by long-training share (percentile rank), from a quasi-Poisson model with the prediction as offset, pooled over predictive draws.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2026-10-26T06:16:24Z</dcterms:created>
  <dcterms:modified xsi:type="dcterms:W3CDTF">2026-10-26T06:16:24Z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