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object Object]"/>
      <w:r>
        <w:rPr>
          <w:rFonts w:ascii="Arial" w:cs="Arial" w:eastAsia="Arial" w:hAnsi="Arial"/>
          <w:b/>
          <w:bCs/>
          <w:color w:val="1F3864"/>
          <w:sz w:val="28"/>
          <w:szCs w:val="28"/>
        </w:rPr>
        <w:t xml:space="preserve">1  Inleiding</w:t>
      </w:r>
      <w:bookmarkEnd w:id="[object Object]"/>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spacing w:after="140"/>
        <w:jc w:val="both"/>
      </w:pPr>
      <w:r>
        <w:rPr>
          <w:rFonts w:ascii="Arial" w:cs="Arial" w:eastAsia="Arial" w:hAnsi="Arial"/>
          <w:sz w:val="22"/>
          <w:szCs w:val="22"/>
        </w:rPr>
        <w:t xml:space="preserve">Voor de analyse zijn aanvullende features geconstrueerd: incident-labels op basis van domeinspecifieke sleutelwoorden en karakter-trigram representaties van berichten, zodat schrijfpatronen los van woordkeuze vergeleken kunnen worden. Alle stappen van preprocessing tot visualisatie zijn geautomatiseerd in een pipeline (zie GitHub), zodat de analyse reproduceerbaar is met één commando.</w:t>
      </w:r>
    </w:p>
    <w:p>
      <w:pPr>
        <w:pStyle w:val="Heading1"/>
        <w:pageBreakBefore/>
        <w:spacing w:after="120" w:before="280"/>
      </w:pPr>
      <w:bookmarkStart w:name="[object Object]"/>
      <w:r>
        <w:rPr>
          <w:rFonts w:ascii="Arial" w:cs="Arial" w:eastAsia="Arial" w:hAnsi="Arial"/>
          <w:b/>
          <w:bCs/>
          <w:color w:val="1F3864"/>
          <w:sz w:val="28"/>
          <w:szCs w:val="28"/>
        </w:rPr>
        <w:t xml:space="preserve">2  Categorische visualisatie</w:t>
      </w:r>
      <w:bookmarkEnd w:id="[object Object]"/>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bookmarkStart w:name="[object Object]"/>
      <w:r>
        <w:rPr>
          <w:rFonts w:ascii="Arial" w:cs="Arial" w:eastAsia="Arial" w:hAnsi="Arial"/>
          <w:b/>
          <w:bCs/>
          <w:color w:val="333333"/>
          <w:sz w:val="20"/>
          <w:szCs w:val="20"/>
        </w:rPr>
        <w:t xml:space="preserve">Figuur 1</w:t>
      </w:r>
      <w:bookmarkEnd w:id="[object Object]"/>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 Verder is dit een beschrijvende verdeling: dat Positief en Humor domineren, kan ook komen doordat een klein aantal actieve gebruikers verhoudingsgewijs veel emoji sturen. De grafiek toont het patroon, niet de oorzaak ervan.</w:t>
      </w:r>
    </w:p>
    <w:p>
      <w:pPr>
        <w:pStyle w:val="Heading1"/>
        <w:pageBreakBefore/>
        <w:spacing w:after="120" w:before="280"/>
      </w:pPr>
      <w:bookmarkStart w:name="[object Object]"/>
      <w:r>
        <w:rPr>
          <w:rFonts w:ascii="Arial" w:cs="Arial" w:eastAsia="Arial" w:hAnsi="Arial"/>
          <w:b/>
          <w:bCs/>
          <w:color w:val="1F3864"/>
          <w:sz w:val="28"/>
          <w:szCs w:val="28"/>
        </w:rPr>
        <w:t xml:space="preserve">3  Tijdreeksanalyse</w:t>
      </w:r>
      <w:bookmarkEnd w:id="[object Object]"/>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bookmarkStart w:name="[object Object]"/>
      <w:r>
        <w:rPr>
          <w:rFonts w:ascii="Arial" w:cs="Arial" w:eastAsia="Arial" w:hAnsi="Arial"/>
          <w:b/>
          <w:bCs/>
          <w:color w:val="333333"/>
          <w:sz w:val="20"/>
          <w:szCs w:val="20"/>
        </w:rPr>
        <w:t xml:space="preserve">Figuur 2</w:t>
      </w:r>
      <w:bookmarkEnd w:id="[object Object]"/>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 Daarnaast is de koppeling tussen de 18:00-piek en het einde van de springdag een plausibele interpretatie, maar geen bewezen oorzaak. Een alternatieve verklaring is dat 18:00 simpelweg het moment is waarop mensen überhaupt meer vrije tijd hebben, los van springen. Deze data alleen is niet voldoende om die verklaringen van elkaar te onderscheiden.</w:t>
      </w:r>
    </w:p>
    <w:p>
      <w:pPr>
        <w:pStyle w:val="Heading1"/>
        <w:pageBreakBefore/>
        <w:spacing w:after="120" w:before="280"/>
      </w:pPr>
      <w:bookmarkStart w:name="[object Object]"/>
      <w:r>
        <w:rPr>
          <w:rFonts w:ascii="Arial" w:cs="Arial" w:eastAsia="Arial" w:hAnsi="Arial"/>
          <w:b/>
          <w:bCs/>
          <w:color w:val="1F3864"/>
          <w:sz w:val="28"/>
          <w:szCs w:val="28"/>
        </w:rPr>
        <w:t xml:space="preserve">4  Distributievisualisatie</w:t>
      </w:r>
      <w:bookmarkEnd w:id="[object Object]"/>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bookmarkStart w:name="[object Object]"/>
      <w:r>
        <w:rPr>
          <w:rFonts w:ascii="Arial" w:cs="Arial" w:eastAsia="Arial" w:hAnsi="Arial"/>
          <w:b/>
          <w:bCs/>
          <w:color w:val="333333"/>
          <w:sz w:val="20"/>
          <w:szCs w:val="20"/>
        </w:rPr>
        <w:t xml:space="preserve">Figuur 3</w:t>
      </w:r>
      <w:bookmarkEnd w:id="[object Object]"/>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De y-as toont relatieve frequentie (benadering van kans), zodat de waargenomen verdeling direct te vergelijken is met de theoretische Poisson-kansen. 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 Bovendien toont een betere modelfit alleen dat het tijdsafhankelijke model de data beter beschrijft; het verklaart niet waarom het dagritme bestaat. Andere factoren, zoals werk- of schooltijden die niets met springen te maken hebben, kunnen hetzelfde patroon produceren.</w:t>
      </w:r>
    </w:p>
    <w:p>
      <w:pPr>
        <w:pStyle w:val="Heading1"/>
        <w:pageBreakBefore/>
        <w:spacing w:after="120" w:before="280"/>
      </w:pPr>
      <w:bookmarkStart w:name="[object Object]"/>
      <w:r>
        <w:rPr>
          <w:rFonts w:ascii="Arial" w:cs="Arial" w:eastAsia="Arial" w:hAnsi="Arial"/>
          <w:b/>
          <w:bCs/>
          <w:color w:val="1F3864"/>
          <w:sz w:val="28"/>
          <w:szCs w:val="28"/>
        </w:rPr>
        <w:t xml:space="preserve">5  Relatievisualisatie</w:t>
      </w:r>
      <w:bookmarkEnd w:id="[object Object]"/>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bookmarkStart w:name="[object Object]"/>
      <w:r>
        <w:rPr>
          <w:rFonts w:ascii="Arial" w:cs="Arial" w:eastAsia="Arial" w:hAnsi="Arial"/>
          <w:b/>
          <w:bCs/>
          <w:color w:val="333333"/>
          <w:sz w:val="20"/>
          <w:szCs w:val="20"/>
        </w:rPr>
        <w:t xml:space="preserve">Figuur 4</w:t>
      </w:r>
      <w:bookmarkEnd w:id="[object Object]"/>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 Een derde factor, zoals vliegweer, kan tegelijk de chatactiviteit verhogen én het incidentrisico vergroten, zonder dat drukte en incidenten elkaar direct veroorzaken. Dat soort confounding is niet uit te sluiten op basis van correlatie alleen.</w:t>
      </w:r>
    </w:p>
    <w:p>
      <w:pPr>
        <w:pStyle w:val="Heading1"/>
        <w:pageBreakBefore/>
        <w:spacing w:after="120" w:before="280"/>
      </w:pPr>
      <w:bookmarkStart w:name="[object Object]"/>
      <w:r>
        <w:rPr>
          <w:rFonts w:ascii="Arial" w:cs="Arial" w:eastAsia="Arial" w:hAnsi="Arial"/>
          <w:b/>
          <w:bCs/>
          <w:color w:val="1F3864"/>
          <w:sz w:val="28"/>
          <w:szCs w:val="28"/>
        </w:rPr>
        <w:t xml:space="preserve">6  Dimensiereductie</w:t>
      </w:r>
      <w:bookmarkEnd w:id="[object Object]"/>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bookmarkStart w:name="[object Object]"/>
      <w:r>
        <w:rPr>
          <w:rFonts w:ascii="Arial" w:cs="Arial" w:eastAsia="Arial" w:hAnsi="Arial"/>
          <w:b/>
          <w:bCs/>
          <w:color w:val="333333"/>
          <w:sz w:val="20"/>
          <w:szCs w:val="20"/>
        </w:rPr>
        <w:t xml:space="preserve">Figuur 5</w:t>
      </w:r>
      <w:bookmarkEnd w:id="[object Object]"/>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suggereert dat de herkenning via specifieke woorden gaat, niet via een andere algemene schrijfstijl. Tegelijk is dit een negatief resultaat: afwezigheid van zichtbaar cluster is geen bewijs van afwezigheid van structuur. De karakter-trigrammen zijn mogelijk te grof om fijnere stijlverschillen te detecteren, en een schijnbaar gemengde projectie kan ook het gevolg zijn van de feature-keuze in plaats van de werkelijkheid.</w:t>
      </w:r>
    </w:p>
    <w:p>
      <w:pPr>
        <w:pStyle w:val="Heading1"/>
        <w:pageBreakBefore/>
        <w:spacing w:after="120" w:before="280"/>
      </w:pPr>
      <w:bookmarkStart w:name="[object Object]"/>
      <w:r>
        <w:rPr>
          <w:rFonts w:ascii="Arial" w:cs="Arial" w:eastAsia="Arial" w:hAnsi="Arial"/>
          <w:b/>
          <w:bCs/>
          <w:color w:val="1F3864"/>
          <w:sz w:val="28"/>
          <w:szCs w:val="28"/>
        </w:rPr>
        <w:t xml:space="preserve">7  Conclusie</w:t>
      </w:r>
      <w:bookmarkEnd w:id="[object Object]"/>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w:t>
      </w:r>
      <w:hyperlink w:history="1" w:anchor="fig1">
        <w:r>
          <w:rPr>
            <w:rFonts w:ascii="Arial" w:cs="Arial" w:eastAsia="Arial" w:hAnsi="Arial"/>
            <w:color w:val="1F3864"/>
            <w:sz w:val="22"/>
            <w:szCs w:val="22"/>
            <w:u w:val="single"/>
          </w:rPr>
          <w:t xml:space="preserve">Figuur 1</w:t>
        </w:r>
      </w:hyperlink>
      <w:r>
        <w:rPr>
          <w:rFonts w:ascii="Arial" w:cs="Arial" w:eastAsia="Arial" w:hAnsi="Arial"/>
          <w:sz w:val="22"/>
          <w:szCs w:val="22"/>
        </w:rPr>
        <w:t xml:space="preserve">)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w:t>
      </w:r>
      <w:hyperlink w:history="1" w:anchor="fig2">
        <w:r>
          <w:rPr>
            <w:rFonts w:ascii="Arial" w:cs="Arial" w:eastAsia="Arial" w:hAnsi="Arial"/>
            <w:color w:val="1F3864"/>
            <w:sz w:val="22"/>
            <w:szCs w:val="22"/>
            <w:u w:val="single"/>
          </w:rPr>
          <w:t xml:space="preserve">Figuur 2</w:t>
        </w:r>
      </w:hyperlink>
      <w:r>
        <w:rPr>
          <w:rFonts w:ascii="Arial" w:cs="Arial" w:eastAsia="Arial" w:hAnsi="Arial"/>
          <w:sz w:val="22"/>
          <w:szCs w:val="22"/>
        </w:rPr>
        <w:t xml:space="preserve">)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w:t>
      </w:r>
      <w:hyperlink w:history="1" w:anchor="fig3">
        <w:r>
          <w:rPr>
            <w:rFonts w:ascii="Arial" w:cs="Arial" w:eastAsia="Arial" w:hAnsi="Arial"/>
            <w:color w:val="1F3864"/>
            <w:sz w:val="22"/>
            <w:szCs w:val="22"/>
            <w:u w:val="single"/>
          </w:rPr>
          <w:t xml:space="preserve">Figuur 3</w:t>
        </w:r>
      </w:hyperlink>
      <w:r>
        <w:rPr>
          <w:rFonts w:ascii="Arial" w:cs="Arial" w:eastAsia="Arial" w:hAnsi="Arial"/>
          <w:sz w:val="22"/>
          <w:szCs w:val="22"/>
        </w:rPr>
        <w:t xml:space="preserve">)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w:t>
      </w:r>
      <w:hyperlink w:history="1" w:anchor="fig4">
        <w:r>
          <w:rPr>
            <w:rFonts w:ascii="Arial" w:cs="Arial" w:eastAsia="Arial" w:hAnsi="Arial"/>
            <w:color w:val="1F3864"/>
            <w:sz w:val="22"/>
            <w:szCs w:val="22"/>
            <w:u w:val="single"/>
          </w:rPr>
          <w:t xml:space="preserve">Figuur 4</w:t>
        </w:r>
      </w:hyperlink>
      <w:r>
        <w:rPr>
          <w:rFonts w:ascii="Arial" w:cs="Arial" w:eastAsia="Arial" w:hAnsi="Arial"/>
          <w:sz w:val="22"/>
          <w:szCs w:val="22"/>
        </w:rPr>
        <w:t xml:space="preserve">)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w:t>
      </w:r>
      <w:hyperlink w:history="1" w:anchor="fig5">
        <w:r>
          <w:rPr>
            <w:rFonts w:ascii="Arial" w:cs="Arial" w:eastAsia="Arial" w:hAnsi="Arial"/>
            <w:color w:val="1F3864"/>
            <w:sz w:val="22"/>
            <w:szCs w:val="22"/>
            <w:u w:val="single"/>
          </w:rPr>
          <w:t xml:space="preserve">Figuur 5</w:t>
        </w:r>
      </w:hyperlink>
      <w:r>
        <w:rPr>
          <w:rFonts w:ascii="Arial" w:cs="Arial" w:eastAsia="Arial" w:hAnsi="Arial"/>
          <w:sz w:val="22"/>
          <w:szCs w:val="22"/>
        </w:rPr>
        <w:t xml:space="preserve">)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cvcxx3hyysrdxaftbgfwj">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vcxx3hyysrdxaftbgfwj"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2026-04-14T17:49:22.296Z</dcterms:created>
  <dcterms:modified xsi:type="dcterms:W3CDTF">2026-04-14T17:49:22.297Z</dcterms:modified>
</cp:coreProperties>
</file>

<file path=docProps/custom.xml><?xml version="1.0" encoding="utf-8"?>
<Properties xmlns="http://schemas.openxmlformats.org/officeDocument/2006/custom-properties" xmlns:vt="http://schemas.openxmlformats.org/officeDocument/2006/docPropsVTypes"/>
</file>