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Detecção de Fraude em Cartões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Resultados e Recomendações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DataRunk | Maio 2026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 que alcançamos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24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R$ 242.000 a menos em fraudes por mês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 novo modelo detecta 8 em cada 10 fraudes antes de causar prejuízo — contra 6 em cada 10 anteriormente.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Em termos anuais, isso representa uma economia potencial de R$ 2.9 milhões.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tabela abaixo compara o desempenho do modelo anterior com o modelo atual em linguagem de negócio: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anterior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atual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Fraudes detectadas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~6 em cada 10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8 em cada 10 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Prejuízo mensal residual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R$ 484.500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R$ 242.250 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Economia gerada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R$ 242.000/mês 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Capacidade discriminativa (AUC)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~0.78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0.90 ✓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os valores acima são projeções baseadas em premissas conservadoras (50.000 transações/mês, ticket médio de R$ 850, taxa de fraude de 3%). O impacto real deve ser calibrado com os dados operacionais da sua carteira.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Como o modelo toma decisões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modelo analisa cada transação em tempo real e atribui uma probabilidade de fraude. Se essa probabilidade ultrapassa um determinado limite, um alerta é gerado para revisão.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chegar ao resultado acima, calibramos esse limite de forma a capturar o máximo de fraudes reais sem gerar alertas em excesso para a equipe de revisão. A tabela abaixo mostra como diferentes configurações afetam o resultado: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Sensibilidade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Alertas gerados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Fraudes capturadas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operacional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Baixa (0.5)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Menos alertas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~7 em 10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Menos trabalho de revisão, porém mais fraudes escapam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Escolhida (0.3)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Moderado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8 em 10 ✓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Equilíbrio ideal: custo de revisão menor que prejuízo evitado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Alta (0.2)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Muitos alertas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~9 em 10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Sobrecarga da equipe de revisão com falsos positivos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escolhemos essa configuração: </w:t>
      </w:r>
      <w:r>
        <w:rPr>
          <w:rFonts w:ascii="Arial" w:cs="Arial" w:eastAsia="Arial" w:hAnsi="Arial"/>
          <w:sz w:val="22"/>
          <w:szCs w:val="22"/>
        </w:rPr>
        <w:t xml:space="preserve">revisar um alerta indevido custa algumas dezenas de reais em tempo de analista. Uma fraude não detectada custa em média R$ 850 em prejuízo direto — fora o impacto na confiança do cliente e eventuais chargebacks. A conta favorece claramente o lado da sensibilidade.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Riscos conhecidos e como os gerenciamos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Fraudes com padrões novos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Todo modelo aprende com o passado. Golpes com técnicas inéditas — novos esquemas de phishing, fraudes em canais recém-lançados — podem não ser reconhecidos imediatamente.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mitigamos: </w:t>
      </w:r>
      <w:r>
        <w:rPr>
          <w:rFonts w:ascii="Arial" w:cs="Arial" w:eastAsia="Arial" w:hAnsi="Arial"/>
          <w:sz w:val="22"/>
          <w:szCs w:val="22"/>
        </w:rPr>
        <w:t xml:space="preserve">monitoramento mensal do desempenho em produção. Se a taxa de detecção cair mais de 5 pontos percentuais, o modelo é retreinado com dados recentes. Ciclo recomendado: revisão trimestral.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Fraudes de baixo valor e alta frequência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Golpes que operam com microtransações graduais (ex: testes de cartão com valores de R$ 1,00) ficam abaixo do radar do modelo, pois não ativam os indicadores de desvio de padrão.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mitigamos: </w:t>
      </w:r>
      <w:r>
        <w:rPr>
          <w:rFonts w:ascii="Arial" w:cs="Arial" w:eastAsia="Arial" w:hAnsi="Arial"/>
          <w:sz w:val="22"/>
          <w:szCs w:val="22"/>
        </w:rPr>
        <w:t xml:space="preserve">regras complementares de velocity check — por exemplo, bloquear automaticamente mais de 3 transações abaixo de R$ 10 em menos de 1 hora. Essa camada é simples de implementar e não depende do modelo.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Próximos passos recomendados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Com base nos resultados obtidos, sugerimos a seguinte sequência de implementação: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Piloto em produção (30 dias):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ativar o modelo em produção com monitoramento diário das métricas de detecção e volume de alertas.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Regras complementares (semana 2):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velocity check para transações de baixo valor em paralelo ao modelo.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Revisão de desempenho (mês 2):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comparar resultado real com as projeções deste relatório e ajustar o limite de sensibilidade se necessário.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Retreinamento programado (trimestral):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incorporar dados novos de produção para manter o modelo atualizado frente a padrões emergentes de fraude.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documento apresenta os resultados do experimento registrado via MLflow — Detecção_Fraude_Cartao.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DataRunk | Processo Seletivo — Cientista de Dados | Maio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2026-05-03T19:27:13.868Z</dcterms:created>
  <dcterms:modified xsi:type="dcterms:W3CDTF">2026-05-03T19:27:13.882Z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