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240"/>
      </w:pPr>
      <w:r>
        <w:rPr>
          <w:rFonts w:ascii="Arial" w:hAnsi="Arial"/>
          <w:b/>
          <w:color w:val="E94F2D"/>
          <w:sz w:val="56"/>
        </w:rPr>
        <w:t>PROPOSTA COMERCIAL</w:t>
      </w:r>
    </w:p>
    <w:p>
      <w:r>
        <w:rPr>
          <w:sz w:val="28"/>
        </w:rPr>
        <w:t>Para: [Nome da Empresa / Organização]</w:t>
      </w:r>
    </w:p>
    <w:p>
      <w:r>
        <w:rPr>
          <w:sz w:val="20"/>
        </w:rPr>
        <w:t>Earthworm Foundation  |  Maio 2026</w:t>
      </w:r>
    </w:p>
    <w:p/>
    <w:p>
      <w:pPr>
        <w:shd w:val="clear" w:color="auto" w:fill="E94F2D"/>
        <w:spacing w:before="120" w:after="120"/>
        <w:ind w:left="283"/>
      </w:pPr>
      <w:r>
        <w:rPr>
          <w:rFonts w:ascii="Arial" w:hAnsi="Arial"/>
          <w:b/>
          <w:color w:val="FFFFFF"/>
          <w:sz w:val="26"/>
        </w:rPr>
        <w:t xml:space="preserve">  Transformando Cadeias de Suprimentos para um Futuro Sustentável</w:t>
      </w:r>
    </w:p>
    <w:p/>
    <w:p>
      <w:pPr>
        <w:spacing w:before="240" w:after="120"/>
      </w:pPr>
      <w:r>
        <w:rPr>
          <w:rFonts w:ascii="Arial" w:hAnsi="Arial"/>
          <w:b/>
          <w:color w:val="E94F2D"/>
          <w:sz w:val="32"/>
        </w:rPr>
        <w:t>1. Sobre a Earthworm Foundation</w:t>
      </w:r>
    </w:p>
    <w:p>
      <w:pPr>
        <w:spacing w:before="60" w:after="60" w:line="320" w:lineRule="exact"/>
        <w:jc w:val="both"/>
      </w:pPr>
      <w:r>
        <w:rPr>
          <w:rFonts w:ascii="Calibri" w:hAnsi="Calibri"/>
          <w:color w:val="3C3C3C"/>
          <w:sz w:val="22"/>
        </w:rPr>
        <w:t>A Earthworm Foundation é uma organização sem fins lucrativos que trabalha com empresas e comunidades para transformar cadeias de suprimentos globais. Através do nosso framework V-T-T-V (Values, Transparency, Transformation, Verification), apoiamos parceiros a criar impacto positivo para pessoas, natureza e negócios.</w:t>
      </w:r>
    </w:p>
    <w:p>
      <w:pPr>
        <w:spacing w:before="240" w:after="120"/>
      </w:pPr>
      <w:r>
        <w:rPr>
          <w:rFonts w:ascii="Arial" w:hAnsi="Arial"/>
          <w:b/>
          <w:color w:val="E94F2D"/>
          <w:sz w:val="32"/>
        </w:rPr>
        <w:t>2. Escopo do Trabalho Proposto</w:t>
      </w:r>
    </w:p>
    <w:p>
      <w:pPr>
        <w:spacing w:before="60" w:after="60" w:line="320" w:lineRule="exact"/>
        <w:jc w:val="both"/>
      </w:pPr>
      <w:r>
        <w:rPr>
          <w:rFonts w:ascii="Calibri" w:hAnsi="Calibri"/>
          <w:color w:val="3C3C3C"/>
          <w:sz w:val="22"/>
        </w:rPr>
        <w:t>Descreva aqui o âmbito do trabalho proposto. Detalhe as actividades específicas, entregáveis e metodologia que será aplicada.</w:t>
      </w:r>
    </w:p>
    <w:p>
      <w:pPr>
        <w:spacing w:before="240" w:after="120"/>
      </w:pPr>
      <w:r>
        <w:rPr>
          <w:rFonts w:ascii="Arial" w:hAnsi="Arial"/>
          <w:b/>
          <w:color w:val="3C3C3C"/>
          <w:sz w:val="26"/>
        </w:rPr>
        <w:t>2.1 Actividades Principais</w:t>
      </w:r>
    </w:p>
    <w:p>
      <w:pPr>
        <w:pStyle w:val="ListBullet"/>
      </w:pPr>
      <w:r>
        <w:rPr>
          <w:rFonts w:ascii="Calibri" w:hAnsi="Calibri"/>
          <w:sz w:val="22"/>
        </w:rPr>
        <w:t>Actividade 1: [descrição detalhada]</w:t>
      </w:r>
    </w:p>
    <w:p>
      <w:pPr>
        <w:pStyle w:val="ListBullet"/>
      </w:pPr>
      <w:r>
        <w:rPr>
          <w:rFonts w:ascii="Calibri" w:hAnsi="Calibri"/>
          <w:sz w:val="22"/>
        </w:rPr>
        <w:t>Actividade 2: [descrição detalhada]</w:t>
      </w:r>
    </w:p>
    <w:p>
      <w:pPr>
        <w:pStyle w:val="ListBullet"/>
      </w:pPr>
      <w:r>
        <w:rPr>
          <w:rFonts w:ascii="Calibri" w:hAnsi="Calibri"/>
          <w:sz w:val="22"/>
        </w:rPr>
        <w:t>Actividade 3: [descrição detalhada]</w:t>
      </w:r>
    </w:p>
    <w:p>
      <w:pPr>
        <w:spacing w:before="240" w:after="120"/>
      </w:pPr>
      <w:r>
        <w:rPr>
          <w:rFonts w:ascii="Arial" w:hAnsi="Arial"/>
          <w:b/>
          <w:color w:val="E94F2D"/>
          <w:sz w:val="32"/>
        </w:rPr>
        <w:t>3. Nossa Proposta de Valor</w:t>
      </w:r>
    </w:p>
    <w:p>
      <w:pPr>
        <w:spacing w:before="60" w:after="60" w:line="320" w:lineRule="exact"/>
        <w:jc w:val="both"/>
      </w:pPr>
      <w:r>
        <w:rPr>
          <w:rFonts w:ascii="Calibri" w:hAnsi="Calibri"/>
          <w:color w:val="3C3C3C"/>
          <w:sz w:val="22"/>
        </w:rPr>
        <w:t>Explique aqui por que a Earthworm Foundation é o parceiro ideal. Destaque experiência, resultados anteriores e abordagem única.</w:t>
      </w:r>
    </w:p>
    <w:p>
      <w:pPr>
        <w:spacing w:before="240" w:after="120"/>
      </w:pPr>
      <w:r>
        <w:rPr>
          <w:rFonts w:ascii="Arial" w:hAnsi="Arial"/>
          <w:b/>
          <w:color w:val="E94F2D"/>
          <w:sz w:val="32"/>
        </w:rPr>
        <w:t>4. Investimento e Timeline</w:t>
      </w:r>
    </w:p>
    <w:p>
      <w:pPr>
        <w:spacing w:before="60" w:after="60" w:line="320" w:lineRule="exact"/>
        <w:jc w:val="both"/>
      </w:pPr>
      <w:r>
        <w:rPr>
          <w:rFonts w:ascii="Calibri" w:hAnsi="Calibri"/>
          <w:color w:val="3C3C3C"/>
          <w:sz w:val="22"/>
        </w:rPr>
        <w:t>Apresente aqui o investimento proposto e o cronograma de implementação.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E94F2D"/>
          </w:tcPr>
          <w:p>
            <w:r>
              <w:rPr>
                <w:rFonts w:ascii="Arial" w:hAnsi="Arial"/>
                <w:b/>
                <w:color w:val="FFFFFF"/>
              </w:rPr>
              <w:t>Fase</w:t>
            </w:r>
          </w:p>
        </w:tc>
        <w:tc>
          <w:tcPr>
            <w:tcW w:type="dxa" w:w="3009"/>
            <w:shd w:val="clear" w:color="auto" w:fill="E94F2D"/>
          </w:tcPr>
          <w:p>
            <w:r>
              <w:rPr>
                <w:rFonts w:ascii="Arial" w:hAnsi="Arial"/>
                <w:b/>
                <w:color w:val="FFFFFF"/>
              </w:rPr>
              <w:t>Actividades</w:t>
            </w:r>
          </w:p>
        </w:tc>
        <w:tc>
          <w:tcPr>
            <w:tcW w:type="dxa" w:w="3009"/>
            <w:shd w:val="clear" w:color="auto" w:fill="E94F2D"/>
          </w:tcPr>
          <w:p>
            <w:r>
              <w:rPr>
                <w:rFonts w:ascii="Arial" w:hAnsi="Arial"/>
                <w:b/>
                <w:color w:val="FFFFFF"/>
              </w:rPr>
              <w:t>Duração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0"/>
              </w:rPr>
              <w:t>Fase 1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0"/>
              </w:rPr>
              <w:t>Diagnóstico e Planeamento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0"/>
              </w:rPr>
              <w:t>1-2 meses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0"/>
              </w:rPr>
              <w:t>Implementação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0"/>
              </w:rPr>
              <w:t>3-6 meses</w:t>
            </w:r>
          </w:p>
        </w:tc>
      </w:tr>
      <w:tr>
        <w:tc>
          <w:tcPr>
            <w:tcW w:type="dxa" w:w="3009"/>
          </w:tcPr>
          <w:p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0"/>
              </w:rPr>
              <w:t>Monitorização e Verificação</w:t>
            </w:r>
          </w:p>
        </w:tc>
        <w:tc>
          <w:tcPr>
            <w:tcW w:type="dxa" w:w="3009"/>
          </w:tcPr>
          <w:p>
            <w:r>
              <w:rPr>
                <w:rFonts w:ascii="Calibri" w:hAnsi="Calibri"/>
                <w:sz w:val="20"/>
              </w:rPr>
              <w:t>Contínuo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E94F2D"/>
          <w:sz w:val="32"/>
        </w:rPr>
        <w:t>5. Próximos Passos</w:t>
      </w:r>
    </w:p>
    <w:p>
      <w:pPr>
        <w:pStyle w:val="ListBullet"/>
      </w:pPr>
      <w:r>
        <w:rPr>
          <w:rFonts w:ascii="Calibri" w:hAnsi="Calibri"/>
          <w:sz w:val="22"/>
        </w:rPr>
        <w:t>Reunião de alinhamento para validar o âmbito</w:t>
      </w:r>
    </w:p>
    <w:p>
      <w:pPr>
        <w:pStyle w:val="ListBullet"/>
      </w:pPr>
      <w:r>
        <w:rPr>
          <w:rFonts w:ascii="Calibri" w:hAnsi="Calibri"/>
          <w:sz w:val="22"/>
        </w:rPr>
        <w:t>Assinatura do acordo de parceria</w:t>
      </w:r>
    </w:p>
    <w:p>
      <w:pPr>
        <w:pStyle w:val="ListBullet"/>
      </w:pPr>
      <w:r>
        <w:rPr>
          <w:rFonts w:ascii="Calibri" w:hAnsi="Calibri"/>
          <w:sz w:val="22"/>
        </w:rPr>
        <w:t>Início das actividades da Fase 1</w:t>
      </w:r>
    </w:p>
    <w:p/>
    <w:p>
      <w:pPr>
        <w:jc w:val="center"/>
      </w:pPr>
      <w:r>
        <w:rPr>
          <w:color w:val="7C7C7C"/>
          <w:sz w:val="18"/>
        </w:rPr>
        <w:t>Earthworm Foundation  |  www.earthworm.org  |  info@earthworm.org  |  Nyon, Switzerland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