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CA08" w14:textId="05040135" w:rsidR="00E347E7" w:rsidRPr="005E6C5D" w:rsidRDefault="00906683" w:rsidP="005E6C5D">
      <w:pPr>
        <w:pStyle w:val="Ttulo1"/>
        <w:jc w:val="both"/>
        <w:rPr>
          <w:rFonts w:cs="Arial"/>
          <w:sz w:val="24"/>
          <w:szCs w:val="24"/>
        </w:rPr>
      </w:pPr>
      <w:r w:rsidRPr="005E6C5D">
        <w:rPr>
          <w:rFonts w:cs="Arial"/>
          <w:sz w:val="24"/>
          <w:szCs w:val="24"/>
        </w:rPr>
        <w:t xml:space="preserve">Introdução ao </w:t>
      </w:r>
      <w:proofErr w:type="spellStart"/>
      <w:r w:rsidRPr="005E6C5D">
        <w:rPr>
          <w:rFonts w:cs="Arial"/>
          <w:sz w:val="24"/>
          <w:szCs w:val="24"/>
        </w:rPr>
        <w:t>flexbox</w:t>
      </w:r>
      <w:proofErr w:type="spellEnd"/>
    </w:p>
    <w:p w14:paraId="04AFC1F5" w14:textId="0026DFCE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Modelo de layout unidimensional</w:t>
      </w:r>
      <w:r w:rsidR="00FF57CF" w:rsidRPr="005E6C5D">
        <w:rPr>
          <w:rFonts w:ascii="Arial" w:hAnsi="Arial" w:cs="Arial"/>
          <w:szCs w:val="24"/>
        </w:rPr>
        <w:t xml:space="preserve"> (lida com as propriedades em uma dimensão de cada vez)</w:t>
      </w:r>
      <w:r w:rsidRPr="005E6C5D">
        <w:rPr>
          <w:rFonts w:ascii="Arial" w:hAnsi="Arial" w:cs="Arial"/>
          <w:szCs w:val="24"/>
        </w:rPr>
        <w:t>, método que pode oferecer distribuição de espaço entre itens em uma interface e recursos de alinhamento.</w:t>
      </w:r>
    </w:p>
    <w:p w14:paraId="5BA4D068" w14:textId="3FB143B7" w:rsidR="00906683" w:rsidRPr="005E6C5D" w:rsidRDefault="00906683" w:rsidP="005E6C5D">
      <w:pPr>
        <w:pStyle w:val="Ttulo2"/>
        <w:rPr>
          <w:rFonts w:cs="Arial"/>
          <w:b/>
          <w:bCs/>
          <w:sz w:val="24"/>
          <w:szCs w:val="24"/>
        </w:rPr>
      </w:pPr>
      <w:r w:rsidRPr="005E6C5D">
        <w:rPr>
          <w:rFonts w:cs="Arial"/>
          <w:b/>
          <w:bCs/>
          <w:sz w:val="24"/>
          <w:szCs w:val="24"/>
        </w:rPr>
        <w:t>Flex</w:t>
      </w:r>
      <w:r w:rsidR="00FF57CF" w:rsidRPr="005E6C5D">
        <w:rPr>
          <w:rFonts w:cs="Arial"/>
          <w:b/>
          <w:bCs/>
          <w:sz w:val="24"/>
          <w:szCs w:val="24"/>
        </w:rPr>
        <w:t>-</w:t>
      </w:r>
      <w:proofErr w:type="gramStart"/>
      <w:r w:rsidRPr="005E6C5D">
        <w:rPr>
          <w:rFonts w:cs="Arial"/>
          <w:b/>
          <w:bCs/>
          <w:sz w:val="24"/>
          <w:szCs w:val="24"/>
        </w:rPr>
        <w:t xml:space="preserve">Container  </w:t>
      </w:r>
      <w:r w:rsidR="001432C4" w:rsidRPr="005E6C5D">
        <w:rPr>
          <w:rFonts w:cs="Arial"/>
          <w:b/>
          <w:bCs/>
          <w:sz w:val="24"/>
          <w:szCs w:val="24"/>
        </w:rPr>
        <w:t>(</w:t>
      </w:r>
      <w:proofErr w:type="gramEnd"/>
      <w:r w:rsidR="001432C4" w:rsidRPr="005E6C5D">
        <w:rPr>
          <w:rFonts w:cs="Arial"/>
          <w:b/>
          <w:bCs/>
          <w:sz w:val="24"/>
          <w:szCs w:val="24"/>
        </w:rPr>
        <w:t>propriedades aplicadas ao container)</w:t>
      </w:r>
    </w:p>
    <w:p w14:paraId="0179AAF4" w14:textId="04E5F176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É a tag que envolve os itens, nela aplica-se a propriedade “</w:t>
      </w:r>
      <w:r w:rsidRPr="005E6C5D">
        <w:rPr>
          <w:rFonts w:ascii="Arial" w:hAnsi="Arial" w:cs="Arial"/>
          <w:b/>
          <w:bCs/>
          <w:szCs w:val="24"/>
        </w:rPr>
        <w:t>display: flex</w:t>
      </w:r>
      <w:r w:rsidRPr="005E6C5D">
        <w:rPr>
          <w:rFonts w:ascii="Arial" w:hAnsi="Arial" w:cs="Arial"/>
          <w:szCs w:val="24"/>
        </w:rPr>
        <w:t xml:space="preserve">”, transforma todos os seus itens filhos em flexs itens. </w:t>
      </w:r>
    </w:p>
    <w:p w14:paraId="046CE8C1" w14:textId="79912836" w:rsidR="00906683" w:rsidRPr="005E6C5D" w:rsidRDefault="0090668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1F1B6564" wp14:editId="70B12D63">
            <wp:extent cx="2009775" cy="870780"/>
            <wp:effectExtent l="0" t="0" r="0" b="5715"/>
            <wp:docPr id="1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dispersã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3038" cy="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DA5" w14:textId="34836506" w:rsidR="00906683" w:rsidRPr="005E6C5D" w:rsidRDefault="00906683" w:rsidP="005E6C5D">
      <w:pPr>
        <w:rPr>
          <w:rFonts w:ascii="Arial" w:hAnsi="Arial" w:cs="Arial"/>
          <w:b/>
          <w:bCs/>
          <w:szCs w:val="24"/>
        </w:rPr>
      </w:pPr>
      <w:r w:rsidRPr="005E6C5D">
        <w:rPr>
          <w:rFonts w:ascii="Arial" w:hAnsi="Arial" w:cs="Arial"/>
          <w:b/>
          <w:bCs/>
          <w:szCs w:val="24"/>
        </w:rPr>
        <w:t>Display: inicializador do containe</w:t>
      </w:r>
      <w:r w:rsidR="00EC7E68" w:rsidRPr="005E6C5D">
        <w:rPr>
          <w:rFonts w:ascii="Arial" w:hAnsi="Arial" w:cs="Arial"/>
          <w:b/>
          <w:bCs/>
          <w:szCs w:val="24"/>
        </w:rPr>
        <w:t>r</w:t>
      </w:r>
    </w:p>
    <w:p w14:paraId="5086EEA3" w14:textId="6DFDBF60" w:rsidR="00906683" w:rsidRPr="005E6C5D" w:rsidRDefault="00FF57CF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r w:rsidR="00906683" w:rsidRPr="005E6C5D">
        <w:rPr>
          <w:rFonts w:ascii="Arial" w:hAnsi="Arial" w:cs="Arial"/>
          <w:b/>
          <w:bCs/>
          <w:szCs w:val="24"/>
        </w:rPr>
        <w:t>Direction</w:t>
      </w:r>
      <w:r w:rsidR="00906683" w:rsidRPr="005E6C5D">
        <w:rPr>
          <w:rFonts w:ascii="Arial" w:hAnsi="Arial" w:cs="Arial"/>
          <w:szCs w:val="24"/>
        </w:rPr>
        <w:t xml:space="preserve">: </w:t>
      </w:r>
      <w:r w:rsidR="00355D4D" w:rsidRPr="005E6C5D">
        <w:rPr>
          <w:rFonts w:ascii="Arial" w:hAnsi="Arial" w:cs="Arial"/>
          <w:szCs w:val="24"/>
        </w:rPr>
        <w:t>faz o direcionamento dos itens seja linha, ou seja, coluna</w:t>
      </w:r>
      <w:r w:rsidR="008E5F73" w:rsidRPr="005E6C5D">
        <w:rPr>
          <w:rFonts w:ascii="Arial" w:hAnsi="Arial" w:cs="Arial"/>
          <w:szCs w:val="24"/>
        </w:rPr>
        <w:t>. É a propriedade que estabelece o eixo principal do container, definindo assim a direção que os flex itens são colocados no flex container.</w:t>
      </w:r>
    </w:p>
    <w:p w14:paraId="0D1B0CE5" w14:textId="2D53BE76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Eixos:</w:t>
      </w:r>
    </w:p>
    <w:p w14:paraId="00BE90E2" w14:textId="3960EE18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Row(padrão): À direção do texto, esquerda para direita</w:t>
      </w:r>
    </w:p>
    <w:p w14:paraId="569AF140" w14:textId="3AA3B43F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Row-reverse: sentido oposto à direção do texto</w:t>
      </w:r>
    </w:p>
    <w:p w14:paraId="35469DCB" w14:textId="27E62392" w:rsidR="00FF57CF" w:rsidRPr="005E6C5D" w:rsidRDefault="00FF57CF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drawing>
          <wp:inline distT="0" distB="0" distL="0" distR="0" wp14:anchorId="42EF6C7C" wp14:editId="13EAB98F">
            <wp:extent cx="2800550" cy="8645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240" cy="8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A2A" w14:textId="161ECFF7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Column</w:t>
      </w:r>
      <w:proofErr w:type="spellEnd"/>
      <w:r w:rsidRPr="005E6C5D">
        <w:rPr>
          <w:rFonts w:ascii="Arial" w:hAnsi="Arial" w:cs="Arial"/>
          <w:szCs w:val="24"/>
        </w:rPr>
        <w:t xml:space="preserve">: ordenação de cima para baixo em coluna única </w:t>
      </w:r>
    </w:p>
    <w:p w14:paraId="371CE3B0" w14:textId="2EDD506F" w:rsidR="008E5F73" w:rsidRPr="005E6C5D" w:rsidRDefault="008E5F73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Column</w:t>
      </w:r>
      <w:proofErr w:type="spellEnd"/>
      <w:r w:rsidRPr="005E6C5D">
        <w:rPr>
          <w:rFonts w:ascii="Arial" w:hAnsi="Arial" w:cs="Arial"/>
          <w:szCs w:val="24"/>
        </w:rPr>
        <w:t>-reverse: de baixo para cima</w:t>
      </w:r>
    </w:p>
    <w:p w14:paraId="7B636F9D" w14:textId="753110F9" w:rsidR="00FF57CF" w:rsidRPr="005E6C5D" w:rsidRDefault="00FF57CF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drawing>
          <wp:inline distT="0" distB="0" distL="0" distR="0" wp14:anchorId="76651485" wp14:editId="293E1F07">
            <wp:extent cx="3178208" cy="1049063"/>
            <wp:effectExtent l="0" t="0" r="3175" b="0"/>
            <wp:docPr id="9" name="Imagem 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barra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592" cy="10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E48" w14:textId="38C8D944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r w:rsidR="00355D4D" w:rsidRPr="005E6C5D">
        <w:rPr>
          <w:rFonts w:ascii="Arial" w:hAnsi="Arial" w:cs="Arial"/>
          <w:b/>
          <w:bCs/>
          <w:szCs w:val="24"/>
        </w:rPr>
        <w:t>Wrap:</w:t>
      </w:r>
      <w:r w:rsidR="00355D4D" w:rsidRPr="005E6C5D">
        <w:rPr>
          <w:rFonts w:ascii="Arial" w:hAnsi="Arial" w:cs="Arial"/>
          <w:szCs w:val="24"/>
        </w:rPr>
        <w:t xml:space="preserve"> se aplica a quebra de linha</w:t>
      </w:r>
      <w:r w:rsidR="00555B36" w:rsidRPr="005E6C5D">
        <w:rPr>
          <w:rFonts w:ascii="Arial" w:hAnsi="Arial" w:cs="Arial"/>
          <w:szCs w:val="24"/>
        </w:rPr>
        <w:t>. Por padrão não quebram linha, isso faz com que os flex itens sejam compactados além do limite do conteúdo.</w:t>
      </w:r>
    </w:p>
    <w:p w14:paraId="0411ED07" w14:textId="4BCB261F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proofErr w:type="spellStart"/>
      <w:r w:rsidRPr="005E6C5D">
        <w:rPr>
          <w:rFonts w:ascii="Arial" w:hAnsi="Arial" w:cs="Arial"/>
          <w:szCs w:val="24"/>
        </w:rPr>
        <w:t>Nowrap</w:t>
      </w:r>
      <w:proofErr w:type="spellEnd"/>
      <w:r w:rsidRPr="005E6C5D">
        <w:rPr>
          <w:rFonts w:ascii="Arial" w:hAnsi="Arial" w:cs="Arial"/>
          <w:szCs w:val="24"/>
        </w:rPr>
        <w:t>: é o padrão, não permite quebra de linha</w:t>
      </w:r>
    </w:p>
    <w:p w14:paraId="4B823DF7" w14:textId="4EC928B7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Wrap: permite a quebra de linha assim que um dos flex itens não puder mais ser compactado.</w:t>
      </w:r>
    </w:p>
    <w:p w14:paraId="162BC21C" w14:textId="19C02B64" w:rsidR="00555B36" w:rsidRPr="005E6C5D" w:rsidRDefault="00555B3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Wrap-reverse: na direção contrária da linha</w:t>
      </w:r>
    </w:p>
    <w:p w14:paraId="68C4091A" w14:textId="3B00576F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lastRenderedPageBreak/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Flow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abreviação para o </w:t>
      </w:r>
      <w:r w:rsidRPr="005E6C5D">
        <w:rPr>
          <w:rFonts w:ascii="Arial" w:hAnsi="Arial" w:cs="Arial"/>
          <w:szCs w:val="24"/>
        </w:rPr>
        <w:t>flex-</w:t>
      </w:r>
      <w:r w:rsidR="00355D4D" w:rsidRPr="005E6C5D">
        <w:rPr>
          <w:rFonts w:ascii="Arial" w:hAnsi="Arial" w:cs="Arial"/>
          <w:szCs w:val="24"/>
        </w:rPr>
        <w:t xml:space="preserve">Direction e </w:t>
      </w:r>
      <w:r w:rsidRPr="005E6C5D">
        <w:rPr>
          <w:rFonts w:ascii="Arial" w:hAnsi="Arial" w:cs="Arial"/>
          <w:szCs w:val="24"/>
        </w:rPr>
        <w:t>flex-</w:t>
      </w:r>
      <w:r w:rsidR="00355D4D" w:rsidRPr="005E6C5D">
        <w:rPr>
          <w:rFonts w:ascii="Arial" w:hAnsi="Arial" w:cs="Arial"/>
          <w:szCs w:val="24"/>
        </w:rPr>
        <w:t>wrap</w:t>
      </w:r>
      <w:r w:rsidR="00E66801" w:rsidRPr="005E6C5D">
        <w:rPr>
          <w:rFonts w:ascii="Arial" w:hAnsi="Arial" w:cs="Arial"/>
          <w:szCs w:val="24"/>
        </w:rPr>
        <w:t xml:space="preserve">, como um atalho. </w:t>
      </w:r>
      <w:r w:rsidR="004E6099" w:rsidRPr="005E6C5D">
        <w:rPr>
          <w:rFonts w:ascii="Arial" w:hAnsi="Arial" w:cs="Arial"/>
          <w:szCs w:val="24"/>
        </w:rPr>
        <w:t>Escrevo os dois comandos em uma linha.</w:t>
      </w:r>
    </w:p>
    <w:p w14:paraId="372901D2" w14:textId="08E17FA3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Justify-content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alinha de acordo com sua direção</w:t>
      </w:r>
      <w:r w:rsidR="004E6099" w:rsidRPr="005E6C5D">
        <w:rPr>
          <w:rFonts w:ascii="Arial" w:hAnsi="Arial" w:cs="Arial"/>
          <w:szCs w:val="24"/>
        </w:rPr>
        <w:t>.</w:t>
      </w:r>
      <w:r w:rsidR="00202E86" w:rsidRPr="005E6C5D">
        <w:rPr>
          <w:rFonts w:ascii="Arial" w:hAnsi="Arial" w:cs="Arial"/>
          <w:szCs w:val="24"/>
        </w:rPr>
        <w:t xml:space="preserve"> Ela não se aplica quando </w:t>
      </w:r>
      <w:r w:rsidR="008E318A" w:rsidRPr="005E6C5D">
        <w:rPr>
          <w:rFonts w:ascii="Arial" w:hAnsi="Arial" w:cs="Arial"/>
          <w:szCs w:val="24"/>
        </w:rPr>
        <w:t>os itens</w:t>
      </w:r>
      <w:r w:rsidR="00202E86" w:rsidRPr="005E6C5D">
        <w:rPr>
          <w:rFonts w:ascii="Arial" w:hAnsi="Arial" w:cs="Arial"/>
          <w:szCs w:val="24"/>
        </w:rPr>
        <w:t xml:space="preserve"> ocupam 100% do </w:t>
      </w:r>
      <w:proofErr w:type="spellStart"/>
      <w:r w:rsidR="00202E86" w:rsidRPr="005E6C5D">
        <w:rPr>
          <w:rFonts w:ascii="Arial" w:hAnsi="Arial" w:cs="Arial"/>
          <w:szCs w:val="24"/>
        </w:rPr>
        <w:t>ontainer</w:t>
      </w:r>
      <w:proofErr w:type="spellEnd"/>
    </w:p>
    <w:p w14:paraId="58BEE84C" w14:textId="733E458B" w:rsidR="00202E86" w:rsidRPr="005E6C5D" w:rsidRDefault="00202E86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36FECF4C" wp14:editId="7F2C0C62">
            <wp:extent cx="2678630" cy="1053309"/>
            <wp:effectExtent l="0" t="0" r="762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729" cy="10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3FD" w14:textId="77777777" w:rsidR="00AB32D4" w:rsidRPr="005E6C5D" w:rsidRDefault="00AB32D4" w:rsidP="005E6C5D">
      <w:pPr>
        <w:rPr>
          <w:rFonts w:ascii="Arial" w:hAnsi="Arial" w:cs="Arial"/>
          <w:szCs w:val="24"/>
        </w:rPr>
      </w:pPr>
    </w:p>
    <w:p w14:paraId="72B75525" w14:textId="127D8A2E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</w:t>
      </w:r>
      <w:proofErr w:type="spellEnd"/>
      <w:r w:rsidRPr="005E6C5D">
        <w:rPr>
          <w:rFonts w:ascii="Arial" w:hAnsi="Arial" w:cs="Arial"/>
          <w:b/>
          <w:bCs/>
          <w:szCs w:val="24"/>
        </w:rPr>
        <w:t>-itens:</w:t>
      </w:r>
      <w:r w:rsidRPr="005E6C5D">
        <w:rPr>
          <w:rFonts w:ascii="Arial" w:hAnsi="Arial" w:cs="Arial"/>
          <w:szCs w:val="24"/>
        </w:rPr>
        <w:t xml:space="preserve"> alinha de acordo com seu eixo</w:t>
      </w:r>
    </w:p>
    <w:p w14:paraId="752ABFBA" w14:textId="2DFA0489" w:rsidR="004117A4" w:rsidRPr="005E6C5D" w:rsidRDefault="004117A4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Tipos de alinhamento:</w:t>
      </w:r>
    </w:p>
    <w:p w14:paraId="6B8CC067" w14:textId="43637CE1" w:rsidR="004117A4" w:rsidRPr="005E6C5D" w:rsidRDefault="004117A4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ABAAE96" wp14:editId="334512CE">
            <wp:extent cx="4066540" cy="1230865"/>
            <wp:effectExtent l="0" t="0" r="0" b="7620"/>
            <wp:docPr id="4" name="Imagem 4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340" cy="1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C7FE" w14:textId="51D36C39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Align-content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alinha as linhas</w:t>
      </w:r>
      <w:r w:rsidR="004117A4" w:rsidRPr="005E6C5D">
        <w:rPr>
          <w:rFonts w:ascii="Arial" w:hAnsi="Arial" w:cs="Arial"/>
          <w:szCs w:val="24"/>
        </w:rPr>
        <w:t>, utiliza quebra de linhas, a altura do container é maior que a altura das linhas.</w:t>
      </w:r>
    </w:p>
    <w:p w14:paraId="36EBB155" w14:textId="5A95A1AF" w:rsidR="004117A4" w:rsidRPr="005E6C5D" w:rsidRDefault="004117A4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Tipos de alinhamento:</w:t>
      </w:r>
    </w:p>
    <w:p w14:paraId="7AF97B10" w14:textId="6FF475FA" w:rsidR="004117A4" w:rsidRPr="005E6C5D" w:rsidRDefault="004117A4" w:rsidP="005E6C5D">
      <w:pPr>
        <w:ind w:firstLine="708"/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105ED87B" wp14:editId="5EF237ED">
            <wp:extent cx="4104640" cy="1282459"/>
            <wp:effectExtent l="0" t="0" r="0" b="0"/>
            <wp:docPr id="5" name="Imagem 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297" cy="1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148" w14:textId="4F19DB0F" w:rsidR="00906683" w:rsidRPr="005E6C5D" w:rsidRDefault="00906683" w:rsidP="005E6C5D">
      <w:pPr>
        <w:pStyle w:val="Ttulo2"/>
        <w:rPr>
          <w:rFonts w:cs="Arial"/>
          <w:b/>
          <w:bCs/>
          <w:sz w:val="24"/>
          <w:szCs w:val="24"/>
        </w:rPr>
      </w:pPr>
      <w:r w:rsidRPr="005E6C5D">
        <w:rPr>
          <w:rFonts w:cs="Arial"/>
          <w:b/>
          <w:bCs/>
          <w:sz w:val="24"/>
          <w:szCs w:val="24"/>
        </w:rPr>
        <w:t>Flex</w:t>
      </w:r>
      <w:r w:rsidR="008E318A" w:rsidRPr="005E6C5D">
        <w:rPr>
          <w:rFonts w:cs="Arial"/>
          <w:b/>
          <w:bCs/>
          <w:sz w:val="24"/>
          <w:szCs w:val="24"/>
        </w:rPr>
        <w:t>-</w:t>
      </w:r>
      <w:r w:rsidRPr="005E6C5D">
        <w:rPr>
          <w:rFonts w:cs="Arial"/>
          <w:b/>
          <w:bCs/>
          <w:sz w:val="24"/>
          <w:szCs w:val="24"/>
        </w:rPr>
        <w:t>Item</w:t>
      </w:r>
      <w:r w:rsidR="001432C4" w:rsidRPr="005E6C5D">
        <w:rPr>
          <w:rFonts w:cs="Arial"/>
          <w:b/>
          <w:bCs/>
          <w:sz w:val="24"/>
          <w:szCs w:val="24"/>
        </w:rPr>
        <w:t xml:space="preserve"> (propriedades aplicadas aos </w:t>
      </w:r>
      <w:proofErr w:type="spellStart"/>
      <w:r w:rsidR="001432C4" w:rsidRPr="005E6C5D">
        <w:rPr>
          <w:rFonts w:cs="Arial"/>
          <w:b/>
          <w:bCs/>
          <w:sz w:val="24"/>
          <w:szCs w:val="24"/>
        </w:rPr>
        <w:t>items</w:t>
      </w:r>
      <w:proofErr w:type="spellEnd"/>
      <w:r w:rsidR="001432C4" w:rsidRPr="005E6C5D">
        <w:rPr>
          <w:rFonts w:cs="Arial"/>
          <w:b/>
          <w:bCs/>
          <w:sz w:val="24"/>
          <w:szCs w:val="24"/>
        </w:rPr>
        <w:t>)</w:t>
      </w:r>
    </w:p>
    <w:p w14:paraId="11392A00" w14:textId="1C60F69B" w:rsidR="00906683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>São elementos filhos diretos do flex container, podem se tornar flex container</w:t>
      </w:r>
    </w:p>
    <w:p w14:paraId="10BB60C0" w14:textId="6F7029D6" w:rsidR="00906683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0E4FF38" wp14:editId="41AC977E">
            <wp:extent cx="2476055" cy="1378941"/>
            <wp:effectExtent l="0" t="0" r="635" b="0"/>
            <wp:docPr id="2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dispersã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460" cy="13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E67" w14:textId="511D1CE0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Grow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</w:t>
      </w:r>
      <w:r w:rsidR="004117A4" w:rsidRPr="005E6C5D">
        <w:rPr>
          <w:rFonts w:ascii="Arial" w:hAnsi="Arial" w:cs="Arial"/>
          <w:szCs w:val="24"/>
        </w:rPr>
        <w:t>define a proporcionalidade de crescimento dos itens</w:t>
      </w:r>
      <w:r w:rsidR="00262C72" w:rsidRPr="005E6C5D">
        <w:rPr>
          <w:rFonts w:ascii="Arial" w:hAnsi="Arial" w:cs="Arial"/>
          <w:szCs w:val="24"/>
        </w:rPr>
        <w:t>.</w:t>
      </w:r>
    </w:p>
    <w:p w14:paraId="47915CD9" w14:textId="5FD44F99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lastRenderedPageBreak/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Basis</w:t>
      </w:r>
      <w:proofErr w:type="spellEnd"/>
      <w:r w:rsidR="00355D4D" w:rsidRPr="005E6C5D">
        <w:rPr>
          <w:rFonts w:ascii="Arial" w:hAnsi="Arial" w:cs="Arial"/>
          <w:b/>
          <w:bCs/>
          <w:szCs w:val="24"/>
        </w:rPr>
        <w:t>:</w:t>
      </w:r>
      <w:r w:rsidR="00355D4D" w:rsidRPr="005E6C5D">
        <w:rPr>
          <w:rFonts w:ascii="Arial" w:hAnsi="Arial" w:cs="Arial"/>
          <w:szCs w:val="24"/>
        </w:rPr>
        <w:t xml:space="preserve"> define o tamanho inicial do item antes da distribuição do espaço restante</w:t>
      </w:r>
    </w:p>
    <w:p w14:paraId="6A06AAFF" w14:textId="26AE354C" w:rsidR="00262C72" w:rsidRPr="005E6C5D" w:rsidRDefault="00262C72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  <w:t>Valores possíveis:</w:t>
      </w:r>
    </w:p>
    <w:p w14:paraId="043F5DEF" w14:textId="33F06C57" w:rsidR="00262C72" w:rsidRPr="005E6C5D" w:rsidRDefault="00262C72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29791747" wp14:editId="6441DAD6">
            <wp:extent cx="4173220" cy="822474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389" cy="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157" w14:textId="7E9593B0" w:rsidR="00355D4D" w:rsidRPr="005E6C5D" w:rsidRDefault="008E318A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Flex-</w:t>
      </w:r>
      <w:proofErr w:type="spellStart"/>
      <w:r w:rsidR="00355D4D" w:rsidRPr="005E6C5D">
        <w:rPr>
          <w:rFonts w:ascii="Arial" w:hAnsi="Arial" w:cs="Arial"/>
          <w:b/>
          <w:bCs/>
          <w:szCs w:val="24"/>
        </w:rPr>
        <w:t>Shrink</w:t>
      </w:r>
      <w:proofErr w:type="spellEnd"/>
      <w:r w:rsidR="00355D4D" w:rsidRPr="005E6C5D">
        <w:rPr>
          <w:rFonts w:ascii="Arial" w:hAnsi="Arial" w:cs="Arial"/>
          <w:szCs w:val="24"/>
        </w:rPr>
        <w:t>: define uma capacidade de redução</w:t>
      </w:r>
      <w:r w:rsidR="008C670E" w:rsidRPr="005E6C5D">
        <w:rPr>
          <w:rFonts w:ascii="Arial" w:hAnsi="Arial" w:cs="Arial"/>
          <w:szCs w:val="24"/>
        </w:rPr>
        <w:t xml:space="preserve"> ou compressão de um item.</w:t>
      </w:r>
    </w:p>
    <w:p w14:paraId="3B155791" w14:textId="73C8F95D" w:rsidR="00355D4D" w:rsidRPr="005E6C5D" w:rsidRDefault="00355D4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b/>
          <w:bCs/>
          <w:szCs w:val="24"/>
        </w:rPr>
        <w:t>Flex:</w:t>
      </w:r>
      <w:r w:rsidRPr="005E6C5D">
        <w:rPr>
          <w:rFonts w:ascii="Arial" w:hAnsi="Arial" w:cs="Arial"/>
          <w:szCs w:val="24"/>
        </w:rPr>
        <w:t xml:space="preserve"> abreviação para as três propriedade</w:t>
      </w:r>
      <w:r w:rsidR="008C670E" w:rsidRPr="005E6C5D">
        <w:rPr>
          <w:rFonts w:ascii="Arial" w:hAnsi="Arial" w:cs="Arial"/>
          <w:szCs w:val="24"/>
        </w:rPr>
        <w:t xml:space="preserve">s, </w:t>
      </w:r>
      <w:proofErr w:type="spellStart"/>
      <w:r w:rsidR="008C670E" w:rsidRPr="005E6C5D">
        <w:rPr>
          <w:rFonts w:ascii="Arial" w:hAnsi="Arial" w:cs="Arial"/>
          <w:szCs w:val="24"/>
        </w:rPr>
        <w:t>grow</w:t>
      </w:r>
      <w:proofErr w:type="spellEnd"/>
      <w:r w:rsidR="008C670E" w:rsidRPr="005E6C5D">
        <w:rPr>
          <w:rFonts w:ascii="Arial" w:hAnsi="Arial" w:cs="Arial"/>
          <w:szCs w:val="24"/>
        </w:rPr>
        <w:t xml:space="preserve">, </w:t>
      </w:r>
      <w:proofErr w:type="spellStart"/>
      <w:r w:rsidR="008C670E" w:rsidRPr="005E6C5D">
        <w:rPr>
          <w:rFonts w:ascii="Arial" w:hAnsi="Arial" w:cs="Arial"/>
          <w:szCs w:val="24"/>
        </w:rPr>
        <w:t>shrink</w:t>
      </w:r>
      <w:proofErr w:type="spellEnd"/>
      <w:r w:rsidR="008C670E" w:rsidRPr="005E6C5D">
        <w:rPr>
          <w:rFonts w:ascii="Arial" w:hAnsi="Arial" w:cs="Arial"/>
          <w:szCs w:val="24"/>
        </w:rPr>
        <w:t xml:space="preserve">, </w:t>
      </w:r>
      <w:proofErr w:type="spellStart"/>
      <w:r w:rsidR="008C670E" w:rsidRPr="005E6C5D">
        <w:rPr>
          <w:rFonts w:ascii="Arial" w:hAnsi="Arial" w:cs="Arial"/>
          <w:szCs w:val="24"/>
        </w:rPr>
        <w:t>basis</w:t>
      </w:r>
      <w:proofErr w:type="spellEnd"/>
      <w:r w:rsidR="008C670E" w:rsidRPr="005E6C5D">
        <w:rPr>
          <w:rFonts w:ascii="Arial" w:hAnsi="Arial" w:cs="Arial"/>
          <w:szCs w:val="24"/>
        </w:rPr>
        <w:t>.</w:t>
      </w:r>
    </w:p>
    <w:p w14:paraId="4098671D" w14:textId="4D6AE40C" w:rsidR="00355D4D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Order</w:t>
      </w:r>
      <w:proofErr w:type="spellEnd"/>
      <w:r w:rsidRPr="005E6C5D">
        <w:rPr>
          <w:rFonts w:ascii="Arial" w:hAnsi="Arial" w:cs="Arial"/>
          <w:b/>
          <w:bCs/>
          <w:szCs w:val="24"/>
        </w:rPr>
        <w:t>:</w:t>
      </w:r>
      <w:r w:rsidRPr="005E6C5D">
        <w:rPr>
          <w:rFonts w:ascii="Arial" w:hAnsi="Arial" w:cs="Arial"/>
          <w:szCs w:val="24"/>
        </w:rPr>
        <w:t xml:space="preserve"> relacionado a ordem de distribuição e listagem</w:t>
      </w:r>
    </w:p>
    <w:p w14:paraId="7B0B530B" w14:textId="33085A64" w:rsidR="00EC7E68" w:rsidRPr="005E6C5D" w:rsidRDefault="00355D4D" w:rsidP="005E6C5D">
      <w:pPr>
        <w:rPr>
          <w:rFonts w:ascii="Arial" w:hAnsi="Arial" w:cs="Arial"/>
          <w:szCs w:val="24"/>
        </w:rPr>
      </w:pPr>
      <w:proofErr w:type="spellStart"/>
      <w:r w:rsidRPr="005E6C5D">
        <w:rPr>
          <w:rFonts w:ascii="Arial" w:hAnsi="Arial" w:cs="Arial"/>
          <w:b/>
          <w:bCs/>
          <w:szCs w:val="24"/>
        </w:rPr>
        <w:t>Align</w:t>
      </w:r>
      <w:proofErr w:type="spellEnd"/>
      <w:r w:rsidRPr="005E6C5D">
        <w:rPr>
          <w:rFonts w:ascii="Arial" w:hAnsi="Arial" w:cs="Arial"/>
          <w:b/>
          <w:bCs/>
          <w:szCs w:val="24"/>
        </w:rPr>
        <w:t>-self</w:t>
      </w:r>
      <w:r w:rsidRPr="005E6C5D">
        <w:rPr>
          <w:rFonts w:ascii="Arial" w:hAnsi="Arial" w:cs="Arial"/>
          <w:szCs w:val="24"/>
        </w:rPr>
        <w:t xml:space="preserve">: define alinhamento de </w:t>
      </w:r>
      <w:r w:rsidR="0040686D" w:rsidRPr="005E6C5D">
        <w:rPr>
          <w:rFonts w:ascii="Arial" w:hAnsi="Arial" w:cs="Arial"/>
          <w:szCs w:val="24"/>
        </w:rPr>
        <w:t xml:space="preserve">modo individual de </w:t>
      </w:r>
      <w:r w:rsidRPr="005E6C5D">
        <w:rPr>
          <w:rFonts w:ascii="Arial" w:hAnsi="Arial" w:cs="Arial"/>
          <w:szCs w:val="24"/>
        </w:rPr>
        <w:t>um item</w:t>
      </w:r>
      <w:r w:rsidR="0040686D" w:rsidRPr="005E6C5D">
        <w:rPr>
          <w:rFonts w:ascii="Arial" w:hAnsi="Arial" w:cs="Arial"/>
          <w:szCs w:val="24"/>
        </w:rPr>
        <w:t>.</w:t>
      </w:r>
    </w:p>
    <w:p w14:paraId="395629CD" w14:textId="44AA5086" w:rsidR="00EC7E68" w:rsidRPr="005E6C5D" w:rsidRDefault="0040686D" w:rsidP="005E6C5D">
      <w:pPr>
        <w:rPr>
          <w:rFonts w:ascii="Arial" w:hAnsi="Arial" w:cs="Arial"/>
          <w:szCs w:val="24"/>
        </w:rPr>
      </w:pPr>
      <w:r w:rsidRPr="005E6C5D">
        <w:rPr>
          <w:rFonts w:ascii="Arial" w:hAnsi="Arial" w:cs="Arial"/>
          <w:szCs w:val="24"/>
        </w:rPr>
        <w:tab/>
      </w:r>
      <w:r w:rsidRPr="005E6C5D">
        <w:rPr>
          <w:rFonts w:ascii="Arial" w:hAnsi="Arial" w:cs="Arial"/>
          <w:noProof/>
          <w:szCs w:val="24"/>
        </w:rPr>
        <w:drawing>
          <wp:inline distT="0" distB="0" distL="0" distR="0" wp14:anchorId="5F81BF6A" wp14:editId="6AB88A9B">
            <wp:extent cx="3784600" cy="1329327"/>
            <wp:effectExtent l="0" t="0" r="6350" b="444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514" cy="13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F3F4" w14:textId="77777777" w:rsidR="0040686D" w:rsidRPr="005E6C5D" w:rsidRDefault="0040686D" w:rsidP="005E6C5D">
      <w:pPr>
        <w:rPr>
          <w:rFonts w:ascii="Arial" w:hAnsi="Arial" w:cs="Arial"/>
          <w:szCs w:val="24"/>
        </w:rPr>
      </w:pPr>
    </w:p>
    <w:sectPr w:rsidR="0040686D" w:rsidRPr="005E6C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0"/>
    <w:rsid w:val="000576CA"/>
    <w:rsid w:val="001432C4"/>
    <w:rsid w:val="00202E86"/>
    <w:rsid w:val="00262C72"/>
    <w:rsid w:val="00355D4D"/>
    <w:rsid w:val="003E16C0"/>
    <w:rsid w:val="0040686D"/>
    <w:rsid w:val="004117A4"/>
    <w:rsid w:val="004E6099"/>
    <w:rsid w:val="00555B36"/>
    <w:rsid w:val="005E6C5D"/>
    <w:rsid w:val="006B56CC"/>
    <w:rsid w:val="008C670E"/>
    <w:rsid w:val="008E318A"/>
    <w:rsid w:val="008E5F73"/>
    <w:rsid w:val="00906683"/>
    <w:rsid w:val="00995799"/>
    <w:rsid w:val="00AB32D4"/>
    <w:rsid w:val="00BA7330"/>
    <w:rsid w:val="00E347E7"/>
    <w:rsid w:val="00E66801"/>
    <w:rsid w:val="00EC7E68"/>
    <w:rsid w:val="00F30EF9"/>
    <w:rsid w:val="00FF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F1FA"/>
  <w15:chartTrackingRefBased/>
  <w15:docId w15:val="{8459956E-4238-43CF-963A-8210D533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340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6</cp:revision>
  <dcterms:created xsi:type="dcterms:W3CDTF">2022-06-27T01:51:00Z</dcterms:created>
  <dcterms:modified xsi:type="dcterms:W3CDTF">2022-06-30T01:18:00Z</dcterms:modified>
</cp:coreProperties>
</file>