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Etapa II (09/09/2019)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Delimitar o ambiente em uma matriz, representação da matriz gráfica (Observe o exemplo abaixo).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Descrição detalhada dos agentes e suas ações no ambiente (Qual a função de cada um, se é reativo (apenas reage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uma percepção do ambiente) ou com estados (possui algum tipo de informação)).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Descrição da linguagem de programação escolhida.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Linguagem de programação JAVA para utilizar os recursos oferecidos pela POO.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Ambiente: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Será um cruzamento com um semáforo no centro, Onde existe duas vias e ida e volta e um canteiro que irá dividir as vias. Os pedestres, para realizar a travessia, irão se posicionar paralelamente a via. Os carros sempre estão em uma via.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#Agente Carro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Agente reativo simples.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Só pode se movimentar em Ruas(linhas ou colunas)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-Ler ambiente 1 quadrante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-Andar 1 quadrante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#Agente Pessoa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Agente reativo simples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Só pode se movimentar paralelamente a ruas com exceção ao realizar a travessia.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-Ler ambiente 1 quadrante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-Andar 1 quadrante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#Agente Semáforo: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Agente reativo com estados.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Irá ler o ambiente, verificar qual rota tem mais demanda e liberar a mesma.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Uma rota não pode ficar liberada por mais de 4 turnos, se houver demanda em outra.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Agente Carro tem prioridade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-Ler o ambiente 2 quadrantes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-Abrir semáforo vertical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-Abrir semáforo Horizontal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-Fechar semáforo vertical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-Fechar semáforo Horizontal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