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1B3A5C"/>
          <w:sz w:val="56"/>
        </w:rPr>
        <w:t>Heartbeat or Noise?</w:t>
      </w:r>
    </w:p>
    <w:p>
      <w:pPr>
        <w:jc w:val="center"/>
      </w:pPr>
      <w:r>
        <w:rPr>
          <w:rFonts w:ascii="Calibri" w:hAnsi="Calibri"/>
          <w:b w:val="0"/>
          <w:i w:val="0"/>
          <w:color w:val="555555"/>
          <w:sz w:val="32"/>
        </w:rPr>
        <w:t>Evaluating Consumer Wearables as Cardiac Screening Proxies</w:t>
        <w:br/>
        <w:t>Using Machine Learning</w:t>
      </w:r>
    </w:p>
    <w:p/>
    <w:p>
      <w:pPr>
        <w:jc w:val="center"/>
      </w:pPr>
      <w:r>
        <w:rPr>
          <w:rFonts w:ascii="Calibri" w:hAnsi="Calibri"/>
          <w:b w:val="0"/>
          <w:i w:val="0"/>
          <w:sz w:val="24"/>
        </w:rPr>
        <w:t>Lucas Sam</w:t>
        <w:br/>
        <w:t>General Assembly Data Analytics Capstone Project</w:t>
        <w:br/>
        <w:t>March 2026</w:t>
      </w:r>
    </w:p>
    <w:p/>
    <w:p>
      <w:pPr>
        <w:jc w:val="center"/>
      </w:pPr>
      <w:r>
        <w:rPr>
          <w:rFonts w:ascii="Calibri" w:hAnsi="Calibri"/>
          <w:b w:val="0"/>
          <w:i/>
          <w:color w:val="444444"/>
          <w:sz w:val="22"/>
        </w:rPr>
        <w:t>Research Question: Can machine learning models trained on clinical ECG data</w:t>
        <w:br/>
        <w:t>generalise to consumer wearable signals to detect cardiac rhythm anomalies,</w:t>
        <w:br/>
        <w:t>and are consumer wearables feasible as proxy cardiac screening tools</w:t>
        <w:br/>
        <w:t>for the general population?</w:t>
      </w:r>
    </w:p>
    <w:p>
      <w:r>
        <w:br w:type="page"/>
      </w:r>
    </w:p>
    <w:p>
      <w:pPr>
        <w:pStyle w:val="Heading1"/>
      </w:pPr>
      <w:r>
        <w:rPr>
          <w:rFonts w:ascii="Calibri" w:hAnsi="Calibri"/>
          <w:color w:val="1B3A5C"/>
        </w:rPr>
        <w:t>1. Problem, Goals &amp; Audience</w:t>
      </w:r>
    </w:p>
    <w:p>
      <w:r>
        <w:rPr>
          <w:rFonts w:ascii="Calibri" w:hAnsi="Calibri"/>
          <w:b w:val="0"/>
          <w:i w:val="0"/>
          <w:sz w:val="22"/>
        </w:rPr>
        <w:t>Cardiovascular disease (CVD) accounts for 30.5% of all deaths in Singapore, equating to approximately 22 lives lost daily. Despite national screening programmes, approximately 49% of Singapore residents did not undergo a health checkup in the past twelve months, leaving a significant proportion of the population unaware of underlying cardiac risk.</w:t>
      </w:r>
    </w:p>
    <w:p>
      <w:r>
        <w:rPr>
          <w:rFonts w:ascii="Calibri" w:hAnsi="Calibri"/>
          <w:b w:val="0"/>
          <w:i w:val="0"/>
          <w:sz w:val="22"/>
        </w:rPr>
        <w:t>Consumer wearables — including smartwatches from Apple and Samsung — are worn by millions daily and continuously monitor physiological signals including heart rate and heart rate variability (HRV). Unlike a hospital visit, wearable monitoring is passive, always-on, and requires no scheduling or cost. If consumer wearable signals can reliably flag cardiac rhythm irregularities with sufficient sensitivity, they represent a scalable, low-barrier first-line screening intervention for an under-screened population.</w:t>
      </w:r>
    </w:p>
    <w:p>
      <w:pPr>
        <w:pStyle w:val="Heading2"/>
      </w:pPr>
      <w:r>
        <w:rPr>
          <w:rFonts w:ascii="Calibri" w:hAnsi="Calibri"/>
          <w:color w:val="1B3A5C"/>
        </w:rPr>
        <w:t>1.1 Project Goals</w:t>
      </w:r>
    </w:p>
    <w:p>
      <w:pPr>
        <w:ind w:left="432"/>
      </w:pPr>
      <w:r>
        <w:rPr>
          <w:rFonts w:ascii="Calibri" w:hAnsi="Calibri"/>
          <w:b w:val="0"/>
          <w:i w:val="0"/>
          <w:sz w:val="22"/>
        </w:rPr>
        <w:t>Goal 1 — Clinical Benchmark: Train and evaluate a binary cardiac rhythm classifier on clinical ECG data, using only features extractable from consumer wearables. Success criterion: sensitivity ≥80%, specificity ≥75% on held-out test data.</w:t>
      </w:r>
    </w:p>
    <w:p>
      <w:pPr>
        <w:ind w:left="432"/>
      </w:pPr>
      <w:r>
        <w:rPr>
          <w:rFonts w:ascii="Calibri" w:hAnsi="Calibri"/>
          <w:b w:val="0"/>
          <w:i w:val="0"/>
          <w:sz w:val="22"/>
        </w:rPr>
        <w:t>Goal 2 — Generalisation Test: Apply the frozen model to consumer wearable signals (Apple Watch PPG and MIMIC PERform AF finger PPG) and measure how much discriminative performance is retained across the modality gap.</w:t>
      </w:r>
    </w:p>
    <w:p>
      <w:pPr>
        <w:ind w:left="432"/>
      </w:pPr>
      <w:r>
        <w:rPr>
          <w:rFonts w:ascii="Calibri" w:hAnsi="Calibri"/>
          <w:b w:val="0"/>
          <w:i w:val="0"/>
          <w:sz w:val="22"/>
        </w:rPr>
        <w:t>Goal 3 — Proof of Concept: Build a deployable app (BeatCheck) that accepts Apple Health exports and returns a risk tier using the trained model.</w:t>
      </w:r>
    </w:p>
    <w:p>
      <w:pPr>
        <w:pStyle w:val="Heading2"/>
      </w:pPr>
      <w:r>
        <w:rPr>
          <w:rFonts w:ascii="Calibri" w:hAnsi="Calibri"/>
          <w:color w:val="1B3A5C"/>
        </w:rPr>
        <w:t>1.2 Target Audience</w:t>
      </w:r>
    </w:p>
    <w:p>
      <w:r>
        <w:rPr>
          <w:rFonts w:ascii="Calibri" w:hAnsi="Calibri"/>
          <w:b w:val="0"/>
          <w:i w:val="0"/>
          <w:sz w:val="22"/>
        </w:rPr>
        <w:t>Primary audience: Singapore residents who own consumer wearables and are among the 49% who do not attend regular health checkups. Secondary audience: public health policymakers evaluating technology-assisted screening interventions. BeatCheck is explicitly designed as a screening flag — not a diagnostic tool — that directs users toward formal clinical evaluation.</w:t>
      </w:r>
    </w:p>
    <w:p>
      <w:pPr>
        <w:pStyle w:val="Heading2"/>
      </w:pPr>
      <w:r>
        <w:rPr>
          <w:rFonts w:ascii="Calibri" w:hAnsi="Calibri"/>
          <w:color w:val="1B3A5C"/>
        </w:rPr>
        <w:t>1.3 Two-Layer Validation Framework</w:t>
      </w:r>
    </w:p>
    <w:p>
      <w:r>
        <w:rPr>
          <w:rFonts w:ascii="Calibri" w:hAnsi="Calibri"/>
          <w:b w:val="0"/>
          <w:i w:val="0"/>
          <w:sz w:val="22"/>
        </w:rPr>
        <w:t>The project uses a pre-registered two-layer architecture to separate model training from generalisation testing. Layer 1 trains the model on clinical ECG data. Layer 2 tests the frozen model on consumer wearable data. No retraining or threshold adjustment occurs between layers at the point of primary evaluation. Three success tiers were pre-registered: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Tier</w:t>
            </w:r>
          </w:p>
        </w:tc>
        <w:tc>
          <w:tcPr>
            <w:tcW w:type="dxa" w:w="2880"/>
          </w:tcPr>
          <w:p>
            <w:r/>
            <w:r>
              <w:rPr>
                <w:rFonts w:ascii="Calibri" w:hAnsi="Calibri"/>
                <w:b/>
                <w:i w:val="0"/>
                <w:sz w:val="20"/>
              </w:rPr>
              <w:t>Criterion</w:t>
            </w:r>
          </w:p>
        </w:tc>
        <w:tc>
          <w:tcPr>
            <w:tcW w:type="dxa" w:w="2880"/>
          </w:tcPr>
          <w:p>
            <w:r/>
            <w:r>
              <w:rPr>
                <w:rFonts w:ascii="Calibri" w:hAnsi="Calibri"/>
                <w:b/>
                <w:i w:val="0"/>
                <w:sz w:val="20"/>
              </w:rPr>
              <w:t>What It Tests</w:t>
            </w:r>
          </w:p>
        </w:tc>
      </w:tr>
      <w:tr>
        <w:tc>
          <w:tcPr>
            <w:tcW w:type="dxa" w:w="2880"/>
          </w:tcPr>
          <w:p>
            <w:r/>
            <w:r>
              <w:rPr>
                <w:rFonts w:ascii="Calibri" w:hAnsi="Calibri"/>
                <w:b w:val="0"/>
                <w:i w:val="0"/>
                <w:sz w:val="20"/>
              </w:rPr>
              <w:t>Tier 1</w:t>
            </w:r>
          </w:p>
        </w:tc>
        <w:tc>
          <w:tcPr>
            <w:tcW w:type="dxa" w:w="2880"/>
          </w:tcPr>
          <w:p>
            <w:r/>
            <w:r>
              <w:rPr>
                <w:rFonts w:ascii="Calibri" w:hAnsi="Calibri"/>
                <w:b w:val="0"/>
                <w:i w:val="0"/>
                <w:sz w:val="20"/>
              </w:rPr>
              <w:t>Pipeline executes with interpretable outputs</w:t>
            </w:r>
          </w:p>
        </w:tc>
        <w:tc>
          <w:tcPr>
            <w:tcW w:type="dxa" w:w="2880"/>
          </w:tcPr>
          <w:p>
            <w:r/>
            <w:r>
              <w:rPr>
                <w:rFonts w:ascii="Calibri" w:hAnsi="Calibri"/>
                <w:b w:val="0"/>
                <w:i w:val="0"/>
                <w:sz w:val="20"/>
              </w:rPr>
              <w:t>Foundational applicability</w:t>
            </w:r>
          </w:p>
        </w:tc>
      </w:tr>
      <w:tr>
        <w:tc>
          <w:tcPr>
            <w:tcW w:type="dxa" w:w="2880"/>
          </w:tcPr>
          <w:p>
            <w:r/>
            <w:r>
              <w:rPr>
                <w:rFonts w:ascii="Calibri" w:hAnsi="Calibri"/>
                <w:b w:val="0"/>
                <w:i w:val="0"/>
                <w:sz w:val="20"/>
              </w:rPr>
              <w:t>Tier 2</w:t>
            </w:r>
          </w:p>
        </w:tc>
        <w:tc>
          <w:tcPr>
            <w:tcW w:type="dxa" w:w="2880"/>
          </w:tcPr>
          <w:p>
            <w:r/>
            <w:r>
              <w:rPr>
                <w:rFonts w:ascii="Calibri" w:hAnsi="Calibri"/>
                <w:b w:val="0"/>
                <w:i w:val="0"/>
                <w:sz w:val="20"/>
              </w:rPr>
              <w:t>Sensitivity ≥80% AND Specificity ≥75%</w:t>
            </w:r>
          </w:p>
        </w:tc>
        <w:tc>
          <w:tcPr>
            <w:tcW w:type="dxa" w:w="2880"/>
          </w:tcPr>
          <w:p>
            <w:r/>
            <w:r>
              <w:rPr>
                <w:rFonts w:ascii="Calibri" w:hAnsi="Calibri"/>
                <w:b w:val="0"/>
                <w:i w:val="0"/>
                <w:sz w:val="20"/>
              </w:rPr>
              <w:t>Statistical signal detection</w:t>
            </w:r>
          </w:p>
        </w:tc>
      </w:tr>
      <w:tr>
        <w:tc>
          <w:tcPr>
            <w:tcW w:type="dxa" w:w="2880"/>
          </w:tcPr>
          <w:p>
            <w:r/>
            <w:r>
              <w:rPr>
                <w:rFonts w:ascii="Calibri" w:hAnsi="Calibri"/>
                <w:b w:val="0"/>
                <w:i w:val="0"/>
                <w:sz w:val="20"/>
              </w:rPr>
              <w:t>Tier 3</w:t>
            </w:r>
          </w:p>
        </w:tc>
        <w:tc>
          <w:tcPr>
            <w:tcW w:type="dxa" w:w="2880"/>
          </w:tcPr>
          <w:p>
            <w:r/>
            <w:r>
              <w:rPr>
                <w:rFonts w:ascii="Calibri" w:hAnsi="Calibri"/>
                <w:b w:val="0"/>
                <w:i w:val="0"/>
                <w:sz w:val="20"/>
              </w:rPr>
              <w:t>AUROC ≥0.85</w:t>
            </w:r>
          </w:p>
        </w:tc>
        <w:tc>
          <w:tcPr>
            <w:tcW w:type="dxa" w:w="2880"/>
          </w:tcPr>
          <w:p>
            <w:r/>
            <w:r>
              <w:rPr>
                <w:rFonts w:ascii="Calibri" w:hAnsi="Calibri"/>
                <w:b w:val="0"/>
                <w:i w:val="0"/>
                <w:sz w:val="20"/>
              </w:rPr>
              <w:t>Clinical concordance / discriminative ability</w:t>
            </w:r>
          </w:p>
        </w:tc>
      </w:tr>
    </w:tbl>
    <w:p>
      <w:r>
        <w:br w:type="page"/>
      </w:r>
    </w:p>
    <w:p>
      <w:pPr>
        <w:pStyle w:val="Heading1"/>
      </w:pPr>
      <w:r>
        <w:rPr>
          <w:rFonts w:ascii="Calibri" w:hAnsi="Calibri"/>
          <w:color w:val="1B3A5C"/>
        </w:rPr>
        <w:t>2. Data Sources &amp; Data Dictionary</w:t>
      </w:r>
    </w:p>
    <w:p>
      <w:pPr>
        <w:pStyle w:val="Heading2"/>
      </w:pPr>
      <w:r>
        <w:rPr>
          <w:rFonts w:ascii="Calibri" w:hAnsi="Calibri"/>
          <w:color w:val="1B3A5C"/>
        </w:rPr>
        <w:t>2.1 Physionet 2017 AF Classification Challenge (Layer 1 Training)</w:t>
      </w:r>
    </w:p>
    <w:p>
      <w:r>
        <w:rPr>
          <w:rFonts w:ascii="Calibri" w:hAnsi="Calibri"/>
          <w:b w:val="0"/>
          <w:i w:val="0"/>
          <w:sz w:val="22"/>
        </w:rPr>
        <w:t>8,528 single-lead ECG recordings sampled at 300 Hz, from the PhysioNet Computing in Cardiology Challenge 2017. After excluding 279 noisy/unclassifiable records and applying a feature quality filter, 8,187 records were retained (0.75% failure rate). Binary label mapping: Normal (N → 0) versus Abnormal (AF + Other → 1). Class distribution: 61.6% Normal (5,042 records), 38.4% Abnormal (3,145 records). AF within the Abnormal class: 754 records (24.0%).</w:t>
      </w:r>
    </w:p>
    <w:p>
      <w:pPr>
        <w:jc w:val="center"/>
      </w:pPr>
      <w:r>
        <w:drawing>
          <wp:inline xmlns:a="http://schemas.openxmlformats.org/drawingml/2006/main" xmlns:pic="http://schemas.openxmlformats.org/drawingml/2006/picture">
            <wp:extent cx="5029200" cy="2380857"/>
            <wp:docPr id="1" name="Picture 1"/>
            <wp:cNvGraphicFramePr>
              <a:graphicFrameLocks noChangeAspect="1"/>
            </wp:cNvGraphicFramePr>
            <a:graphic>
              <a:graphicData uri="http://schemas.openxmlformats.org/drawingml/2006/picture">
                <pic:pic>
                  <pic:nvPicPr>
                    <pic:cNvPr id="0" name="class_distribution_2026.png"/>
                    <pic:cNvPicPr/>
                  </pic:nvPicPr>
                  <pic:blipFill>
                    <a:blip r:embed="rId10"/>
                    <a:stretch>
                      <a:fillRect/>
                    </a:stretch>
                  </pic:blipFill>
                  <pic:spPr>
                    <a:xfrm>
                      <a:off x="0" y="0"/>
                      <a:ext cx="5029200" cy="2380857"/>
                    </a:xfrm>
                    <a:prstGeom prst="rect"/>
                  </pic:spPr>
                </pic:pic>
              </a:graphicData>
            </a:graphic>
          </wp:inline>
        </w:drawing>
      </w:r>
    </w:p>
    <w:p>
      <w:pPr>
        <w:jc w:val="center"/>
      </w:pPr>
      <w:r>
        <w:rPr>
          <w:rFonts w:ascii="Calibri" w:hAnsi="Calibri"/>
          <w:b w:val="0"/>
          <w:i/>
          <w:color w:val="555555"/>
          <w:sz w:val="18"/>
        </w:rPr>
        <w:t>Figure 1. Class distribution in the Physionet 2017 training dataset after noisy-class exclusion and quality filtering.</w:t>
      </w:r>
    </w:p>
    <w:p>
      <w:pPr>
        <w:jc w:val="center"/>
      </w:pPr>
      <w:r>
        <w:drawing>
          <wp:inline xmlns:a="http://schemas.openxmlformats.org/drawingml/2006/main" xmlns:pic="http://schemas.openxmlformats.org/drawingml/2006/picture">
            <wp:extent cx="5029200" cy="2837145"/>
            <wp:docPr id="2" name="Picture 2"/>
            <wp:cNvGraphicFramePr>
              <a:graphicFrameLocks noChangeAspect="1"/>
            </wp:cNvGraphicFramePr>
            <a:graphic>
              <a:graphicData uri="http://schemas.openxmlformats.org/drawingml/2006/picture">
                <pic:pic>
                  <pic:nvPicPr>
                    <pic:cNvPr id="0" name="pipeline_flowchart_2026.png"/>
                    <pic:cNvPicPr/>
                  </pic:nvPicPr>
                  <pic:blipFill>
                    <a:blip r:embed="rId11"/>
                    <a:stretch>
                      <a:fillRect/>
                    </a:stretch>
                  </pic:blipFill>
                  <pic:spPr>
                    <a:xfrm>
                      <a:off x="0" y="0"/>
                      <a:ext cx="5029200" cy="2837145"/>
                    </a:xfrm>
                    <a:prstGeom prst="rect"/>
                  </pic:spPr>
                </pic:pic>
              </a:graphicData>
            </a:graphic>
          </wp:inline>
        </w:drawing>
      </w:r>
    </w:p>
    <w:p>
      <w:pPr>
        <w:jc w:val="center"/>
      </w:pPr>
      <w:r>
        <w:rPr>
          <w:rFonts w:ascii="Calibri" w:hAnsi="Calibri"/>
          <w:b w:val="0"/>
          <w:i/>
          <w:color w:val="555555"/>
          <w:sz w:val="18"/>
        </w:rPr>
        <w:t>Figure 2. End-to-end project pipeline from raw data through training, validation, and wearable generalisation.</w:t>
      </w:r>
    </w:p>
    <w:p>
      <w:pPr>
        <w:pStyle w:val="Heading2"/>
      </w:pPr>
      <w:r>
        <w:rPr>
          <w:rFonts w:ascii="Calibri" w:hAnsi="Calibri"/>
          <w:color w:val="1B3A5C"/>
        </w:rPr>
        <w:t>2.2 Personal Apple Watch Data (N=1 Case Study)</w:t>
      </w:r>
    </w:p>
    <w:p>
      <w:r>
        <w:rPr>
          <w:rFonts w:ascii="Calibri" w:hAnsi="Calibri"/>
          <w:b w:val="0"/>
          <w:i w:val="0"/>
          <w:sz w:val="22"/>
        </w:rPr>
        <w:t>Apple Watch SE, 1st Generation — PPG optical sensor only. No electrical heart sensor. No ECG recordings. Temporal coverage: April 2021 – February 2026 (4.8 years). Clinical anchor point: June 18, 2025 — confirmed by ECG report from the National Heart Centre Singapore (NHCS) showing an Abnormal ECG (intraventricular conduction delay, ST abnormality). Role: exploratory N=1 case study appendix.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Metric</w:t>
            </w:r>
          </w:p>
        </w:tc>
        <w:tc>
          <w:tcPr>
            <w:tcW w:type="dxa" w:w="2880"/>
          </w:tcPr>
          <w:p>
            <w:r/>
            <w:r>
              <w:rPr>
                <w:rFonts w:ascii="Calibri" w:hAnsi="Calibri"/>
                <w:b/>
                <w:i w:val="0"/>
                <w:sz w:val="20"/>
              </w:rPr>
              <w:t>Records</w:t>
            </w:r>
          </w:p>
        </w:tc>
        <w:tc>
          <w:tcPr>
            <w:tcW w:type="dxa" w:w="2880"/>
          </w:tcPr>
          <w:p>
            <w:r/>
            <w:r>
              <w:rPr>
                <w:rFonts w:ascii="Calibri" w:hAnsi="Calibri"/>
                <w:b/>
                <w:i w:val="0"/>
                <w:sz w:val="20"/>
              </w:rPr>
              <w:t>Notes</w:t>
            </w:r>
          </w:p>
        </w:tc>
      </w:tr>
      <w:tr>
        <w:tc>
          <w:tcPr>
            <w:tcW w:type="dxa" w:w="2880"/>
          </w:tcPr>
          <w:p>
            <w:r/>
            <w:r>
              <w:rPr>
                <w:rFonts w:ascii="Calibri" w:hAnsi="Calibri"/>
                <w:b w:val="0"/>
                <w:i w:val="0"/>
                <w:sz w:val="20"/>
              </w:rPr>
              <w:t>Heart rate (continuous)</w:t>
            </w:r>
          </w:p>
        </w:tc>
        <w:tc>
          <w:tcPr>
            <w:tcW w:type="dxa" w:w="2880"/>
          </w:tcPr>
          <w:p>
            <w:r/>
            <w:r>
              <w:rPr>
                <w:rFonts w:ascii="Calibri" w:hAnsi="Calibri"/>
                <w:b w:val="0"/>
                <w:i w:val="0"/>
                <w:sz w:val="20"/>
              </w:rPr>
              <w:t>478,077</w:t>
            </w:r>
          </w:p>
        </w:tc>
        <w:tc>
          <w:tcPr>
            <w:tcW w:type="dxa" w:w="2880"/>
          </w:tcPr>
          <w:p>
            <w:r/>
            <w:r>
              <w:rPr>
                <w:rFonts w:ascii="Calibri" w:hAnsi="Calibri"/>
                <w:b w:val="0"/>
                <w:i w:val="0"/>
                <w:sz w:val="20"/>
              </w:rPr>
              <w:t>1 artifact removed</w:t>
            </w:r>
          </w:p>
        </w:tc>
      </w:tr>
      <w:tr>
        <w:tc>
          <w:tcPr>
            <w:tcW w:type="dxa" w:w="2880"/>
          </w:tcPr>
          <w:p>
            <w:r/>
            <w:r>
              <w:rPr>
                <w:rFonts w:ascii="Calibri" w:hAnsi="Calibri"/>
                <w:b w:val="0"/>
                <w:i w:val="0"/>
                <w:sz w:val="20"/>
              </w:rPr>
              <w:t>HRV (SDNN)</w:t>
            </w:r>
          </w:p>
        </w:tc>
        <w:tc>
          <w:tcPr>
            <w:tcW w:type="dxa" w:w="2880"/>
          </w:tcPr>
          <w:p>
            <w:r/>
            <w:r>
              <w:rPr>
                <w:rFonts w:ascii="Calibri" w:hAnsi="Calibri"/>
                <w:b w:val="0"/>
                <w:i w:val="0"/>
                <w:sz w:val="20"/>
              </w:rPr>
              <w:t>5,456</w:t>
            </w:r>
          </w:p>
        </w:tc>
        <w:tc>
          <w:tcPr>
            <w:tcW w:type="dxa" w:w="2880"/>
          </w:tcPr>
          <w:p>
            <w:r/>
            <w:r>
              <w:rPr>
                <w:rFonts w:ascii="Calibri" w:hAnsi="Calibri"/>
                <w:b w:val="0"/>
                <w:i w:val="0"/>
                <w:sz w:val="20"/>
              </w:rPr>
              <w:t>29 outliers removed</w:t>
            </w:r>
          </w:p>
        </w:tc>
      </w:tr>
      <w:tr>
        <w:tc>
          <w:tcPr>
            <w:tcW w:type="dxa" w:w="2880"/>
          </w:tcPr>
          <w:p>
            <w:r/>
            <w:r>
              <w:rPr>
                <w:rFonts w:ascii="Calibri" w:hAnsi="Calibri"/>
                <w:b w:val="0"/>
                <w:i w:val="0"/>
                <w:sz w:val="20"/>
              </w:rPr>
              <w:t>Resting heart rate</w:t>
            </w:r>
          </w:p>
        </w:tc>
        <w:tc>
          <w:tcPr>
            <w:tcW w:type="dxa" w:w="2880"/>
          </w:tcPr>
          <w:p>
            <w:r/>
            <w:r>
              <w:rPr>
                <w:rFonts w:ascii="Calibri" w:hAnsi="Calibri"/>
                <w:b w:val="0"/>
                <w:i w:val="0"/>
                <w:sz w:val="20"/>
              </w:rPr>
              <w:t>1,491</w:t>
            </w:r>
          </w:p>
        </w:tc>
        <w:tc>
          <w:tcPr>
            <w:tcW w:type="dxa" w:w="2880"/>
          </w:tcPr>
          <w:p>
            <w:r/>
            <w:r>
              <w:rPr>
                <w:rFonts w:ascii="Calibri" w:hAnsi="Calibri"/>
                <w:b w:val="0"/>
                <w:i w:val="0"/>
                <w:sz w:val="20"/>
              </w:rPr>
              <w:t>Daily summaries</w:t>
            </w:r>
          </w:p>
        </w:tc>
      </w:tr>
      <w:tr>
        <w:tc>
          <w:tcPr>
            <w:tcW w:type="dxa" w:w="2880"/>
          </w:tcPr>
          <w:p>
            <w:r/>
            <w:r>
              <w:rPr>
                <w:rFonts w:ascii="Calibri" w:hAnsi="Calibri"/>
                <w:b w:val="0"/>
                <w:i w:val="0"/>
                <w:sz w:val="20"/>
              </w:rPr>
              <w:t>Walking heart rate</w:t>
            </w:r>
          </w:p>
        </w:tc>
        <w:tc>
          <w:tcPr>
            <w:tcW w:type="dxa" w:w="2880"/>
          </w:tcPr>
          <w:p>
            <w:r/>
            <w:r>
              <w:rPr>
                <w:rFonts w:ascii="Calibri" w:hAnsi="Calibri"/>
                <w:b w:val="0"/>
                <w:i w:val="0"/>
                <w:sz w:val="20"/>
              </w:rPr>
              <w:t>1,557</w:t>
            </w:r>
          </w:p>
        </w:tc>
        <w:tc>
          <w:tcPr>
            <w:tcW w:type="dxa" w:w="2880"/>
          </w:tcPr>
          <w:p>
            <w:r/>
            <w:r>
              <w:rPr>
                <w:rFonts w:ascii="Calibri" w:hAnsi="Calibri"/>
                <w:b w:val="0"/>
                <w:i w:val="0"/>
                <w:sz w:val="20"/>
              </w:rPr>
              <w:t>Daily summaries</w:t>
            </w:r>
          </w:p>
        </w:tc>
      </w:tr>
      <w:tr>
        <w:tc>
          <w:tcPr>
            <w:tcW w:type="dxa" w:w="2880"/>
          </w:tcPr>
          <w:p>
            <w:r/>
            <w:r>
              <w:rPr>
                <w:rFonts w:ascii="Calibri" w:hAnsi="Calibri"/>
                <w:b w:val="0"/>
                <w:i w:val="0"/>
                <w:sz w:val="20"/>
              </w:rPr>
              <w:t>Respiratory rate</w:t>
            </w:r>
          </w:p>
        </w:tc>
        <w:tc>
          <w:tcPr>
            <w:tcW w:type="dxa" w:w="2880"/>
          </w:tcPr>
          <w:p>
            <w:r/>
            <w:r>
              <w:rPr>
                <w:rFonts w:ascii="Calibri" w:hAnsi="Calibri"/>
                <w:b w:val="0"/>
                <w:i w:val="0"/>
                <w:sz w:val="20"/>
              </w:rPr>
              <w:t>20,372</w:t>
            </w:r>
          </w:p>
        </w:tc>
        <w:tc>
          <w:tcPr>
            <w:tcW w:type="dxa" w:w="2880"/>
          </w:tcPr>
          <w:p>
            <w:r/>
            <w:r>
              <w:rPr>
                <w:rFonts w:ascii="Calibri" w:hAnsi="Calibri"/>
                <w:b w:val="0"/>
                <w:i w:val="0"/>
                <w:sz w:val="20"/>
              </w:rPr>
              <w:t>Sleep-derived</w:t>
            </w:r>
          </w:p>
        </w:tc>
      </w:tr>
      <w:tr>
        <w:tc>
          <w:tcPr>
            <w:tcW w:type="dxa" w:w="2880"/>
          </w:tcPr>
          <w:p>
            <w:r/>
            <w:r>
              <w:rPr>
                <w:rFonts w:ascii="Calibri" w:hAnsi="Calibri"/>
                <w:b w:val="0"/>
                <w:i w:val="0"/>
                <w:sz w:val="20"/>
              </w:rPr>
              <w:t>Sleep analysis</w:t>
            </w:r>
          </w:p>
        </w:tc>
        <w:tc>
          <w:tcPr>
            <w:tcW w:type="dxa" w:w="2880"/>
          </w:tcPr>
          <w:p>
            <w:r/>
            <w:r>
              <w:rPr>
                <w:rFonts w:ascii="Calibri" w:hAnsi="Calibri"/>
                <w:b w:val="0"/>
                <w:i w:val="0"/>
                <w:sz w:val="20"/>
              </w:rPr>
              <w:t>7,967</w:t>
            </w:r>
          </w:p>
        </w:tc>
        <w:tc>
          <w:tcPr>
            <w:tcW w:type="dxa" w:w="2880"/>
          </w:tcPr>
          <w:p>
            <w:r/>
            <w:r>
              <w:rPr>
                <w:rFonts w:ascii="Calibri" w:hAnsi="Calibri"/>
                <w:b w:val="0"/>
                <w:i w:val="0"/>
                <w:sz w:val="20"/>
              </w:rPr>
              <w:t>Session-level</w:t>
            </w:r>
          </w:p>
        </w:tc>
      </w:tr>
      <w:tr>
        <w:tc>
          <w:tcPr>
            <w:tcW w:type="dxa" w:w="2880"/>
          </w:tcPr>
          <w:p>
            <w:r/>
            <w:r>
              <w:rPr>
                <w:rFonts w:ascii="Calibri" w:hAnsi="Calibri"/>
                <w:b w:val="0"/>
                <w:i w:val="0"/>
                <w:sz w:val="20"/>
              </w:rPr>
              <w:t>Workouts</w:t>
            </w:r>
          </w:p>
        </w:tc>
        <w:tc>
          <w:tcPr>
            <w:tcW w:type="dxa" w:w="2880"/>
          </w:tcPr>
          <w:p>
            <w:r/>
            <w:r>
              <w:rPr>
                <w:rFonts w:ascii="Calibri" w:hAnsi="Calibri"/>
                <w:b w:val="0"/>
                <w:i w:val="0"/>
                <w:sz w:val="20"/>
              </w:rPr>
              <w:t>1,982</w:t>
            </w:r>
          </w:p>
        </w:tc>
        <w:tc>
          <w:tcPr>
            <w:tcW w:type="dxa" w:w="2880"/>
          </w:tcPr>
          <w:p>
            <w:r/>
            <w:r>
              <w:rPr>
                <w:rFonts w:ascii="Calibri" w:hAnsi="Calibri"/>
                <w:b w:val="0"/>
                <w:i w:val="0"/>
                <w:sz w:val="20"/>
              </w:rPr>
              <w:t>Session-level</w:t>
            </w:r>
          </w:p>
        </w:tc>
      </w:tr>
    </w:tbl>
    <w:p>
      <w:pPr>
        <w:pStyle w:val="Heading2"/>
      </w:pPr>
      <w:r>
        <w:rPr>
          <w:rFonts w:ascii="Calibri" w:hAnsi="Calibri"/>
          <w:color w:val="1B3A5C"/>
        </w:rPr>
        <w:t>2.3 MIMIC PERform AF — Primary Layer 2 Validation</w:t>
      </w:r>
    </w:p>
    <w:p>
      <w:r>
        <w:rPr>
          <w:rFonts w:ascii="Calibri" w:hAnsi="Calibri"/>
          <w:b w:val="0"/>
          <w:i w:val="0"/>
          <w:sz w:val="22"/>
        </w:rPr>
        <w:t>35 critically ill adults (19 AF, 16 NSR) with simultaneous finger PPG and ECG recordings at 125 Hz for 20 minutes per subject (150,000 samples). Pre-assigned clinical labels at subject level: AF files = Abnormal (1), Non-AF files = Normal (0). Sourced from Zenodo (doi.org/10.5281/zenodo.6807402). PPG nulls in 8 of 35 files handled by linear interpolation (worst case: 1.15% of samples). Pivot from UMass Simband (access unavailable before deadline) — MIMIC PERform AF satisfies all three validation requirements: wearable PPG signal, binary ground truth labels, no access barriers.</w:t>
      </w:r>
    </w:p>
    <w:p>
      <w:pPr>
        <w:pStyle w:val="Heading2"/>
      </w:pPr>
      <w:r>
        <w:rPr>
          <w:rFonts w:ascii="Calibri" w:hAnsi="Calibri"/>
          <w:color w:val="1B3A5C"/>
        </w:rPr>
        <w:t>2.4 Feature Dictionary</w:t>
      </w:r>
    </w:p>
    <w:p>
      <w:r>
        <w:rPr>
          <w:rFonts w:ascii="Calibri" w:hAnsi="Calibri"/>
          <w:b w:val="0"/>
          <w:i w:val="0"/>
          <w:sz w:val="22"/>
        </w:rPr>
        <w:t>Eight features, all time-domain or statistical, extractable from both clinical ECG and consumer wearable PPG. Locked before feature engineering. Frequency domain features (LF/HF ratio, HF power) permanently excluded — consumer wearables do not expose raw beat-by-beat interval sequences at consistent sampling rates.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Feature</w:t>
            </w:r>
          </w:p>
        </w:tc>
        <w:tc>
          <w:tcPr>
            <w:tcW w:type="dxa" w:w="2160"/>
          </w:tcPr>
          <w:p>
            <w:r/>
            <w:r>
              <w:rPr>
                <w:rFonts w:ascii="Calibri" w:hAnsi="Calibri"/>
                <w:b/>
                <w:i w:val="0"/>
                <w:sz w:val="20"/>
              </w:rPr>
              <w:t>Description</w:t>
            </w:r>
          </w:p>
        </w:tc>
        <w:tc>
          <w:tcPr>
            <w:tcW w:type="dxa" w:w="2160"/>
          </w:tcPr>
          <w:p>
            <w:r/>
            <w:r>
              <w:rPr>
                <w:rFonts w:ascii="Calibri" w:hAnsi="Calibri"/>
                <w:b/>
                <w:i w:val="0"/>
                <w:sz w:val="20"/>
              </w:rPr>
              <w:t>Physionet Source</w:t>
            </w:r>
          </w:p>
        </w:tc>
        <w:tc>
          <w:tcPr>
            <w:tcW w:type="dxa" w:w="2160"/>
          </w:tcPr>
          <w:p>
            <w:r/>
            <w:r>
              <w:rPr>
                <w:rFonts w:ascii="Calibri" w:hAnsi="Calibri"/>
                <w:b/>
                <w:i w:val="0"/>
                <w:sz w:val="20"/>
              </w:rPr>
              <w:t>MIMIC / Wearable Source</w:t>
            </w:r>
          </w:p>
        </w:tc>
      </w:tr>
      <w:tr>
        <w:tc>
          <w:tcPr>
            <w:tcW w:type="dxa" w:w="2160"/>
          </w:tcPr>
          <w:p>
            <w:r/>
            <w:r>
              <w:rPr>
                <w:rFonts w:ascii="Calibri" w:hAnsi="Calibri"/>
                <w:b w:val="0"/>
                <w:i w:val="0"/>
                <w:sz w:val="20"/>
              </w:rPr>
              <w:t>RMSSD</w:t>
            </w:r>
          </w:p>
        </w:tc>
        <w:tc>
          <w:tcPr>
            <w:tcW w:type="dxa" w:w="2160"/>
          </w:tcPr>
          <w:p>
            <w:r/>
            <w:r>
              <w:rPr>
                <w:rFonts w:ascii="Calibri" w:hAnsi="Calibri"/>
                <w:b w:val="0"/>
                <w:i w:val="0"/>
                <w:sz w:val="20"/>
              </w:rPr>
              <w:t>Root mean square of successive RR differences</w:t>
            </w:r>
          </w:p>
        </w:tc>
        <w:tc>
          <w:tcPr>
            <w:tcW w:type="dxa" w:w="2160"/>
          </w:tcPr>
          <w:p>
            <w:r/>
            <w:r>
              <w:rPr>
                <w:rFonts w:ascii="Calibri" w:hAnsi="Calibri"/>
                <w:b w:val="0"/>
                <w:i w:val="0"/>
                <w:sz w:val="20"/>
              </w:rPr>
              <w:t>RR intervals from ECG</w:t>
            </w:r>
          </w:p>
        </w:tc>
        <w:tc>
          <w:tcPr>
            <w:tcW w:type="dxa" w:w="2160"/>
          </w:tcPr>
          <w:p>
            <w:r/>
            <w:r>
              <w:rPr>
                <w:rFonts w:ascii="Calibri" w:hAnsi="Calibri"/>
                <w:b w:val="0"/>
                <w:i w:val="0"/>
                <w:sz w:val="20"/>
              </w:rPr>
              <w:t>RR intervals from PPG peaks</w:t>
            </w:r>
          </w:p>
        </w:tc>
      </w:tr>
      <w:tr>
        <w:tc>
          <w:tcPr>
            <w:tcW w:type="dxa" w:w="2160"/>
          </w:tcPr>
          <w:p>
            <w:r/>
            <w:r>
              <w:rPr>
                <w:rFonts w:ascii="Calibri" w:hAnsi="Calibri"/>
                <w:b w:val="0"/>
                <w:i w:val="0"/>
                <w:sz w:val="20"/>
              </w:rPr>
              <w:t>SDNN</w:t>
            </w:r>
          </w:p>
        </w:tc>
        <w:tc>
          <w:tcPr>
            <w:tcW w:type="dxa" w:w="2160"/>
          </w:tcPr>
          <w:p>
            <w:r/>
            <w:r>
              <w:rPr>
                <w:rFonts w:ascii="Calibri" w:hAnsi="Calibri"/>
                <w:b w:val="0"/>
                <w:i w:val="0"/>
                <w:sz w:val="20"/>
              </w:rPr>
              <w:t>Standard deviation of all RR intervals</w:t>
            </w:r>
          </w:p>
        </w:tc>
        <w:tc>
          <w:tcPr>
            <w:tcW w:type="dxa" w:w="2160"/>
          </w:tcPr>
          <w:p>
            <w:r/>
            <w:r>
              <w:rPr>
                <w:rFonts w:ascii="Calibri" w:hAnsi="Calibri"/>
                <w:b w:val="0"/>
                <w:i w:val="0"/>
                <w:sz w:val="20"/>
              </w:rPr>
              <w:t>RR intervals from ECG</w:t>
            </w:r>
          </w:p>
        </w:tc>
        <w:tc>
          <w:tcPr>
            <w:tcW w:type="dxa" w:w="2160"/>
          </w:tcPr>
          <w:p>
            <w:r/>
            <w:r>
              <w:rPr>
                <w:rFonts w:ascii="Calibri" w:hAnsi="Calibri"/>
                <w:b w:val="0"/>
                <w:i w:val="0"/>
                <w:sz w:val="20"/>
              </w:rPr>
              <w:t>RR intervals from PPG peaks</w:t>
            </w:r>
          </w:p>
        </w:tc>
      </w:tr>
      <w:tr>
        <w:tc>
          <w:tcPr>
            <w:tcW w:type="dxa" w:w="2160"/>
          </w:tcPr>
          <w:p>
            <w:r/>
            <w:r>
              <w:rPr>
                <w:rFonts w:ascii="Calibri" w:hAnsi="Calibri"/>
                <w:b w:val="0"/>
                <w:i w:val="0"/>
                <w:sz w:val="20"/>
              </w:rPr>
              <w:t>Mean RR</w:t>
            </w:r>
          </w:p>
        </w:tc>
        <w:tc>
          <w:tcPr>
            <w:tcW w:type="dxa" w:w="2160"/>
          </w:tcPr>
          <w:p>
            <w:r/>
            <w:r>
              <w:rPr>
                <w:rFonts w:ascii="Calibri" w:hAnsi="Calibri"/>
                <w:b w:val="0"/>
                <w:i w:val="0"/>
                <w:sz w:val="20"/>
              </w:rPr>
              <w:t>Average inter-beat interval (ms)</w:t>
            </w:r>
          </w:p>
        </w:tc>
        <w:tc>
          <w:tcPr>
            <w:tcW w:type="dxa" w:w="2160"/>
          </w:tcPr>
          <w:p>
            <w:r/>
            <w:r>
              <w:rPr>
                <w:rFonts w:ascii="Calibri" w:hAnsi="Calibri"/>
                <w:b w:val="0"/>
                <w:i w:val="0"/>
                <w:sz w:val="20"/>
              </w:rPr>
              <w:t>RR intervals from ECG</w:t>
            </w:r>
          </w:p>
        </w:tc>
        <w:tc>
          <w:tcPr>
            <w:tcW w:type="dxa" w:w="2160"/>
          </w:tcPr>
          <w:p>
            <w:r/>
            <w:r>
              <w:rPr>
                <w:rFonts w:ascii="Calibri" w:hAnsi="Calibri"/>
                <w:b w:val="0"/>
                <w:i w:val="0"/>
                <w:sz w:val="20"/>
              </w:rPr>
              <w:t>RR intervals from PPG peaks</w:t>
            </w:r>
          </w:p>
        </w:tc>
      </w:tr>
      <w:tr>
        <w:tc>
          <w:tcPr>
            <w:tcW w:type="dxa" w:w="2160"/>
          </w:tcPr>
          <w:p>
            <w:r/>
            <w:r>
              <w:rPr>
                <w:rFonts w:ascii="Calibri" w:hAnsi="Calibri"/>
                <w:b w:val="0"/>
                <w:i w:val="0"/>
                <w:sz w:val="20"/>
              </w:rPr>
              <w:t>pNN50</w:t>
            </w:r>
          </w:p>
        </w:tc>
        <w:tc>
          <w:tcPr>
            <w:tcW w:type="dxa" w:w="2160"/>
          </w:tcPr>
          <w:p>
            <w:r/>
            <w:r>
              <w:rPr>
                <w:rFonts w:ascii="Calibri" w:hAnsi="Calibri"/>
                <w:b w:val="0"/>
                <w:i w:val="0"/>
                <w:sz w:val="20"/>
              </w:rPr>
              <w:t>Proportion of successive intervals differing &gt;50ms</w:t>
            </w:r>
          </w:p>
        </w:tc>
        <w:tc>
          <w:tcPr>
            <w:tcW w:type="dxa" w:w="2160"/>
          </w:tcPr>
          <w:p>
            <w:r/>
            <w:r>
              <w:rPr>
                <w:rFonts w:ascii="Calibri" w:hAnsi="Calibri"/>
                <w:b w:val="0"/>
                <w:i w:val="0"/>
                <w:sz w:val="20"/>
              </w:rPr>
              <w:t>RR intervals from ECG</w:t>
            </w:r>
          </w:p>
        </w:tc>
        <w:tc>
          <w:tcPr>
            <w:tcW w:type="dxa" w:w="2160"/>
          </w:tcPr>
          <w:p>
            <w:r/>
            <w:r>
              <w:rPr>
                <w:rFonts w:ascii="Calibri" w:hAnsi="Calibri"/>
                <w:b w:val="0"/>
                <w:i w:val="0"/>
                <w:sz w:val="20"/>
              </w:rPr>
              <w:t>RR intervals from PPG peaks</w:t>
            </w:r>
          </w:p>
        </w:tc>
      </w:tr>
      <w:tr>
        <w:tc>
          <w:tcPr>
            <w:tcW w:type="dxa" w:w="2160"/>
          </w:tcPr>
          <w:p>
            <w:r/>
            <w:r>
              <w:rPr>
                <w:rFonts w:ascii="Calibri" w:hAnsi="Calibri"/>
                <w:b w:val="0"/>
                <w:i w:val="0"/>
                <w:sz w:val="20"/>
              </w:rPr>
              <w:t>HR Mean</w:t>
            </w:r>
          </w:p>
        </w:tc>
        <w:tc>
          <w:tcPr>
            <w:tcW w:type="dxa" w:w="2160"/>
          </w:tcPr>
          <w:p>
            <w:r/>
            <w:r>
              <w:rPr>
                <w:rFonts w:ascii="Calibri" w:hAnsi="Calibri"/>
                <w:b w:val="0"/>
                <w:i w:val="0"/>
                <w:sz w:val="20"/>
              </w:rPr>
              <w:t>Average heart rate (bpm)</w:t>
            </w:r>
          </w:p>
        </w:tc>
        <w:tc>
          <w:tcPr>
            <w:tcW w:type="dxa" w:w="2160"/>
          </w:tcPr>
          <w:p>
            <w:r/>
            <w:r>
              <w:rPr>
                <w:rFonts w:ascii="Calibri" w:hAnsi="Calibri"/>
                <w:b w:val="0"/>
                <w:i w:val="0"/>
                <w:sz w:val="20"/>
              </w:rPr>
              <w:t>Derived from RR intervals</w:t>
            </w:r>
          </w:p>
        </w:tc>
        <w:tc>
          <w:tcPr>
            <w:tcW w:type="dxa" w:w="2160"/>
          </w:tcPr>
          <w:p>
            <w:r/>
            <w:r>
              <w:rPr>
                <w:rFonts w:ascii="Calibri" w:hAnsi="Calibri"/>
                <w:b w:val="0"/>
                <w:i w:val="0"/>
                <w:sz w:val="20"/>
              </w:rPr>
              <w:t>Derived from RR intervals</w:t>
            </w:r>
          </w:p>
        </w:tc>
      </w:tr>
      <w:tr>
        <w:tc>
          <w:tcPr>
            <w:tcW w:type="dxa" w:w="2160"/>
          </w:tcPr>
          <w:p>
            <w:r/>
            <w:r>
              <w:rPr>
                <w:rFonts w:ascii="Calibri" w:hAnsi="Calibri"/>
                <w:b w:val="0"/>
                <w:i w:val="0"/>
                <w:sz w:val="20"/>
              </w:rPr>
              <w:t>HR Std Dev</w:t>
            </w:r>
          </w:p>
        </w:tc>
        <w:tc>
          <w:tcPr>
            <w:tcW w:type="dxa" w:w="2160"/>
          </w:tcPr>
          <w:p>
            <w:r/>
            <w:r>
              <w:rPr>
                <w:rFonts w:ascii="Calibri" w:hAnsi="Calibri"/>
                <w:b w:val="0"/>
                <w:i w:val="0"/>
                <w:sz w:val="20"/>
              </w:rPr>
              <w:t>Variability of instantaneous heart rate</w:t>
            </w:r>
          </w:p>
        </w:tc>
        <w:tc>
          <w:tcPr>
            <w:tcW w:type="dxa" w:w="2160"/>
          </w:tcPr>
          <w:p>
            <w:r/>
            <w:r>
              <w:rPr>
                <w:rFonts w:ascii="Calibri" w:hAnsi="Calibri"/>
                <w:b w:val="0"/>
                <w:i w:val="0"/>
                <w:sz w:val="20"/>
              </w:rPr>
              <w:t>Derived from RR intervals</w:t>
            </w:r>
          </w:p>
        </w:tc>
        <w:tc>
          <w:tcPr>
            <w:tcW w:type="dxa" w:w="2160"/>
          </w:tcPr>
          <w:p>
            <w:r/>
            <w:r>
              <w:rPr>
                <w:rFonts w:ascii="Calibri" w:hAnsi="Calibri"/>
                <w:b w:val="0"/>
                <w:i w:val="0"/>
                <w:sz w:val="20"/>
              </w:rPr>
              <w:t>Derived from RR intervals</w:t>
            </w:r>
          </w:p>
        </w:tc>
      </w:tr>
      <w:tr>
        <w:tc>
          <w:tcPr>
            <w:tcW w:type="dxa" w:w="2160"/>
          </w:tcPr>
          <w:p>
            <w:r/>
            <w:r>
              <w:rPr>
                <w:rFonts w:ascii="Calibri" w:hAnsi="Calibri"/>
                <w:b w:val="0"/>
                <w:i w:val="0"/>
                <w:sz w:val="20"/>
              </w:rPr>
              <w:t>RR Skewness</w:t>
            </w:r>
          </w:p>
        </w:tc>
        <w:tc>
          <w:tcPr>
            <w:tcW w:type="dxa" w:w="2160"/>
          </w:tcPr>
          <w:p>
            <w:r/>
            <w:r>
              <w:rPr>
                <w:rFonts w:ascii="Calibri" w:hAnsi="Calibri"/>
                <w:b w:val="0"/>
                <w:i w:val="0"/>
                <w:sz w:val="20"/>
              </w:rPr>
              <w:t>Asymmetry of the RR interval distribution</w:t>
            </w:r>
          </w:p>
        </w:tc>
        <w:tc>
          <w:tcPr>
            <w:tcW w:type="dxa" w:w="2160"/>
          </w:tcPr>
          <w:p>
            <w:r/>
            <w:r>
              <w:rPr>
                <w:rFonts w:ascii="Calibri" w:hAnsi="Calibri"/>
                <w:b w:val="0"/>
                <w:i w:val="0"/>
                <w:sz w:val="20"/>
              </w:rPr>
              <w:t>Derived from RR intervals</w:t>
            </w:r>
          </w:p>
        </w:tc>
        <w:tc>
          <w:tcPr>
            <w:tcW w:type="dxa" w:w="2160"/>
          </w:tcPr>
          <w:p>
            <w:r/>
            <w:r>
              <w:rPr>
                <w:rFonts w:ascii="Calibri" w:hAnsi="Calibri"/>
                <w:b w:val="0"/>
                <w:i w:val="0"/>
                <w:sz w:val="20"/>
              </w:rPr>
              <w:t>Derived from RR intervals</w:t>
            </w:r>
          </w:p>
        </w:tc>
      </w:tr>
      <w:tr>
        <w:tc>
          <w:tcPr>
            <w:tcW w:type="dxa" w:w="2160"/>
          </w:tcPr>
          <w:p>
            <w:r/>
            <w:r>
              <w:rPr>
                <w:rFonts w:ascii="Calibri" w:hAnsi="Calibri"/>
                <w:b w:val="0"/>
                <w:i w:val="0"/>
                <w:sz w:val="20"/>
              </w:rPr>
              <w:t>RR Kurtosis</w:t>
            </w:r>
          </w:p>
        </w:tc>
        <w:tc>
          <w:tcPr>
            <w:tcW w:type="dxa" w:w="2160"/>
          </w:tcPr>
          <w:p>
            <w:r/>
            <w:r>
              <w:rPr>
                <w:rFonts w:ascii="Calibri" w:hAnsi="Calibri"/>
                <w:b w:val="0"/>
                <w:i w:val="0"/>
                <w:sz w:val="20"/>
              </w:rPr>
              <w:t>Tail weight of the RR interval distribution</w:t>
            </w:r>
          </w:p>
        </w:tc>
        <w:tc>
          <w:tcPr>
            <w:tcW w:type="dxa" w:w="2160"/>
          </w:tcPr>
          <w:p>
            <w:r/>
            <w:r>
              <w:rPr>
                <w:rFonts w:ascii="Calibri" w:hAnsi="Calibri"/>
                <w:b w:val="0"/>
                <w:i w:val="0"/>
                <w:sz w:val="20"/>
              </w:rPr>
              <w:t>Derived from RR intervals</w:t>
            </w:r>
          </w:p>
        </w:tc>
        <w:tc>
          <w:tcPr>
            <w:tcW w:type="dxa" w:w="2160"/>
          </w:tcPr>
          <w:p>
            <w:r/>
            <w:r>
              <w:rPr>
                <w:rFonts w:ascii="Calibri" w:hAnsi="Calibri"/>
                <w:b w:val="0"/>
                <w:i w:val="0"/>
                <w:sz w:val="20"/>
              </w:rPr>
              <w:t>Derived from RR intervals</w:t>
            </w:r>
          </w:p>
        </w:tc>
      </w:tr>
    </w:tbl>
    <w:p>
      <w:pPr>
        <w:jc w:val="center"/>
      </w:pPr>
      <w:r>
        <w:drawing>
          <wp:inline xmlns:a="http://schemas.openxmlformats.org/drawingml/2006/main" xmlns:pic="http://schemas.openxmlformats.org/drawingml/2006/picture">
            <wp:extent cx="5029200" cy="2839652"/>
            <wp:docPr id="3" name="Picture 3"/>
            <wp:cNvGraphicFramePr>
              <a:graphicFrameLocks noChangeAspect="1"/>
            </wp:cNvGraphicFramePr>
            <a:graphic>
              <a:graphicData uri="http://schemas.openxmlformats.org/drawingml/2006/picture">
                <pic:pic>
                  <pic:nvPicPr>
                    <pic:cNvPr id="0" name="feature_descriptions_2026.png"/>
                    <pic:cNvPicPr/>
                  </pic:nvPicPr>
                  <pic:blipFill>
                    <a:blip r:embed="rId12"/>
                    <a:stretch>
                      <a:fillRect/>
                    </a:stretch>
                  </pic:blipFill>
                  <pic:spPr>
                    <a:xfrm>
                      <a:off x="0" y="0"/>
                      <a:ext cx="5029200" cy="2839652"/>
                    </a:xfrm>
                    <a:prstGeom prst="rect"/>
                  </pic:spPr>
                </pic:pic>
              </a:graphicData>
            </a:graphic>
          </wp:inline>
        </w:drawing>
      </w:r>
    </w:p>
    <w:p>
      <w:pPr>
        <w:jc w:val="center"/>
      </w:pPr>
      <w:r>
        <w:rPr>
          <w:rFonts w:ascii="Calibri" w:hAnsi="Calibri"/>
          <w:b w:val="0"/>
          <w:i/>
          <w:color w:val="555555"/>
          <w:sz w:val="18"/>
        </w:rPr>
        <w:t>Figure 3. Visual descriptions of all eight locked features and their physiological interpretation.</w:t>
      </w:r>
    </w:p>
    <w:p>
      <w:r>
        <w:br w:type="page"/>
      </w:r>
    </w:p>
    <w:p>
      <w:pPr>
        <w:pStyle w:val="Heading1"/>
      </w:pPr>
      <w:r>
        <w:rPr>
          <w:rFonts w:ascii="Calibri" w:hAnsi="Calibri"/>
          <w:color w:val="1B3A5C"/>
        </w:rPr>
        <w:t>3. Patterns, Trends &amp; Insights</w:t>
      </w:r>
    </w:p>
    <w:p>
      <w:pPr>
        <w:pStyle w:val="Heading2"/>
      </w:pPr>
      <w:r>
        <w:rPr>
          <w:rFonts w:ascii="Calibri" w:hAnsi="Calibri"/>
          <w:color w:val="1B3A5C"/>
        </w:rPr>
        <w:t>3.1 Feature Distributions by Class</w:t>
      </w:r>
    </w:p>
    <w:p>
      <w:r>
        <w:rPr>
          <w:rFonts w:ascii="Calibri" w:hAnsi="Calibri"/>
          <w:b w:val="0"/>
          <w:i w:val="0"/>
          <w:sz w:val="22"/>
        </w:rPr>
        <w:t>Examining the distribution of all eight HRV features across Normal and Abnormal classes reveals consistent, interpretable separation. Abnormal recordings show higher RMSSD, SDNN, pNN50, and HR Std Dev — reflecting the increased beat-to-beat irregularity characteristic of atrial fibrillation and other rhythm anomalies. Mean RR is lower in Abnormal recordings (corresponding to higher average heart rate). RR Skewness and Kurtosis capture distributional shape differences associated with erratic inter-beat timing.</w:t>
      </w:r>
    </w:p>
    <w:p>
      <w:pPr>
        <w:jc w:val="center"/>
      </w:pPr>
      <w:r>
        <w:drawing>
          <wp:inline xmlns:a="http://schemas.openxmlformats.org/drawingml/2006/main" xmlns:pic="http://schemas.openxmlformats.org/drawingml/2006/picture">
            <wp:extent cx="5029200" cy="2958684"/>
            <wp:docPr id="4" name="Picture 4"/>
            <wp:cNvGraphicFramePr>
              <a:graphicFrameLocks noChangeAspect="1"/>
            </wp:cNvGraphicFramePr>
            <a:graphic>
              <a:graphicData uri="http://schemas.openxmlformats.org/drawingml/2006/picture">
                <pic:pic>
                  <pic:nvPicPr>
                    <pic:cNvPr id="0" name="feature_distributions_by_class_2026.png"/>
                    <pic:cNvPicPr/>
                  </pic:nvPicPr>
                  <pic:blipFill>
                    <a:blip r:embed="rId13"/>
                    <a:stretch>
                      <a:fillRect/>
                    </a:stretch>
                  </pic:blipFill>
                  <pic:spPr>
                    <a:xfrm>
                      <a:off x="0" y="0"/>
                      <a:ext cx="5029200" cy="2958684"/>
                    </a:xfrm>
                    <a:prstGeom prst="rect"/>
                  </pic:spPr>
                </pic:pic>
              </a:graphicData>
            </a:graphic>
          </wp:inline>
        </w:drawing>
      </w:r>
    </w:p>
    <w:p>
      <w:pPr>
        <w:jc w:val="center"/>
      </w:pPr>
      <w:r>
        <w:rPr>
          <w:rFonts w:ascii="Calibri" w:hAnsi="Calibri"/>
          <w:b w:val="0"/>
          <w:i/>
          <w:color w:val="555555"/>
          <w:sz w:val="18"/>
        </w:rPr>
        <w:t>Figure 4. Distribution of all eight HRV features, split by Normal (0) and Abnormal (1) class. Higher RMSSD, SDNN, HR Std Dev indicate rhythm irregularity.</w:t>
      </w:r>
    </w:p>
    <w:p>
      <w:pPr>
        <w:pStyle w:val="Heading2"/>
      </w:pPr>
      <w:r>
        <w:rPr>
          <w:rFonts w:ascii="Calibri" w:hAnsi="Calibri"/>
          <w:color w:val="1B3A5C"/>
        </w:rPr>
        <w:t>3.2 Feature Correlations</w:t>
      </w:r>
    </w:p>
    <w:p>
      <w:r>
        <w:rPr>
          <w:rFonts w:ascii="Calibri" w:hAnsi="Calibri"/>
          <w:b w:val="0"/>
          <w:i w:val="0"/>
          <w:sz w:val="22"/>
        </w:rPr>
        <w:t>A correlation heatmap of the eight features reveals expected relationships: RMSSD and SDNN are strongly positively correlated (both measure beat-to-beat variability magnitude). pNN50 correlates with RMSSD (both sensitive to fast beat-to-beat changes). Mean RR and HR Mean are near-perfect inverse transforms of each other. RR Skewness and Kurtosis are relatively independent of the interval-based features, contributing orthogonal information about distributional shape.</w:t>
      </w:r>
    </w:p>
    <w:p>
      <w:pPr>
        <w:jc w:val="center"/>
      </w:pPr>
      <w:r>
        <w:drawing>
          <wp:inline xmlns:a="http://schemas.openxmlformats.org/drawingml/2006/main" xmlns:pic="http://schemas.openxmlformats.org/drawingml/2006/picture">
            <wp:extent cx="5029200" cy="4487370"/>
            <wp:docPr id="5" name="Picture 5"/>
            <wp:cNvGraphicFramePr>
              <a:graphicFrameLocks noChangeAspect="1"/>
            </wp:cNvGraphicFramePr>
            <a:graphic>
              <a:graphicData uri="http://schemas.openxmlformats.org/drawingml/2006/picture">
                <pic:pic>
                  <pic:nvPicPr>
                    <pic:cNvPr id="0" name="feature_correlation_heatmap_2026.png"/>
                    <pic:cNvPicPr/>
                  </pic:nvPicPr>
                  <pic:blipFill>
                    <a:blip r:embed="rId14"/>
                    <a:stretch>
                      <a:fillRect/>
                    </a:stretch>
                  </pic:blipFill>
                  <pic:spPr>
                    <a:xfrm>
                      <a:off x="0" y="0"/>
                      <a:ext cx="5029200" cy="4487370"/>
                    </a:xfrm>
                    <a:prstGeom prst="rect"/>
                  </pic:spPr>
                </pic:pic>
              </a:graphicData>
            </a:graphic>
          </wp:inline>
        </w:drawing>
      </w:r>
    </w:p>
    <w:p>
      <w:pPr>
        <w:jc w:val="center"/>
      </w:pPr>
      <w:r>
        <w:rPr>
          <w:rFonts w:ascii="Calibri" w:hAnsi="Calibri"/>
          <w:b w:val="0"/>
          <w:i/>
          <w:color w:val="555555"/>
          <w:sz w:val="18"/>
        </w:rPr>
        <w:t>Figure 5. Pearson correlation heatmap of all eight locked HRV features. RMSSD–SDNN and Mean RR–HR Mean show the strongest within-group correlations.</w:t>
      </w:r>
    </w:p>
    <w:p>
      <w:pPr>
        <w:pStyle w:val="Heading2"/>
      </w:pPr>
      <w:r>
        <w:rPr>
          <w:rFonts w:ascii="Calibri" w:hAnsi="Calibri"/>
          <w:color w:val="1B3A5C"/>
        </w:rPr>
        <w:t>3.3 Feature Importance (Random Forest)</w:t>
      </w:r>
    </w:p>
    <w:p>
      <w:r>
        <w:rPr>
          <w:rFonts w:ascii="Calibri" w:hAnsi="Calibri"/>
          <w:b w:val="0"/>
          <w:i w:val="0"/>
          <w:sz w:val="22"/>
        </w:rPr>
        <w:t>Although SVM was selected as the final model, Random Forest feature importances are reported as a supplementary interpretability measure. RMSSD ranks first (19.58%), reflecting its direct sensitivity to AF-related rapid irregular beats. HR Std Dev ranks second (15.58%), capturing overall heart rate volatility. Mean RR ranks third (13.32%), reflecting the elevated average heart rate common in Abnormal rhythms. All eight features contribute meaningfully — no single feature dominates exclusively.</w:t>
      </w:r>
    </w:p>
    <w:p>
      <w:pPr>
        <w:jc w:val="center"/>
      </w:pPr>
      <w:r>
        <w:drawing>
          <wp:inline xmlns:a="http://schemas.openxmlformats.org/drawingml/2006/main" xmlns:pic="http://schemas.openxmlformats.org/drawingml/2006/picture">
            <wp:extent cx="5029200" cy="2763049"/>
            <wp:docPr id="6" name="Picture 6"/>
            <wp:cNvGraphicFramePr>
              <a:graphicFrameLocks noChangeAspect="1"/>
            </wp:cNvGraphicFramePr>
            <a:graphic>
              <a:graphicData uri="http://schemas.openxmlformats.org/drawingml/2006/picture">
                <pic:pic>
                  <pic:nvPicPr>
                    <pic:cNvPr id="0" name="feature_importance_2026.png"/>
                    <pic:cNvPicPr/>
                  </pic:nvPicPr>
                  <pic:blipFill>
                    <a:blip r:embed="rId15"/>
                    <a:stretch>
                      <a:fillRect/>
                    </a:stretch>
                  </pic:blipFill>
                  <pic:spPr>
                    <a:xfrm>
                      <a:off x="0" y="0"/>
                      <a:ext cx="5029200" cy="2763049"/>
                    </a:xfrm>
                    <a:prstGeom prst="rect"/>
                  </pic:spPr>
                </pic:pic>
              </a:graphicData>
            </a:graphic>
          </wp:inline>
        </w:drawing>
      </w:r>
    </w:p>
    <w:p>
      <w:pPr>
        <w:jc w:val="center"/>
      </w:pPr>
      <w:r>
        <w:rPr>
          <w:rFonts w:ascii="Calibri" w:hAnsi="Calibri"/>
          <w:b w:val="0"/>
          <w:i/>
          <w:color w:val="555555"/>
          <w:sz w:val="18"/>
        </w:rPr>
        <w:t>Figure 9. Random Forest feature importance scores for all eight HRV features. Reported as a supplementary interpretability measure; SVM is the selected model.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Rank</w:t>
            </w:r>
          </w:p>
        </w:tc>
        <w:tc>
          <w:tcPr>
            <w:tcW w:type="dxa" w:w="2880"/>
          </w:tcPr>
          <w:p>
            <w:r/>
            <w:r>
              <w:rPr>
                <w:rFonts w:ascii="Calibri" w:hAnsi="Calibri"/>
                <w:b/>
                <w:i w:val="0"/>
                <w:sz w:val="20"/>
              </w:rPr>
              <w:t>Feature</w:t>
            </w:r>
          </w:p>
        </w:tc>
        <w:tc>
          <w:tcPr>
            <w:tcW w:type="dxa" w:w="2880"/>
          </w:tcPr>
          <w:p>
            <w:r/>
            <w:r>
              <w:rPr>
                <w:rFonts w:ascii="Calibri" w:hAnsi="Calibri"/>
                <w:b/>
                <w:i w:val="0"/>
                <w:sz w:val="20"/>
              </w:rPr>
              <w:t>Importance</w:t>
            </w:r>
          </w:p>
        </w:tc>
      </w:tr>
      <w:tr>
        <w:tc>
          <w:tcPr>
            <w:tcW w:type="dxa" w:w="2880"/>
          </w:tcPr>
          <w:p>
            <w:r/>
            <w:r>
              <w:rPr>
                <w:rFonts w:ascii="Calibri" w:hAnsi="Calibri"/>
                <w:b w:val="0"/>
                <w:i w:val="0"/>
                <w:sz w:val="20"/>
              </w:rPr>
              <w:t>1</w:t>
            </w:r>
          </w:p>
        </w:tc>
        <w:tc>
          <w:tcPr>
            <w:tcW w:type="dxa" w:w="2880"/>
          </w:tcPr>
          <w:p>
            <w:r/>
            <w:r>
              <w:rPr>
                <w:rFonts w:ascii="Calibri" w:hAnsi="Calibri"/>
                <w:b w:val="0"/>
                <w:i w:val="0"/>
                <w:sz w:val="20"/>
              </w:rPr>
              <w:t>RMSSD</w:t>
            </w:r>
          </w:p>
        </w:tc>
        <w:tc>
          <w:tcPr>
            <w:tcW w:type="dxa" w:w="2880"/>
          </w:tcPr>
          <w:p>
            <w:r/>
            <w:r>
              <w:rPr>
                <w:rFonts w:ascii="Calibri" w:hAnsi="Calibri"/>
                <w:b w:val="0"/>
                <w:i w:val="0"/>
                <w:sz w:val="20"/>
              </w:rPr>
              <w:t>19.58%</w:t>
            </w:r>
          </w:p>
        </w:tc>
      </w:tr>
      <w:tr>
        <w:tc>
          <w:tcPr>
            <w:tcW w:type="dxa" w:w="2880"/>
          </w:tcPr>
          <w:p>
            <w:r/>
            <w:r>
              <w:rPr>
                <w:rFonts w:ascii="Calibri" w:hAnsi="Calibri"/>
                <w:b w:val="0"/>
                <w:i w:val="0"/>
                <w:sz w:val="20"/>
              </w:rPr>
              <w:t>2</w:t>
            </w:r>
          </w:p>
        </w:tc>
        <w:tc>
          <w:tcPr>
            <w:tcW w:type="dxa" w:w="2880"/>
          </w:tcPr>
          <w:p>
            <w:r/>
            <w:r>
              <w:rPr>
                <w:rFonts w:ascii="Calibri" w:hAnsi="Calibri"/>
                <w:b w:val="0"/>
                <w:i w:val="0"/>
                <w:sz w:val="20"/>
              </w:rPr>
              <w:t>HR Std Dev</w:t>
            </w:r>
          </w:p>
        </w:tc>
        <w:tc>
          <w:tcPr>
            <w:tcW w:type="dxa" w:w="2880"/>
          </w:tcPr>
          <w:p>
            <w:r/>
            <w:r>
              <w:rPr>
                <w:rFonts w:ascii="Calibri" w:hAnsi="Calibri"/>
                <w:b w:val="0"/>
                <w:i w:val="0"/>
                <w:sz w:val="20"/>
              </w:rPr>
              <w:t>15.58%</w:t>
            </w:r>
          </w:p>
        </w:tc>
      </w:tr>
      <w:tr>
        <w:tc>
          <w:tcPr>
            <w:tcW w:type="dxa" w:w="2880"/>
          </w:tcPr>
          <w:p>
            <w:r/>
            <w:r>
              <w:rPr>
                <w:rFonts w:ascii="Calibri" w:hAnsi="Calibri"/>
                <w:b w:val="0"/>
                <w:i w:val="0"/>
                <w:sz w:val="20"/>
              </w:rPr>
              <w:t>3</w:t>
            </w:r>
          </w:p>
        </w:tc>
        <w:tc>
          <w:tcPr>
            <w:tcW w:type="dxa" w:w="2880"/>
          </w:tcPr>
          <w:p>
            <w:r/>
            <w:r>
              <w:rPr>
                <w:rFonts w:ascii="Calibri" w:hAnsi="Calibri"/>
                <w:b w:val="0"/>
                <w:i w:val="0"/>
                <w:sz w:val="20"/>
              </w:rPr>
              <w:t>Mean RR</w:t>
            </w:r>
          </w:p>
        </w:tc>
        <w:tc>
          <w:tcPr>
            <w:tcW w:type="dxa" w:w="2880"/>
          </w:tcPr>
          <w:p>
            <w:r/>
            <w:r>
              <w:rPr>
                <w:rFonts w:ascii="Calibri" w:hAnsi="Calibri"/>
                <w:b w:val="0"/>
                <w:i w:val="0"/>
                <w:sz w:val="20"/>
              </w:rPr>
              <w:t>13.32%</w:t>
            </w:r>
          </w:p>
        </w:tc>
      </w:tr>
      <w:tr>
        <w:tc>
          <w:tcPr>
            <w:tcW w:type="dxa" w:w="2880"/>
          </w:tcPr>
          <w:p>
            <w:r/>
            <w:r>
              <w:rPr>
                <w:rFonts w:ascii="Calibri" w:hAnsi="Calibri"/>
                <w:b w:val="0"/>
                <w:i w:val="0"/>
                <w:sz w:val="20"/>
              </w:rPr>
              <w:t>4</w:t>
            </w:r>
          </w:p>
        </w:tc>
        <w:tc>
          <w:tcPr>
            <w:tcW w:type="dxa" w:w="2880"/>
          </w:tcPr>
          <w:p>
            <w:r/>
            <w:r>
              <w:rPr>
                <w:rFonts w:ascii="Calibri" w:hAnsi="Calibri"/>
                <w:b w:val="0"/>
                <w:i w:val="0"/>
                <w:sz w:val="20"/>
              </w:rPr>
              <w:t>HR Mean</w:t>
            </w:r>
          </w:p>
        </w:tc>
        <w:tc>
          <w:tcPr>
            <w:tcW w:type="dxa" w:w="2880"/>
          </w:tcPr>
          <w:p>
            <w:r/>
            <w:r>
              <w:rPr>
                <w:rFonts w:ascii="Calibri" w:hAnsi="Calibri"/>
                <w:b w:val="0"/>
                <w:i w:val="0"/>
                <w:sz w:val="20"/>
              </w:rPr>
              <w:t>12.39%</w:t>
            </w:r>
          </w:p>
        </w:tc>
      </w:tr>
      <w:tr>
        <w:tc>
          <w:tcPr>
            <w:tcW w:type="dxa" w:w="2880"/>
          </w:tcPr>
          <w:p>
            <w:r/>
            <w:r>
              <w:rPr>
                <w:rFonts w:ascii="Calibri" w:hAnsi="Calibri"/>
                <w:b w:val="0"/>
                <w:i w:val="0"/>
                <w:sz w:val="20"/>
              </w:rPr>
              <w:t>5</w:t>
            </w:r>
          </w:p>
        </w:tc>
        <w:tc>
          <w:tcPr>
            <w:tcW w:type="dxa" w:w="2880"/>
          </w:tcPr>
          <w:p>
            <w:r/>
            <w:r>
              <w:rPr>
                <w:rFonts w:ascii="Calibri" w:hAnsi="Calibri"/>
                <w:b w:val="0"/>
                <w:i w:val="0"/>
                <w:sz w:val="20"/>
              </w:rPr>
              <w:t>SDNN</w:t>
            </w:r>
          </w:p>
        </w:tc>
        <w:tc>
          <w:tcPr>
            <w:tcW w:type="dxa" w:w="2880"/>
          </w:tcPr>
          <w:p>
            <w:r/>
            <w:r>
              <w:rPr>
                <w:rFonts w:ascii="Calibri" w:hAnsi="Calibri"/>
                <w:b w:val="0"/>
                <w:i w:val="0"/>
                <w:sz w:val="20"/>
              </w:rPr>
              <w:t>11.87%</w:t>
            </w:r>
          </w:p>
        </w:tc>
      </w:tr>
      <w:tr>
        <w:tc>
          <w:tcPr>
            <w:tcW w:type="dxa" w:w="2880"/>
          </w:tcPr>
          <w:p>
            <w:r/>
            <w:r>
              <w:rPr>
                <w:rFonts w:ascii="Calibri" w:hAnsi="Calibri"/>
                <w:b w:val="0"/>
                <w:i w:val="0"/>
                <w:sz w:val="20"/>
              </w:rPr>
              <w:t>6</w:t>
            </w:r>
          </w:p>
        </w:tc>
        <w:tc>
          <w:tcPr>
            <w:tcW w:type="dxa" w:w="2880"/>
          </w:tcPr>
          <w:p>
            <w:r/>
            <w:r>
              <w:rPr>
                <w:rFonts w:ascii="Calibri" w:hAnsi="Calibri"/>
                <w:b w:val="0"/>
                <w:i w:val="0"/>
                <w:sz w:val="20"/>
              </w:rPr>
              <w:t>RR Skewness</w:t>
            </w:r>
          </w:p>
        </w:tc>
        <w:tc>
          <w:tcPr>
            <w:tcW w:type="dxa" w:w="2880"/>
          </w:tcPr>
          <w:p>
            <w:r/>
            <w:r>
              <w:rPr>
                <w:rFonts w:ascii="Calibri" w:hAnsi="Calibri"/>
                <w:b w:val="0"/>
                <w:i w:val="0"/>
                <w:sz w:val="20"/>
              </w:rPr>
              <w:t>9.61%</w:t>
            </w:r>
          </w:p>
        </w:tc>
      </w:tr>
      <w:tr>
        <w:tc>
          <w:tcPr>
            <w:tcW w:type="dxa" w:w="2880"/>
          </w:tcPr>
          <w:p>
            <w:r/>
            <w:r>
              <w:rPr>
                <w:rFonts w:ascii="Calibri" w:hAnsi="Calibri"/>
                <w:b w:val="0"/>
                <w:i w:val="0"/>
                <w:sz w:val="20"/>
              </w:rPr>
              <w:t>7</w:t>
            </w:r>
          </w:p>
        </w:tc>
        <w:tc>
          <w:tcPr>
            <w:tcW w:type="dxa" w:w="2880"/>
          </w:tcPr>
          <w:p>
            <w:r/>
            <w:r>
              <w:rPr>
                <w:rFonts w:ascii="Calibri" w:hAnsi="Calibri"/>
                <w:b w:val="0"/>
                <w:i w:val="0"/>
                <w:sz w:val="20"/>
              </w:rPr>
              <w:t>pNN50</w:t>
            </w:r>
          </w:p>
        </w:tc>
        <w:tc>
          <w:tcPr>
            <w:tcW w:type="dxa" w:w="2880"/>
          </w:tcPr>
          <w:p>
            <w:r/>
            <w:r>
              <w:rPr>
                <w:rFonts w:ascii="Calibri" w:hAnsi="Calibri"/>
                <w:b w:val="0"/>
                <w:i w:val="0"/>
                <w:sz w:val="20"/>
              </w:rPr>
              <w:t>9.31%</w:t>
            </w:r>
          </w:p>
        </w:tc>
      </w:tr>
      <w:tr>
        <w:tc>
          <w:tcPr>
            <w:tcW w:type="dxa" w:w="2880"/>
          </w:tcPr>
          <w:p>
            <w:r/>
            <w:r>
              <w:rPr>
                <w:rFonts w:ascii="Calibri" w:hAnsi="Calibri"/>
                <w:b w:val="0"/>
                <w:i w:val="0"/>
                <w:sz w:val="20"/>
              </w:rPr>
              <w:t>8</w:t>
            </w:r>
          </w:p>
        </w:tc>
        <w:tc>
          <w:tcPr>
            <w:tcW w:type="dxa" w:w="2880"/>
          </w:tcPr>
          <w:p>
            <w:r/>
            <w:r>
              <w:rPr>
                <w:rFonts w:ascii="Calibri" w:hAnsi="Calibri"/>
                <w:b w:val="0"/>
                <w:i w:val="0"/>
                <w:sz w:val="20"/>
              </w:rPr>
              <w:t>RR Kurtosis</w:t>
            </w:r>
          </w:p>
        </w:tc>
        <w:tc>
          <w:tcPr>
            <w:tcW w:type="dxa" w:w="2880"/>
          </w:tcPr>
          <w:p>
            <w:r/>
            <w:r>
              <w:rPr>
                <w:rFonts w:ascii="Calibri" w:hAnsi="Calibri"/>
                <w:b w:val="0"/>
                <w:i w:val="0"/>
                <w:sz w:val="20"/>
              </w:rPr>
              <w:t>8.32%</w:t>
            </w:r>
          </w:p>
        </w:tc>
      </w:tr>
    </w:tbl>
    <w:p>
      <w:r>
        <w:br w:type="page"/>
      </w:r>
    </w:p>
    <w:p>
      <w:pPr>
        <w:pStyle w:val="Heading1"/>
      </w:pPr>
      <w:r>
        <w:rPr>
          <w:rFonts w:ascii="Calibri" w:hAnsi="Calibri"/>
          <w:color w:val="1B3A5C"/>
        </w:rPr>
        <w:t>4. Predictive Model — Layer 1 Clinical Benchmark</w:t>
      </w:r>
    </w:p>
    <w:p>
      <w:r>
        <w:rPr>
          <w:rFonts w:ascii="Calibri" w:hAnsi="Calibri"/>
          <w:b w:val="0"/>
          <w:i w:val="0"/>
          <w:sz w:val="22"/>
        </w:rPr>
        <w:t>The dataset was split 80/10/10 (stratified): 6,549 training, 819 validation, 819 held-out test records. StandardScaler was fitted on X_train only — no data leakage. Four binary classifiers were trained with class_weight=balanced to address the 62/38 class imbalance. The scaler and all trained models are saved to outputs/models/.</w:t>
      </w:r>
    </w:p>
    <w:p>
      <w:pPr>
        <w:pStyle w:val="Heading2"/>
      </w:pPr>
      <w:r>
        <w:rPr>
          <w:rFonts w:ascii="Calibri" w:hAnsi="Calibri"/>
          <w:color w:val="1B3A5C"/>
        </w:rPr>
        <w:t>4.1 Cross-Validation Results (5-Fold Stratified)</w:t>
      </w:r>
    </w:p>
    <w:p>
      <w:r>
        <w:rPr>
          <w:rFonts w:ascii="Calibri" w:hAnsi="Calibri"/>
          <w:b w:val="0"/>
          <w:i w:val="0"/>
          <w:sz w:val="22"/>
        </w:rPr>
        <w:t>All four models achieve similar cross-validated sensitivity (80.3–80.5%) with the class_weight=balanced constraint. Specificity and AUROC differentiate them: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Model</w:t>
            </w:r>
          </w:p>
        </w:tc>
        <w:tc>
          <w:tcPr>
            <w:tcW w:type="dxa" w:w="2160"/>
          </w:tcPr>
          <w:p>
            <w:r/>
            <w:r>
              <w:rPr>
                <w:rFonts w:ascii="Calibri" w:hAnsi="Calibri"/>
                <w:b/>
                <w:i w:val="0"/>
                <w:sz w:val="20"/>
              </w:rPr>
              <w:t>Sensitivity</w:t>
            </w:r>
          </w:p>
        </w:tc>
        <w:tc>
          <w:tcPr>
            <w:tcW w:type="dxa" w:w="2160"/>
          </w:tcPr>
          <w:p>
            <w:r/>
            <w:r>
              <w:rPr>
                <w:rFonts w:ascii="Calibri" w:hAnsi="Calibri"/>
                <w:b/>
                <w:i w:val="0"/>
                <w:sz w:val="20"/>
              </w:rPr>
              <w:t>Specificity</w:t>
            </w:r>
          </w:p>
        </w:tc>
        <w:tc>
          <w:tcPr>
            <w:tcW w:type="dxa" w:w="2160"/>
          </w:tcPr>
          <w:p>
            <w:r/>
            <w:r>
              <w:rPr>
                <w:rFonts w:ascii="Calibri" w:hAnsi="Calibri"/>
                <w:b/>
                <w:i w:val="0"/>
                <w:sz w:val="20"/>
              </w:rPr>
              <w:t>AUROC</w:t>
            </w:r>
          </w:p>
        </w:tc>
      </w:tr>
      <w:tr>
        <w:tc>
          <w:tcPr>
            <w:tcW w:type="dxa" w:w="2160"/>
          </w:tcPr>
          <w:p>
            <w:r/>
            <w:r>
              <w:rPr>
                <w:rFonts w:ascii="Calibri" w:hAnsi="Calibri"/>
                <w:b w:val="0"/>
                <w:i w:val="0"/>
                <w:sz w:val="20"/>
              </w:rPr>
              <w:t>Logistic Regression</w:t>
            </w:r>
          </w:p>
        </w:tc>
        <w:tc>
          <w:tcPr>
            <w:tcW w:type="dxa" w:w="2160"/>
          </w:tcPr>
          <w:p>
            <w:r/>
            <w:r>
              <w:rPr>
                <w:rFonts w:ascii="Calibri" w:hAnsi="Calibri"/>
                <w:b w:val="0"/>
                <w:i w:val="0"/>
                <w:sz w:val="20"/>
              </w:rPr>
              <w:t>80.5% ±0.1%</w:t>
            </w:r>
          </w:p>
        </w:tc>
        <w:tc>
          <w:tcPr>
            <w:tcW w:type="dxa" w:w="2160"/>
          </w:tcPr>
          <w:p>
            <w:r/>
            <w:r>
              <w:rPr>
                <w:rFonts w:ascii="Calibri" w:hAnsi="Calibri"/>
                <w:b w:val="0"/>
                <w:i w:val="0"/>
                <w:sz w:val="20"/>
              </w:rPr>
              <w:t>84.2% ±2.0%</w:t>
            </w:r>
          </w:p>
        </w:tc>
        <w:tc>
          <w:tcPr>
            <w:tcW w:type="dxa" w:w="2160"/>
          </w:tcPr>
          <w:p>
            <w:r/>
            <w:r>
              <w:rPr>
                <w:rFonts w:ascii="Calibri" w:hAnsi="Calibri"/>
                <w:b w:val="0"/>
                <w:i w:val="0"/>
                <w:sz w:val="20"/>
              </w:rPr>
              <w:t>0.8817 ±0.0066</w:t>
            </w:r>
          </w:p>
        </w:tc>
      </w:tr>
      <w:tr>
        <w:tc>
          <w:tcPr>
            <w:tcW w:type="dxa" w:w="2160"/>
          </w:tcPr>
          <w:p>
            <w:r/>
            <w:r>
              <w:rPr>
                <w:rFonts w:ascii="Calibri" w:hAnsi="Calibri"/>
                <w:b w:val="0"/>
                <w:i w:val="0"/>
                <w:sz w:val="20"/>
              </w:rPr>
              <w:t>Random Forest</w:t>
            </w:r>
          </w:p>
        </w:tc>
        <w:tc>
          <w:tcPr>
            <w:tcW w:type="dxa" w:w="2160"/>
          </w:tcPr>
          <w:p>
            <w:r/>
            <w:r>
              <w:rPr>
                <w:rFonts w:ascii="Calibri" w:hAnsi="Calibri"/>
                <w:b w:val="0"/>
                <w:i w:val="0"/>
                <w:sz w:val="20"/>
              </w:rPr>
              <w:t>80.3% ±0.2%</w:t>
            </w:r>
          </w:p>
        </w:tc>
        <w:tc>
          <w:tcPr>
            <w:tcW w:type="dxa" w:w="2160"/>
          </w:tcPr>
          <w:p>
            <w:r/>
            <w:r>
              <w:rPr>
                <w:rFonts w:ascii="Calibri" w:hAnsi="Calibri"/>
                <w:b w:val="0"/>
                <w:i w:val="0"/>
                <w:sz w:val="20"/>
              </w:rPr>
              <w:t>86.7% ±1.3%</w:t>
            </w:r>
          </w:p>
        </w:tc>
        <w:tc>
          <w:tcPr>
            <w:tcW w:type="dxa" w:w="2160"/>
          </w:tcPr>
          <w:p>
            <w:r/>
            <w:r>
              <w:rPr>
                <w:rFonts w:ascii="Calibri" w:hAnsi="Calibri"/>
                <w:b w:val="0"/>
                <w:i w:val="0"/>
                <w:sz w:val="20"/>
              </w:rPr>
              <w:t>0.8955 ±0.0080</w:t>
            </w:r>
          </w:p>
        </w:tc>
      </w:tr>
      <w:tr>
        <w:tc>
          <w:tcPr>
            <w:tcW w:type="dxa" w:w="2160"/>
          </w:tcPr>
          <w:p>
            <w:r/>
            <w:r>
              <w:rPr>
                <w:rFonts w:ascii="Calibri" w:hAnsi="Calibri"/>
                <w:b w:val="0"/>
                <w:i w:val="0"/>
                <w:sz w:val="20"/>
              </w:rPr>
              <w:t>XGBoost</w:t>
            </w:r>
          </w:p>
        </w:tc>
        <w:tc>
          <w:tcPr>
            <w:tcW w:type="dxa" w:w="2160"/>
          </w:tcPr>
          <w:p>
            <w:r/>
            <w:r>
              <w:rPr>
                <w:rFonts w:ascii="Calibri" w:hAnsi="Calibri"/>
                <w:b w:val="0"/>
                <w:i w:val="0"/>
                <w:sz w:val="20"/>
              </w:rPr>
              <w:t>80.4% ±0.2%</w:t>
            </w:r>
          </w:p>
        </w:tc>
        <w:tc>
          <w:tcPr>
            <w:tcW w:type="dxa" w:w="2160"/>
          </w:tcPr>
          <w:p>
            <w:r/>
            <w:r>
              <w:rPr>
                <w:rFonts w:ascii="Calibri" w:hAnsi="Calibri"/>
                <w:b w:val="0"/>
                <w:i w:val="0"/>
                <w:sz w:val="20"/>
              </w:rPr>
              <w:t>82.5% ±1.9%</w:t>
            </w:r>
          </w:p>
        </w:tc>
        <w:tc>
          <w:tcPr>
            <w:tcW w:type="dxa" w:w="2160"/>
          </w:tcPr>
          <w:p>
            <w:r/>
            <w:r>
              <w:rPr>
                <w:rFonts w:ascii="Calibri" w:hAnsi="Calibri"/>
                <w:b w:val="0"/>
                <w:i w:val="0"/>
                <w:sz w:val="20"/>
              </w:rPr>
              <w:t>0.8809 ±0.0054</w:t>
            </w:r>
          </w:p>
        </w:tc>
      </w:tr>
      <w:tr>
        <w:tc>
          <w:tcPr>
            <w:tcW w:type="dxa" w:w="2160"/>
          </w:tcPr>
          <w:p>
            <w:r/>
            <w:r>
              <w:rPr>
                <w:rFonts w:ascii="Calibri" w:hAnsi="Calibri"/>
                <w:b w:val="0"/>
                <w:i w:val="0"/>
                <w:sz w:val="20"/>
              </w:rPr>
              <w:t>SVM</w:t>
            </w:r>
          </w:p>
        </w:tc>
        <w:tc>
          <w:tcPr>
            <w:tcW w:type="dxa" w:w="2160"/>
          </w:tcPr>
          <w:p>
            <w:r/>
            <w:r>
              <w:rPr>
                <w:rFonts w:ascii="Calibri" w:hAnsi="Calibri"/>
                <w:b w:val="0"/>
                <w:i w:val="0"/>
                <w:sz w:val="20"/>
              </w:rPr>
              <w:t>80.3% ±0.2%</w:t>
            </w:r>
          </w:p>
        </w:tc>
        <w:tc>
          <w:tcPr>
            <w:tcW w:type="dxa" w:w="2160"/>
          </w:tcPr>
          <w:p>
            <w:r/>
            <w:r>
              <w:rPr>
                <w:rFonts w:ascii="Calibri" w:hAnsi="Calibri"/>
                <w:b w:val="0"/>
                <w:i w:val="0"/>
                <w:sz w:val="20"/>
              </w:rPr>
              <w:t>86.9% ±1.4%</w:t>
            </w:r>
          </w:p>
        </w:tc>
        <w:tc>
          <w:tcPr>
            <w:tcW w:type="dxa" w:w="2160"/>
          </w:tcPr>
          <w:p>
            <w:r/>
            <w:r>
              <w:rPr>
                <w:rFonts w:ascii="Calibri" w:hAnsi="Calibri"/>
                <w:b w:val="0"/>
                <w:i w:val="0"/>
                <w:sz w:val="20"/>
              </w:rPr>
              <w:t>0.8960 ±0.0062</w:t>
            </w:r>
          </w:p>
        </w:tc>
      </w:tr>
    </w:tbl>
    <w:p>
      <w:pPr>
        <w:pStyle w:val="Heading2"/>
      </w:pPr>
      <w:r>
        <w:rPr>
          <w:rFonts w:ascii="Calibri" w:hAnsi="Calibri"/>
          <w:color w:val="1B3A5C"/>
        </w:rPr>
        <w:t>4.2 Overfitting Check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Model</w:t>
            </w:r>
          </w:p>
        </w:tc>
        <w:tc>
          <w:tcPr>
            <w:tcW w:type="dxa" w:w="1728"/>
          </w:tcPr>
          <w:p>
            <w:r/>
            <w:r>
              <w:rPr>
                <w:rFonts w:ascii="Calibri" w:hAnsi="Calibri"/>
                <w:b/>
                <w:i w:val="0"/>
                <w:sz w:val="20"/>
              </w:rPr>
              <w:t>Train Accuracy</w:t>
            </w:r>
          </w:p>
        </w:tc>
        <w:tc>
          <w:tcPr>
            <w:tcW w:type="dxa" w:w="1728"/>
          </w:tcPr>
          <w:p>
            <w:r/>
            <w:r>
              <w:rPr>
                <w:rFonts w:ascii="Calibri" w:hAnsi="Calibri"/>
                <w:b/>
                <w:i w:val="0"/>
                <w:sz w:val="20"/>
              </w:rPr>
              <w:t>Test Accuracy</w:t>
            </w:r>
          </w:p>
        </w:tc>
        <w:tc>
          <w:tcPr>
            <w:tcW w:type="dxa" w:w="1728"/>
          </w:tcPr>
          <w:p>
            <w:r/>
            <w:r>
              <w:rPr>
                <w:rFonts w:ascii="Calibri" w:hAnsi="Calibri"/>
                <w:b/>
                <w:i w:val="0"/>
                <w:sz w:val="20"/>
              </w:rPr>
              <w:t>Gap</w:t>
            </w:r>
          </w:p>
        </w:tc>
        <w:tc>
          <w:tcPr>
            <w:tcW w:type="dxa" w:w="1728"/>
          </w:tcPr>
          <w:p>
            <w:r/>
            <w:r>
              <w:rPr>
                <w:rFonts w:ascii="Calibri" w:hAnsi="Calibri"/>
                <w:b/>
                <w:i w:val="0"/>
                <w:sz w:val="20"/>
              </w:rPr>
              <w:t>Verdict</w:t>
            </w:r>
          </w:p>
        </w:tc>
      </w:tr>
      <w:tr>
        <w:tc>
          <w:tcPr>
            <w:tcW w:type="dxa" w:w="1728"/>
          </w:tcPr>
          <w:p>
            <w:r/>
            <w:r>
              <w:rPr>
                <w:rFonts w:ascii="Calibri" w:hAnsi="Calibri"/>
                <w:b w:val="0"/>
                <w:i w:val="0"/>
                <w:sz w:val="20"/>
              </w:rPr>
              <w:t>Logistic Regression</w:t>
            </w:r>
          </w:p>
        </w:tc>
        <w:tc>
          <w:tcPr>
            <w:tcW w:type="dxa" w:w="1728"/>
          </w:tcPr>
          <w:p>
            <w:r/>
            <w:r>
              <w:rPr>
                <w:rFonts w:ascii="Calibri" w:hAnsi="Calibri"/>
                <w:b w:val="0"/>
                <w:i w:val="0"/>
                <w:sz w:val="20"/>
              </w:rPr>
              <w:t>83.2%</w:t>
            </w:r>
          </w:p>
        </w:tc>
        <w:tc>
          <w:tcPr>
            <w:tcW w:type="dxa" w:w="1728"/>
          </w:tcPr>
          <w:p>
            <w:r/>
            <w:r>
              <w:rPr>
                <w:rFonts w:ascii="Calibri" w:hAnsi="Calibri"/>
                <w:b w:val="0"/>
                <w:i w:val="0"/>
                <w:sz w:val="20"/>
              </w:rPr>
              <w:t>85.6%</w:t>
            </w:r>
          </w:p>
        </w:tc>
        <w:tc>
          <w:tcPr>
            <w:tcW w:type="dxa" w:w="1728"/>
          </w:tcPr>
          <w:p>
            <w:r/>
            <w:r>
              <w:rPr>
                <w:rFonts w:ascii="Calibri" w:hAnsi="Calibri"/>
                <w:b w:val="0"/>
                <w:i w:val="0"/>
                <w:sz w:val="20"/>
              </w:rPr>
              <w:t>−2.4%</w:t>
            </w:r>
          </w:p>
        </w:tc>
        <w:tc>
          <w:tcPr>
            <w:tcW w:type="dxa" w:w="1728"/>
          </w:tcPr>
          <w:p>
            <w:r/>
            <w:r>
              <w:rPr>
                <w:rFonts w:ascii="Calibri" w:hAnsi="Calibri"/>
                <w:b w:val="0"/>
                <w:i w:val="0"/>
                <w:sz w:val="20"/>
              </w:rPr>
              <w:t>No overfitting</w:t>
            </w:r>
          </w:p>
        </w:tc>
      </w:tr>
      <w:tr>
        <w:tc>
          <w:tcPr>
            <w:tcW w:type="dxa" w:w="1728"/>
          </w:tcPr>
          <w:p>
            <w:r/>
            <w:r>
              <w:rPr>
                <w:rFonts w:ascii="Calibri" w:hAnsi="Calibri"/>
                <w:b w:val="0"/>
                <w:i w:val="0"/>
                <w:sz w:val="20"/>
              </w:rPr>
              <w:t>Random Forest</w:t>
            </w:r>
          </w:p>
        </w:tc>
        <w:tc>
          <w:tcPr>
            <w:tcW w:type="dxa" w:w="1728"/>
          </w:tcPr>
          <w:p>
            <w:r/>
            <w:r>
              <w:rPr>
                <w:rFonts w:ascii="Calibri" w:hAnsi="Calibri"/>
                <w:b w:val="0"/>
                <w:i w:val="0"/>
                <w:sz w:val="20"/>
              </w:rPr>
              <w:t>100.0%</w:t>
            </w:r>
          </w:p>
        </w:tc>
        <w:tc>
          <w:tcPr>
            <w:tcW w:type="dxa" w:w="1728"/>
          </w:tcPr>
          <w:p>
            <w:r/>
            <w:r>
              <w:rPr>
                <w:rFonts w:ascii="Calibri" w:hAnsi="Calibri"/>
                <w:b w:val="0"/>
                <w:i w:val="0"/>
                <w:sz w:val="20"/>
              </w:rPr>
              <w:t>86.6%</w:t>
            </w:r>
          </w:p>
        </w:tc>
        <w:tc>
          <w:tcPr>
            <w:tcW w:type="dxa" w:w="1728"/>
          </w:tcPr>
          <w:p>
            <w:r/>
            <w:r>
              <w:rPr>
                <w:rFonts w:ascii="Calibri" w:hAnsi="Calibri"/>
                <w:b w:val="0"/>
                <w:i w:val="0"/>
                <w:sz w:val="20"/>
              </w:rPr>
              <w:t>+13.4%</w:t>
            </w:r>
          </w:p>
        </w:tc>
        <w:tc>
          <w:tcPr>
            <w:tcW w:type="dxa" w:w="1728"/>
          </w:tcPr>
          <w:p>
            <w:r/>
            <w:r>
              <w:rPr>
                <w:rFonts w:ascii="Calibri" w:hAnsi="Calibri"/>
                <w:b w:val="0"/>
                <w:i w:val="0"/>
                <w:sz w:val="20"/>
              </w:rPr>
              <w:t>Significant overfitting</w:t>
            </w:r>
          </w:p>
        </w:tc>
      </w:tr>
      <w:tr>
        <w:tc>
          <w:tcPr>
            <w:tcW w:type="dxa" w:w="1728"/>
          </w:tcPr>
          <w:p>
            <w:r/>
            <w:r>
              <w:rPr>
                <w:rFonts w:ascii="Calibri" w:hAnsi="Calibri"/>
                <w:b w:val="0"/>
                <w:i w:val="0"/>
                <w:sz w:val="20"/>
              </w:rPr>
              <w:t>XGBoost</w:t>
            </w:r>
          </w:p>
        </w:tc>
        <w:tc>
          <w:tcPr>
            <w:tcW w:type="dxa" w:w="1728"/>
          </w:tcPr>
          <w:p>
            <w:r/>
            <w:r>
              <w:rPr>
                <w:rFonts w:ascii="Calibri" w:hAnsi="Calibri"/>
                <w:b w:val="0"/>
                <w:i w:val="0"/>
                <w:sz w:val="20"/>
              </w:rPr>
              <w:t>99.8%</w:t>
            </w:r>
          </w:p>
        </w:tc>
        <w:tc>
          <w:tcPr>
            <w:tcW w:type="dxa" w:w="1728"/>
          </w:tcPr>
          <w:p>
            <w:r/>
            <w:r>
              <w:rPr>
                <w:rFonts w:ascii="Calibri" w:hAnsi="Calibri"/>
                <w:b w:val="0"/>
                <w:i w:val="0"/>
                <w:sz w:val="20"/>
              </w:rPr>
              <w:t>86.2%</w:t>
            </w:r>
          </w:p>
        </w:tc>
        <w:tc>
          <w:tcPr>
            <w:tcW w:type="dxa" w:w="1728"/>
          </w:tcPr>
          <w:p>
            <w:r/>
            <w:r>
              <w:rPr>
                <w:rFonts w:ascii="Calibri" w:hAnsi="Calibri"/>
                <w:b w:val="0"/>
                <w:i w:val="0"/>
                <w:sz w:val="20"/>
              </w:rPr>
              <w:t>+13.6%</w:t>
            </w:r>
          </w:p>
        </w:tc>
        <w:tc>
          <w:tcPr>
            <w:tcW w:type="dxa" w:w="1728"/>
          </w:tcPr>
          <w:p>
            <w:r/>
            <w:r>
              <w:rPr>
                <w:rFonts w:ascii="Calibri" w:hAnsi="Calibri"/>
                <w:b w:val="0"/>
                <w:i w:val="0"/>
                <w:sz w:val="20"/>
              </w:rPr>
              <w:t>Significant overfitting</w:t>
            </w:r>
          </w:p>
        </w:tc>
      </w:tr>
      <w:tr>
        <w:tc>
          <w:tcPr>
            <w:tcW w:type="dxa" w:w="1728"/>
          </w:tcPr>
          <w:p>
            <w:r/>
            <w:r>
              <w:rPr>
                <w:rFonts w:ascii="Calibri" w:hAnsi="Calibri"/>
                <w:b w:val="0"/>
                <w:i w:val="0"/>
                <w:sz w:val="20"/>
              </w:rPr>
              <w:t>SVM</w:t>
            </w:r>
          </w:p>
        </w:tc>
        <w:tc>
          <w:tcPr>
            <w:tcW w:type="dxa" w:w="1728"/>
          </w:tcPr>
          <w:p>
            <w:r/>
            <w:r>
              <w:rPr>
                <w:rFonts w:ascii="Calibri" w:hAnsi="Calibri"/>
                <w:b w:val="0"/>
                <w:i w:val="0"/>
                <w:sz w:val="20"/>
              </w:rPr>
              <w:t>85.6%</w:t>
            </w:r>
          </w:p>
        </w:tc>
        <w:tc>
          <w:tcPr>
            <w:tcW w:type="dxa" w:w="1728"/>
          </w:tcPr>
          <w:p>
            <w:r/>
            <w:r>
              <w:rPr>
                <w:rFonts w:ascii="Calibri" w:hAnsi="Calibri"/>
                <w:b w:val="0"/>
                <w:i w:val="0"/>
                <w:sz w:val="20"/>
              </w:rPr>
              <w:t>86.8%</w:t>
            </w:r>
          </w:p>
        </w:tc>
        <w:tc>
          <w:tcPr>
            <w:tcW w:type="dxa" w:w="1728"/>
          </w:tcPr>
          <w:p>
            <w:r/>
            <w:r>
              <w:rPr>
                <w:rFonts w:ascii="Calibri" w:hAnsi="Calibri"/>
                <w:b w:val="0"/>
                <w:i w:val="0"/>
                <w:sz w:val="20"/>
              </w:rPr>
              <w:t>−1.2%</w:t>
            </w:r>
          </w:p>
        </w:tc>
        <w:tc>
          <w:tcPr>
            <w:tcW w:type="dxa" w:w="1728"/>
          </w:tcPr>
          <w:p>
            <w:r/>
            <w:r>
              <w:rPr>
                <w:rFonts w:ascii="Calibri" w:hAnsi="Calibri"/>
                <w:b w:val="0"/>
                <w:i w:val="0"/>
                <w:sz w:val="20"/>
              </w:rPr>
              <w:t>No overfitting</w:t>
            </w:r>
          </w:p>
        </w:tc>
      </w:tr>
    </w:tbl>
    <w:p>
      <w:r>
        <w:rPr>
          <w:rFonts w:ascii="Calibri" w:hAnsi="Calibri"/>
          <w:b w:val="0"/>
          <w:i w:val="0"/>
          <w:sz w:val="22"/>
        </w:rPr>
        <w:t>Random Forest and XGBoost both memorise the training set (100% and 99.8% training accuracy). Despite competitive test accuracy, this overfitting indicates the ensemble models have not learnt generalisable decision boundaries. Logistic Regression and SVM show no overfitting.</w:t>
      </w:r>
    </w:p>
    <w:p>
      <w:pPr>
        <w:pStyle w:val="Heading2"/>
      </w:pPr>
      <w:r>
        <w:rPr>
          <w:rFonts w:ascii="Calibri" w:hAnsi="Calibri"/>
          <w:color w:val="1B3A5C"/>
        </w:rPr>
        <w:t>4.3 Model Comparison</w:t>
      </w:r>
    </w:p>
    <w:p>
      <w:pPr>
        <w:jc w:val="center"/>
      </w:pPr>
      <w:r>
        <w:drawing>
          <wp:inline xmlns:a="http://schemas.openxmlformats.org/drawingml/2006/main" xmlns:pic="http://schemas.openxmlformats.org/drawingml/2006/picture">
            <wp:extent cx="5029200" cy="2841121"/>
            <wp:docPr id="7" name="Picture 7"/>
            <wp:cNvGraphicFramePr>
              <a:graphicFrameLocks noChangeAspect="1"/>
            </wp:cNvGraphicFramePr>
            <a:graphic>
              <a:graphicData uri="http://schemas.openxmlformats.org/drawingml/2006/picture">
                <pic:pic>
                  <pic:nvPicPr>
                    <pic:cNvPr id="0" name="model_comparison_scorecard_2026.png"/>
                    <pic:cNvPicPr/>
                  </pic:nvPicPr>
                  <pic:blipFill>
                    <a:blip r:embed="rId16"/>
                    <a:stretch>
                      <a:fillRect/>
                    </a:stretch>
                  </pic:blipFill>
                  <pic:spPr>
                    <a:xfrm>
                      <a:off x="0" y="0"/>
                      <a:ext cx="5029200" cy="2841121"/>
                    </a:xfrm>
                    <a:prstGeom prst="rect"/>
                  </pic:spPr>
                </pic:pic>
              </a:graphicData>
            </a:graphic>
          </wp:inline>
        </w:drawing>
      </w:r>
    </w:p>
    <w:p>
      <w:pPr>
        <w:jc w:val="center"/>
      </w:pPr>
      <w:r>
        <w:rPr>
          <w:rFonts w:ascii="Calibri" w:hAnsi="Calibri"/>
          <w:b w:val="0"/>
          <w:i/>
          <w:color w:val="555555"/>
          <w:sz w:val="18"/>
        </w:rPr>
        <w:t>Figure 6. Model comparison scorecard across five selection criteria: AUROC, specificity, false positives, overfitting gap, and AF sensitivity.</w:t>
      </w:r>
    </w:p>
    <w:p>
      <w:pPr>
        <w:pStyle w:val="Heading2"/>
      </w:pPr>
      <w:r>
        <w:rPr>
          <w:rFonts w:ascii="Calibri" w:hAnsi="Calibri"/>
          <w:color w:val="1B3A5C"/>
        </w:rPr>
        <w:t>4.4 Model Selection — SVM</w:t>
      </w:r>
    </w:p>
    <w:p>
      <w:r>
        <w:rPr>
          <w:rFonts w:ascii="Calibri" w:hAnsi="Calibri"/>
          <w:b w:val="0"/>
          <w:i w:val="0"/>
          <w:sz w:val="22"/>
        </w:rPr>
        <w:t>SVM was selected using a five-criterion natural selection framework. It achieved the highest validation specificity (88.1%), fewest false positives (60), and no overfitting (−1.2% train-test gap). Criterion 2 (specificity) resolved the selection.</w:t>
      </w:r>
    </w:p>
    <w:p>
      <w:r>
        <w:rPr>
          <w:rFonts w:ascii="Calibri" w:hAnsi="Calibri"/>
          <w:b w:val="0"/>
          <w:i w:val="0"/>
          <w:sz w:val="22"/>
        </w:rPr>
        <w:t>In a screening context, false positives — incorrectly flagging healthy individuals as abnormal — cause unnecessary anxiety and unnecessary clinical referrals. SVM minimising false positives while maintaining sensitivity is the correct trade-off for this application.</w:t>
      </w:r>
    </w:p>
    <w:p>
      <w:pPr>
        <w:pStyle w:val="Heading2"/>
      </w:pPr>
      <w:r>
        <w:rPr>
          <w:rFonts w:ascii="Calibri" w:hAnsi="Calibri"/>
          <w:color w:val="1B3A5C"/>
        </w:rPr>
        <w:t>4.5 Held-Out Test Set Results (Threshold = 0.34)</w:t>
      </w:r>
    </w:p>
    <w:p>
      <w:r>
        <w:rPr>
          <w:rFonts w:ascii="Calibri" w:hAnsi="Calibri"/>
          <w:b w:val="0"/>
          <w:i w:val="0"/>
          <w:sz w:val="22"/>
        </w:rPr>
        <w:t>The classification threshold 0.34 was selected on the validation set to prioritise sensitivity (screening context). The frozen threshold was applied once to the held-out test set.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i w:val="0"/>
                <w:sz w:val="20"/>
              </w:rPr>
              <w:t>Metric</w:t>
            </w:r>
          </w:p>
        </w:tc>
        <w:tc>
          <w:tcPr>
            <w:tcW w:type="dxa" w:w="4320"/>
          </w:tcPr>
          <w:p>
            <w:r/>
            <w:r>
              <w:rPr>
                <w:rFonts w:ascii="Calibri" w:hAnsi="Calibri"/>
                <w:b/>
                <w:i w:val="0"/>
                <w:sz w:val="20"/>
              </w:rPr>
              <w:t>Value</w:t>
            </w:r>
          </w:p>
        </w:tc>
      </w:tr>
      <w:tr>
        <w:tc>
          <w:tcPr>
            <w:tcW w:type="dxa" w:w="4320"/>
          </w:tcPr>
          <w:p>
            <w:r/>
            <w:r>
              <w:rPr>
                <w:rFonts w:ascii="Calibri" w:hAnsi="Calibri"/>
                <w:b w:val="0"/>
                <w:i w:val="0"/>
                <w:sz w:val="20"/>
              </w:rPr>
              <w:t>Sensitivity</w:t>
            </w:r>
          </w:p>
        </w:tc>
        <w:tc>
          <w:tcPr>
            <w:tcW w:type="dxa" w:w="4320"/>
          </w:tcPr>
          <w:p>
            <w:r/>
            <w:r>
              <w:rPr>
                <w:rFonts w:ascii="Calibri" w:hAnsi="Calibri"/>
                <w:b w:val="0"/>
                <w:i w:val="0"/>
                <w:sz w:val="20"/>
              </w:rPr>
              <w:t>84.4%</w:t>
            </w:r>
          </w:p>
        </w:tc>
      </w:tr>
      <w:tr>
        <w:tc>
          <w:tcPr>
            <w:tcW w:type="dxa" w:w="4320"/>
          </w:tcPr>
          <w:p>
            <w:r/>
            <w:r>
              <w:rPr>
                <w:rFonts w:ascii="Calibri" w:hAnsi="Calibri"/>
                <w:b w:val="0"/>
                <w:i w:val="0"/>
                <w:sz w:val="20"/>
              </w:rPr>
              <w:t>Specificity</w:t>
            </w:r>
          </w:p>
        </w:tc>
        <w:tc>
          <w:tcPr>
            <w:tcW w:type="dxa" w:w="4320"/>
          </w:tcPr>
          <w:p>
            <w:r/>
            <w:r>
              <w:rPr>
                <w:rFonts w:ascii="Calibri" w:hAnsi="Calibri"/>
                <w:b w:val="0"/>
                <w:i w:val="0"/>
                <w:sz w:val="20"/>
              </w:rPr>
              <w:t>87.3%</w:t>
            </w:r>
          </w:p>
        </w:tc>
      </w:tr>
      <w:tr>
        <w:tc>
          <w:tcPr>
            <w:tcW w:type="dxa" w:w="4320"/>
          </w:tcPr>
          <w:p>
            <w:r/>
            <w:r>
              <w:rPr>
                <w:rFonts w:ascii="Calibri" w:hAnsi="Calibri"/>
                <w:b w:val="0"/>
                <w:i w:val="0"/>
                <w:sz w:val="20"/>
              </w:rPr>
              <w:t>AUROC</w:t>
            </w:r>
          </w:p>
        </w:tc>
        <w:tc>
          <w:tcPr>
            <w:tcW w:type="dxa" w:w="4320"/>
          </w:tcPr>
          <w:p>
            <w:r/>
            <w:r>
              <w:rPr>
                <w:rFonts w:ascii="Calibri" w:hAnsi="Calibri"/>
                <w:b w:val="0"/>
                <w:i w:val="0"/>
                <w:sz w:val="20"/>
              </w:rPr>
              <w:t>0.9080</w:t>
            </w:r>
          </w:p>
        </w:tc>
      </w:tr>
      <w:tr>
        <w:tc>
          <w:tcPr>
            <w:tcW w:type="dxa" w:w="4320"/>
          </w:tcPr>
          <w:p>
            <w:r/>
            <w:r>
              <w:rPr>
                <w:rFonts w:ascii="Calibri" w:hAnsi="Calibri"/>
                <w:b w:val="0"/>
                <w:i w:val="0"/>
                <w:sz w:val="20"/>
              </w:rPr>
              <w:t>F1 Score</w:t>
            </w:r>
          </w:p>
        </w:tc>
        <w:tc>
          <w:tcPr>
            <w:tcW w:type="dxa" w:w="4320"/>
          </w:tcPr>
          <w:p>
            <w:r/>
            <w:r>
              <w:rPr>
                <w:rFonts w:ascii="Calibri" w:hAnsi="Calibri"/>
                <w:b w:val="0"/>
                <w:i w:val="0"/>
                <w:sz w:val="20"/>
              </w:rPr>
              <w:t>0.8243</w:t>
            </w:r>
          </w:p>
        </w:tc>
      </w:tr>
      <w:tr>
        <w:tc>
          <w:tcPr>
            <w:tcW w:type="dxa" w:w="4320"/>
          </w:tcPr>
          <w:p>
            <w:r/>
            <w:r>
              <w:rPr>
                <w:rFonts w:ascii="Calibri" w:hAnsi="Calibri"/>
                <w:b w:val="0"/>
                <w:i w:val="0"/>
                <w:sz w:val="20"/>
              </w:rPr>
              <w:t>AF-specific Sensitivity</w:t>
            </w:r>
          </w:p>
        </w:tc>
        <w:tc>
          <w:tcPr>
            <w:tcW w:type="dxa" w:w="4320"/>
          </w:tcPr>
          <w:p>
            <w:r/>
            <w:r>
              <w:rPr>
                <w:rFonts w:ascii="Calibri" w:hAnsi="Calibri"/>
                <w:b w:val="0"/>
                <w:i w:val="0"/>
                <w:sz w:val="20"/>
              </w:rPr>
              <w:t>98.8%</w:t>
            </w:r>
          </w:p>
        </w:tc>
      </w:tr>
      <w:tr>
        <w:tc>
          <w:tcPr>
            <w:tcW w:type="dxa" w:w="4320"/>
          </w:tcPr>
          <w:p>
            <w:r/>
            <w:r>
              <w:rPr>
                <w:rFonts w:ascii="Calibri" w:hAnsi="Calibri"/>
                <w:b w:val="0"/>
                <w:i w:val="0"/>
                <w:sz w:val="20"/>
              </w:rPr>
              <w:t>Confusion Matrix</w:t>
            </w:r>
          </w:p>
        </w:tc>
        <w:tc>
          <w:tcPr>
            <w:tcW w:type="dxa" w:w="4320"/>
          </w:tcPr>
          <w:p>
            <w:r/>
            <w:r>
              <w:rPr>
                <w:rFonts w:ascii="Calibri" w:hAnsi="Calibri"/>
                <w:b w:val="0"/>
                <w:i w:val="0"/>
                <w:sz w:val="20"/>
              </w:rPr>
              <w:t>TP=265, FP=64, FN=49, TN=441</w:t>
            </w:r>
          </w:p>
        </w:tc>
      </w:tr>
      <w:tr>
        <w:tc>
          <w:tcPr>
            <w:tcW w:type="dxa" w:w="4320"/>
          </w:tcPr>
          <w:p>
            <w:r/>
            <w:r>
              <w:rPr>
                <w:rFonts w:ascii="Calibri" w:hAnsi="Calibri"/>
                <w:b w:val="0"/>
                <w:i w:val="0"/>
                <w:sz w:val="20"/>
              </w:rPr>
              <w:t>Pre-registered criterion</w:t>
            </w:r>
          </w:p>
        </w:tc>
        <w:tc>
          <w:tcPr>
            <w:tcW w:type="dxa" w:w="4320"/>
          </w:tcPr>
          <w:p>
            <w:r/>
            <w:r>
              <w:rPr>
                <w:rFonts w:ascii="Calibri" w:hAnsi="Calibri"/>
                <w:b w:val="0"/>
                <w:i w:val="0"/>
                <w:sz w:val="20"/>
              </w:rPr>
              <w:t>PASS (Sens ≥80%, Spec ≥75%)</w:t>
            </w:r>
          </w:p>
        </w:tc>
      </w:tr>
    </w:tbl>
    <w:p>
      <w:pPr>
        <w:jc w:val="center"/>
      </w:pPr>
      <w:r>
        <w:drawing>
          <wp:inline xmlns:a="http://schemas.openxmlformats.org/drawingml/2006/main" xmlns:pic="http://schemas.openxmlformats.org/drawingml/2006/picture">
            <wp:extent cx="5029200" cy="4652199"/>
            <wp:docPr id="8" name="Picture 8"/>
            <wp:cNvGraphicFramePr>
              <a:graphicFrameLocks noChangeAspect="1"/>
            </wp:cNvGraphicFramePr>
            <a:graphic>
              <a:graphicData uri="http://schemas.openxmlformats.org/drawingml/2006/picture">
                <pic:pic>
                  <pic:nvPicPr>
                    <pic:cNvPr id="0" name="roc_curve_svm_layer1_2026.png"/>
                    <pic:cNvPicPr/>
                  </pic:nvPicPr>
                  <pic:blipFill>
                    <a:blip r:embed="rId17"/>
                    <a:stretch>
                      <a:fillRect/>
                    </a:stretch>
                  </pic:blipFill>
                  <pic:spPr>
                    <a:xfrm>
                      <a:off x="0" y="0"/>
                      <a:ext cx="5029200" cy="4652199"/>
                    </a:xfrm>
                    <a:prstGeom prst="rect"/>
                  </pic:spPr>
                </pic:pic>
              </a:graphicData>
            </a:graphic>
          </wp:inline>
        </w:drawing>
      </w:r>
    </w:p>
    <w:p>
      <w:pPr>
        <w:jc w:val="center"/>
      </w:pPr>
      <w:r>
        <w:rPr>
          <w:rFonts w:ascii="Calibri" w:hAnsi="Calibri"/>
          <w:b w:val="0"/>
          <w:i/>
          <w:color w:val="555555"/>
          <w:sz w:val="18"/>
        </w:rPr>
        <w:t>Figure 7. ROC curve for the SVM classifier on the held-out test set. AUROC = 0.9080. Operating point at threshold 0.34 marked.</w:t>
      </w:r>
    </w:p>
    <w:p>
      <w:pPr>
        <w:jc w:val="center"/>
      </w:pPr>
      <w:r>
        <w:drawing>
          <wp:inline xmlns:a="http://schemas.openxmlformats.org/drawingml/2006/main" xmlns:pic="http://schemas.openxmlformats.org/drawingml/2006/picture">
            <wp:extent cx="5029200" cy="4437976"/>
            <wp:docPr id="9" name="Picture 9"/>
            <wp:cNvGraphicFramePr>
              <a:graphicFrameLocks noChangeAspect="1"/>
            </wp:cNvGraphicFramePr>
            <a:graphic>
              <a:graphicData uri="http://schemas.openxmlformats.org/drawingml/2006/picture">
                <pic:pic>
                  <pic:nvPicPr>
                    <pic:cNvPr id="0" name="confusion_matrix_svm_layer1_2026.png"/>
                    <pic:cNvPicPr/>
                  </pic:nvPicPr>
                  <pic:blipFill>
                    <a:blip r:embed="rId18"/>
                    <a:stretch>
                      <a:fillRect/>
                    </a:stretch>
                  </pic:blipFill>
                  <pic:spPr>
                    <a:xfrm>
                      <a:off x="0" y="0"/>
                      <a:ext cx="5029200" cy="4437976"/>
                    </a:xfrm>
                    <a:prstGeom prst="rect"/>
                  </pic:spPr>
                </pic:pic>
              </a:graphicData>
            </a:graphic>
          </wp:inline>
        </w:drawing>
      </w:r>
    </w:p>
    <w:p>
      <w:pPr>
        <w:jc w:val="center"/>
      </w:pPr>
      <w:r>
        <w:rPr>
          <w:rFonts w:ascii="Calibri" w:hAnsi="Calibri"/>
          <w:b w:val="0"/>
          <w:i/>
          <w:color w:val="555555"/>
          <w:sz w:val="18"/>
        </w:rPr>
        <w:t>Figure 8. Confusion matrix for SVM at threshold 0.34 on held-out test data. TP=265, FP=64, FN=49, TN=441.</w:t>
      </w:r>
    </w:p>
    <w:p>
      <w:r>
        <w:br w:type="page"/>
      </w:r>
    </w:p>
    <w:p>
      <w:pPr>
        <w:pStyle w:val="Heading1"/>
      </w:pPr>
      <w:r>
        <w:rPr>
          <w:rFonts w:ascii="Calibri" w:hAnsi="Calibri"/>
          <w:color w:val="1B3A5C"/>
        </w:rPr>
        <w:t>4a. Consumer Wearable Bridge — Apple Watch N=1 Case Study</w:t>
      </w:r>
    </w:p>
    <w:p>
      <w:r>
        <w:rPr>
          <w:rFonts w:ascii="Calibri" w:hAnsi="Calibri"/>
          <w:b w:val="0"/>
          <w:i w:val="0"/>
          <w:sz w:val="22"/>
        </w:rPr>
        <w:t>The personal Apple Watch dataset provides an exploratory N=1 test of whether the trained model captures temporal changes in cardiac rhythm patterns around a confirmed clinical event. The clinical anchor point is the June 18, 2025 ECG at NHCS confirming an Abnormal ECG.</w:t>
      </w:r>
    </w:p>
    <w:p>
      <w:r>
        <w:rPr>
          <w:rFonts w:ascii="Calibri" w:hAnsi="Calibri"/>
          <w:b w:val="0"/>
          <w:i w:val="0"/>
          <w:sz w:val="22"/>
        </w:rPr>
        <w:t>1,997 feature windows were generated (30-minute windows, 15-minute step, minimum 10 heart rate readings per window). RMSSD was approximated from Apple Watch SDNN (×0.85) because raw beat-by-beat intervals are not exposed by the device API. Windows lacking an HRV record were dropped (no imputation). Window distribution: baseline=1,758, pre_anchor=95, post_anchor=29, follow_up=115.</w:t>
      </w:r>
    </w:p>
    <w:p>
      <w:pPr>
        <w:pStyle w:val="Heading2"/>
      </w:pPr>
      <w:r>
        <w:rPr>
          <w:rFonts w:ascii="Calibri" w:hAnsi="Calibri"/>
          <w:color w:val="1B3A5C"/>
        </w:rPr>
        <w:t>4a.1 Signal Modality Gap (KS Test)</w:t>
      </w:r>
    </w:p>
    <w:p>
      <w:r>
        <w:rPr>
          <w:rFonts w:ascii="Calibri" w:hAnsi="Calibri"/>
          <w:b w:val="0"/>
          <w:i w:val="0"/>
          <w:sz w:val="22"/>
        </w:rPr>
        <w:t>The Kolmogorov-Smirnov test quantifies distributional distance between Apple Watch feature values and the Physionet training distribution. All p-values are effectively zero, indicating the Apple Watch features occupy a different region of feature space than the training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Feature</w:t>
            </w:r>
          </w:p>
        </w:tc>
        <w:tc>
          <w:tcPr>
            <w:tcW w:type="dxa" w:w="2160"/>
          </w:tcPr>
          <w:p>
            <w:r/>
            <w:r>
              <w:rPr>
                <w:rFonts w:ascii="Calibri" w:hAnsi="Calibri"/>
                <w:b/>
                <w:i w:val="0"/>
                <w:sz w:val="20"/>
              </w:rPr>
              <w:t>KS Statistic</w:t>
            </w:r>
          </w:p>
        </w:tc>
        <w:tc>
          <w:tcPr>
            <w:tcW w:type="dxa" w:w="2160"/>
          </w:tcPr>
          <w:p>
            <w:r/>
            <w:r>
              <w:rPr>
                <w:rFonts w:ascii="Calibri" w:hAnsi="Calibri"/>
                <w:b/>
                <w:i w:val="0"/>
                <w:sz w:val="20"/>
              </w:rPr>
              <w:t>Direction</w:t>
            </w:r>
          </w:p>
        </w:tc>
        <w:tc>
          <w:tcPr>
            <w:tcW w:type="dxa" w:w="2160"/>
          </w:tcPr>
          <w:p>
            <w:r/>
            <w:r>
              <w:rPr>
                <w:rFonts w:ascii="Calibri" w:hAnsi="Calibri"/>
                <w:b/>
                <w:i w:val="0"/>
                <w:sz w:val="20"/>
              </w:rPr>
              <w:t>Magnitude</w:t>
            </w:r>
          </w:p>
        </w:tc>
      </w:tr>
      <w:tr>
        <w:tc>
          <w:tcPr>
            <w:tcW w:type="dxa" w:w="2160"/>
          </w:tcPr>
          <w:p>
            <w:r/>
            <w:r>
              <w:rPr>
                <w:rFonts w:ascii="Calibri" w:hAnsi="Calibri"/>
                <w:b w:val="0"/>
                <w:i w:val="0"/>
                <w:sz w:val="20"/>
              </w:rPr>
              <w:t>RMSSD</w:t>
            </w:r>
          </w:p>
        </w:tc>
        <w:tc>
          <w:tcPr>
            <w:tcW w:type="dxa" w:w="2160"/>
          </w:tcPr>
          <w:p>
            <w:r/>
            <w:r>
              <w:rPr>
                <w:rFonts w:ascii="Calibri" w:hAnsi="Calibri"/>
                <w:b w:val="0"/>
                <w:i w:val="0"/>
                <w:sz w:val="20"/>
              </w:rPr>
              <w:t>0.424</w:t>
            </w:r>
          </w:p>
        </w:tc>
        <w:tc>
          <w:tcPr>
            <w:tcW w:type="dxa" w:w="2160"/>
          </w:tcPr>
          <w:p>
            <w:r/>
            <w:r>
              <w:rPr>
                <w:rFonts w:ascii="Calibri" w:hAnsi="Calibri"/>
                <w:b w:val="0"/>
                <w:i w:val="0"/>
                <w:sz w:val="20"/>
              </w:rPr>
              <w:t>AW lower</w:t>
            </w:r>
          </w:p>
        </w:tc>
        <w:tc>
          <w:tcPr>
            <w:tcW w:type="dxa" w:w="2160"/>
          </w:tcPr>
          <w:p>
            <w:r/>
            <w:r>
              <w:rPr>
                <w:rFonts w:ascii="Calibri" w:hAnsi="Calibri"/>
                <w:b w:val="0"/>
                <w:i w:val="0"/>
                <w:sz w:val="20"/>
              </w:rPr>
              <w:t>Large</w:t>
            </w:r>
          </w:p>
        </w:tc>
      </w:tr>
      <w:tr>
        <w:tc>
          <w:tcPr>
            <w:tcW w:type="dxa" w:w="2160"/>
          </w:tcPr>
          <w:p>
            <w:r/>
            <w:r>
              <w:rPr>
                <w:rFonts w:ascii="Calibri" w:hAnsi="Calibri"/>
                <w:b w:val="0"/>
                <w:i w:val="0"/>
                <w:sz w:val="20"/>
              </w:rPr>
              <w:t>HR Mean</w:t>
            </w:r>
          </w:p>
        </w:tc>
        <w:tc>
          <w:tcPr>
            <w:tcW w:type="dxa" w:w="2160"/>
          </w:tcPr>
          <w:p>
            <w:r/>
            <w:r>
              <w:rPr>
                <w:rFonts w:ascii="Calibri" w:hAnsi="Calibri"/>
                <w:b w:val="0"/>
                <w:i w:val="0"/>
                <w:sz w:val="20"/>
              </w:rPr>
              <w:t>0.416</w:t>
            </w:r>
          </w:p>
        </w:tc>
        <w:tc>
          <w:tcPr>
            <w:tcW w:type="dxa" w:w="2160"/>
          </w:tcPr>
          <w:p>
            <w:r/>
            <w:r>
              <w:rPr>
                <w:rFonts w:ascii="Calibri" w:hAnsi="Calibri"/>
                <w:b w:val="0"/>
                <w:i w:val="0"/>
                <w:sz w:val="20"/>
              </w:rPr>
              <w:t>AW higher</w:t>
            </w:r>
          </w:p>
        </w:tc>
        <w:tc>
          <w:tcPr>
            <w:tcW w:type="dxa" w:w="2160"/>
          </w:tcPr>
          <w:p>
            <w:r/>
            <w:r>
              <w:rPr>
                <w:rFonts w:ascii="Calibri" w:hAnsi="Calibri"/>
                <w:b w:val="0"/>
                <w:i w:val="0"/>
                <w:sz w:val="20"/>
              </w:rPr>
              <w:t>Large</w:t>
            </w:r>
          </w:p>
        </w:tc>
      </w:tr>
      <w:tr>
        <w:tc>
          <w:tcPr>
            <w:tcW w:type="dxa" w:w="2160"/>
          </w:tcPr>
          <w:p>
            <w:r/>
            <w:r>
              <w:rPr>
                <w:rFonts w:ascii="Calibri" w:hAnsi="Calibri"/>
                <w:b w:val="0"/>
                <w:i w:val="0"/>
                <w:sz w:val="20"/>
              </w:rPr>
              <w:t>Mean RR</w:t>
            </w:r>
          </w:p>
        </w:tc>
        <w:tc>
          <w:tcPr>
            <w:tcW w:type="dxa" w:w="2160"/>
          </w:tcPr>
          <w:p>
            <w:r/>
            <w:r>
              <w:rPr>
                <w:rFonts w:ascii="Calibri" w:hAnsi="Calibri"/>
                <w:b w:val="0"/>
                <w:i w:val="0"/>
                <w:sz w:val="20"/>
              </w:rPr>
              <w:t>0.390</w:t>
            </w:r>
          </w:p>
        </w:tc>
        <w:tc>
          <w:tcPr>
            <w:tcW w:type="dxa" w:w="2160"/>
          </w:tcPr>
          <w:p>
            <w:r/>
            <w:r>
              <w:rPr>
                <w:rFonts w:ascii="Calibri" w:hAnsi="Calibri"/>
                <w:b w:val="0"/>
                <w:i w:val="0"/>
                <w:sz w:val="20"/>
              </w:rPr>
              <w:t>AW lower</w:t>
            </w:r>
          </w:p>
        </w:tc>
        <w:tc>
          <w:tcPr>
            <w:tcW w:type="dxa" w:w="2160"/>
          </w:tcPr>
          <w:p>
            <w:r/>
            <w:r>
              <w:rPr>
                <w:rFonts w:ascii="Calibri" w:hAnsi="Calibri"/>
                <w:b w:val="0"/>
                <w:i w:val="0"/>
                <w:sz w:val="20"/>
              </w:rPr>
              <w:t>Large</w:t>
            </w:r>
          </w:p>
        </w:tc>
      </w:tr>
      <w:tr>
        <w:tc>
          <w:tcPr>
            <w:tcW w:type="dxa" w:w="2160"/>
          </w:tcPr>
          <w:p>
            <w:r/>
            <w:r>
              <w:rPr>
                <w:rFonts w:ascii="Calibri" w:hAnsi="Calibri"/>
                <w:b w:val="0"/>
                <w:i w:val="0"/>
                <w:sz w:val="20"/>
              </w:rPr>
              <w:t>HR Std Dev</w:t>
            </w:r>
          </w:p>
        </w:tc>
        <w:tc>
          <w:tcPr>
            <w:tcW w:type="dxa" w:w="2160"/>
          </w:tcPr>
          <w:p>
            <w:r/>
            <w:r>
              <w:rPr>
                <w:rFonts w:ascii="Calibri" w:hAnsi="Calibri"/>
                <w:b w:val="0"/>
                <w:i w:val="0"/>
                <w:sz w:val="20"/>
              </w:rPr>
              <w:t>0.359</w:t>
            </w:r>
          </w:p>
        </w:tc>
        <w:tc>
          <w:tcPr>
            <w:tcW w:type="dxa" w:w="2160"/>
          </w:tcPr>
          <w:p>
            <w:r/>
            <w:r>
              <w:rPr>
                <w:rFonts w:ascii="Calibri" w:hAnsi="Calibri"/>
                <w:b w:val="0"/>
                <w:i w:val="0"/>
                <w:sz w:val="20"/>
              </w:rPr>
              <w:t>AW higher</w:t>
            </w:r>
          </w:p>
        </w:tc>
        <w:tc>
          <w:tcPr>
            <w:tcW w:type="dxa" w:w="2160"/>
          </w:tcPr>
          <w:p>
            <w:r/>
            <w:r>
              <w:rPr>
                <w:rFonts w:ascii="Calibri" w:hAnsi="Calibri"/>
                <w:b w:val="0"/>
                <w:i w:val="0"/>
                <w:sz w:val="20"/>
              </w:rPr>
              <w:t>Large</w:t>
            </w:r>
          </w:p>
        </w:tc>
      </w:tr>
      <w:tr>
        <w:tc>
          <w:tcPr>
            <w:tcW w:type="dxa" w:w="2160"/>
          </w:tcPr>
          <w:p>
            <w:r/>
            <w:r>
              <w:rPr>
                <w:rFonts w:ascii="Calibri" w:hAnsi="Calibri"/>
                <w:b w:val="0"/>
                <w:i w:val="0"/>
                <w:sz w:val="20"/>
              </w:rPr>
              <w:t>SDNN</w:t>
            </w:r>
          </w:p>
        </w:tc>
        <w:tc>
          <w:tcPr>
            <w:tcW w:type="dxa" w:w="2160"/>
          </w:tcPr>
          <w:p>
            <w:r/>
            <w:r>
              <w:rPr>
                <w:rFonts w:ascii="Calibri" w:hAnsi="Calibri"/>
                <w:b w:val="0"/>
                <w:i w:val="0"/>
                <w:sz w:val="20"/>
              </w:rPr>
              <w:t>0.356</w:t>
            </w:r>
          </w:p>
        </w:tc>
        <w:tc>
          <w:tcPr>
            <w:tcW w:type="dxa" w:w="2160"/>
          </w:tcPr>
          <w:p>
            <w:r/>
            <w:r>
              <w:rPr>
                <w:rFonts w:ascii="Calibri" w:hAnsi="Calibri"/>
                <w:b w:val="0"/>
                <w:i w:val="0"/>
                <w:sz w:val="20"/>
              </w:rPr>
              <w:t>AW lower</w:t>
            </w:r>
          </w:p>
        </w:tc>
        <w:tc>
          <w:tcPr>
            <w:tcW w:type="dxa" w:w="2160"/>
          </w:tcPr>
          <w:p>
            <w:r/>
            <w:r>
              <w:rPr>
                <w:rFonts w:ascii="Calibri" w:hAnsi="Calibri"/>
                <w:b w:val="0"/>
                <w:i w:val="0"/>
                <w:sz w:val="20"/>
              </w:rPr>
              <w:t>Large</w:t>
            </w:r>
          </w:p>
        </w:tc>
      </w:tr>
      <w:tr>
        <w:tc>
          <w:tcPr>
            <w:tcW w:type="dxa" w:w="2160"/>
          </w:tcPr>
          <w:p>
            <w:r/>
            <w:r>
              <w:rPr>
                <w:rFonts w:ascii="Calibri" w:hAnsi="Calibri"/>
                <w:b w:val="0"/>
                <w:i w:val="0"/>
                <w:sz w:val="20"/>
              </w:rPr>
              <w:t>RR Skewness</w:t>
            </w:r>
          </w:p>
        </w:tc>
        <w:tc>
          <w:tcPr>
            <w:tcW w:type="dxa" w:w="2160"/>
          </w:tcPr>
          <w:p>
            <w:r/>
            <w:r>
              <w:rPr>
                <w:rFonts w:ascii="Calibri" w:hAnsi="Calibri"/>
                <w:b w:val="0"/>
                <w:i w:val="0"/>
                <w:sz w:val="20"/>
              </w:rPr>
              <w:t>0.297</w:t>
            </w:r>
          </w:p>
        </w:tc>
        <w:tc>
          <w:tcPr>
            <w:tcW w:type="dxa" w:w="2160"/>
          </w:tcPr>
          <w:p>
            <w:r/>
            <w:r>
              <w:rPr>
                <w:rFonts w:ascii="Calibri" w:hAnsi="Calibri"/>
                <w:b w:val="0"/>
                <w:i w:val="0"/>
                <w:sz w:val="20"/>
              </w:rPr>
              <w:t>AW higher</w:t>
            </w:r>
          </w:p>
        </w:tc>
        <w:tc>
          <w:tcPr>
            <w:tcW w:type="dxa" w:w="2160"/>
          </w:tcPr>
          <w:p>
            <w:r/>
            <w:r>
              <w:rPr>
                <w:rFonts w:ascii="Calibri" w:hAnsi="Calibri"/>
                <w:b w:val="0"/>
                <w:i w:val="0"/>
                <w:sz w:val="20"/>
              </w:rPr>
              <w:t>Moderate</w:t>
            </w:r>
          </w:p>
        </w:tc>
      </w:tr>
      <w:tr>
        <w:tc>
          <w:tcPr>
            <w:tcW w:type="dxa" w:w="2160"/>
          </w:tcPr>
          <w:p>
            <w:r/>
            <w:r>
              <w:rPr>
                <w:rFonts w:ascii="Calibri" w:hAnsi="Calibri"/>
                <w:b w:val="0"/>
                <w:i w:val="0"/>
                <w:sz w:val="20"/>
              </w:rPr>
              <w:t>pNN50</w:t>
            </w:r>
          </w:p>
        </w:tc>
        <w:tc>
          <w:tcPr>
            <w:tcW w:type="dxa" w:w="2160"/>
          </w:tcPr>
          <w:p>
            <w:r/>
            <w:r>
              <w:rPr>
                <w:rFonts w:ascii="Calibri" w:hAnsi="Calibri"/>
                <w:b w:val="0"/>
                <w:i w:val="0"/>
                <w:sz w:val="20"/>
              </w:rPr>
              <w:t>0.210</w:t>
            </w:r>
          </w:p>
        </w:tc>
        <w:tc>
          <w:tcPr>
            <w:tcW w:type="dxa" w:w="2160"/>
          </w:tcPr>
          <w:p>
            <w:r/>
            <w:r>
              <w:rPr>
                <w:rFonts w:ascii="Calibri" w:hAnsi="Calibri"/>
                <w:b w:val="0"/>
                <w:i w:val="0"/>
                <w:sz w:val="20"/>
              </w:rPr>
              <w:t>AW lower</w:t>
            </w:r>
          </w:p>
        </w:tc>
        <w:tc>
          <w:tcPr>
            <w:tcW w:type="dxa" w:w="2160"/>
          </w:tcPr>
          <w:p>
            <w:r/>
            <w:r>
              <w:rPr>
                <w:rFonts w:ascii="Calibri" w:hAnsi="Calibri"/>
                <w:b w:val="0"/>
                <w:i w:val="0"/>
                <w:sz w:val="20"/>
              </w:rPr>
              <w:t>Moderate</w:t>
            </w:r>
          </w:p>
        </w:tc>
      </w:tr>
      <w:tr>
        <w:tc>
          <w:tcPr>
            <w:tcW w:type="dxa" w:w="2160"/>
          </w:tcPr>
          <w:p>
            <w:r/>
            <w:r>
              <w:rPr>
                <w:rFonts w:ascii="Calibri" w:hAnsi="Calibri"/>
                <w:b w:val="0"/>
                <w:i w:val="0"/>
                <w:sz w:val="20"/>
              </w:rPr>
              <w:t>RR Kurtosis</w:t>
            </w:r>
          </w:p>
        </w:tc>
        <w:tc>
          <w:tcPr>
            <w:tcW w:type="dxa" w:w="2160"/>
          </w:tcPr>
          <w:p>
            <w:r/>
            <w:r>
              <w:rPr>
                <w:rFonts w:ascii="Calibri" w:hAnsi="Calibri"/>
                <w:b w:val="0"/>
                <w:i w:val="0"/>
                <w:sz w:val="20"/>
              </w:rPr>
              <w:t>0.193</w:t>
            </w:r>
          </w:p>
        </w:tc>
        <w:tc>
          <w:tcPr>
            <w:tcW w:type="dxa" w:w="2160"/>
          </w:tcPr>
          <w:p>
            <w:r/>
            <w:r>
              <w:rPr>
                <w:rFonts w:ascii="Calibri" w:hAnsi="Calibri"/>
                <w:b w:val="0"/>
                <w:i w:val="0"/>
                <w:sz w:val="20"/>
              </w:rPr>
              <w:t>AW lower</w:t>
            </w:r>
          </w:p>
        </w:tc>
        <w:tc>
          <w:tcPr>
            <w:tcW w:type="dxa" w:w="2160"/>
          </w:tcPr>
          <w:p>
            <w:r/>
            <w:r>
              <w:rPr>
                <w:rFonts w:ascii="Calibri" w:hAnsi="Calibri"/>
                <w:b w:val="0"/>
                <w:i w:val="0"/>
                <w:sz w:val="20"/>
              </w:rPr>
              <w:t>Moderate</w:t>
            </w:r>
          </w:p>
        </w:tc>
      </w:tr>
    </w:tbl>
    <w:p>
      <w:r>
        <w:rPr>
          <w:rFonts w:ascii="Calibri" w:hAnsi="Calibri"/>
          <w:b w:val="0"/>
          <w:i w:val="0"/>
          <w:sz w:val="22"/>
        </w:rPr>
        <w:t>Summary: 5 large (KS &gt; 0.3), 3 moderate (0.1–0.3), 0 small. No feature transferred cleanly between modalities.</w:t>
      </w:r>
    </w:p>
    <w:p>
      <w:pPr>
        <w:jc w:val="center"/>
      </w:pPr>
      <w:r>
        <w:drawing>
          <wp:inline xmlns:a="http://schemas.openxmlformats.org/drawingml/2006/main" xmlns:pic="http://schemas.openxmlformats.org/drawingml/2006/picture">
            <wp:extent cx="5029200" cy="6786458"/>
            <wp:docPr id="10" name="Picture 10"/>
            <wp:cNvGraphicFramePr>
              <a:graphicFrameLocks noChangeAspect="1"/>
            </wp:cNvGraphicFramePr>
            <a:graphic>
              <a:graphicData uri="http://schemas.openxmlformats.org/drawingml/2006/picture">
                <pic:pic>
                  <pic:nvPicPr>
                    <pic:cNvPr id="0" name="aw_vs_physionet_distributions.png"/>
                    <pic:cNvPicPr/>
                  </pic:nvPicPr>
                  <pic:blipFill>
                    <a:blip r:embed="rId19"/>
                    <a:stretch>
                      <a:fillRect/>
                    </a:stretch>
                  </pic:blipFill>
                  <pic:spPr>
                    <a:xfrm>
                      <a:off x="0" y="0"/>
                      <a:ext cx="5029200" cy="6786458"/>
                    </a:xfrm>
                    <a:prstGeom prst="rect"/>
                  </pic:spPr>
                </pic:pic>
              </a:graphicData>
            </a:graphic>
          </wp:inline>
        </w:drawing>
      </w:r>
    </w:p>
    <w:p>
      <w:pPr>
        <w:jc w:val="center"/>
      </w:pPr>
      <w:r>
        <w:rPr>
          <w:rFonts w:ascii="Calibri" w:hAnsi="Calibri"/>
          <w:b w:val="0"/>
          <w:i/>
          <w:color w:val="555555"/>
          <w:sz w:val="18"/>
        </w:rPr>
        <w:t>Figure — Apple Watch vs Physionet feature distributions. KS distances confirm systematic modality gap across all 8 features.</w:t>
      </w:r>
    </w:p>
    <w:p>
      <w:pPr>
        <w:pStyle w:val="Heading2"/>
      </w:pPr>
      <w:r>
        <w:rPr>
          <w:rFonts w:ascii="Calibri" w:hAnsi="Calibri"/>
          <w:color w:val="1B3A5C"/>
        </w:rPr>
        <w:t>4a.2 Temporal Analysis (Mann-Whitney U, One-Sided)</w:t>
      </w:r>
    </w:p>
    <w:p>
      <w:r>
        <w:rPr>
          <w:rFonts w:ascii="Calibri" w:hAnsi="Calibri"/>
          <w:b w:val="0"/>
          <w:i w:val="0"/>
          <w:sz w:val="22"/>
        </w:rPr>
        <w:t>A one-sided Mann-Whitney U test was pre-registered to test whether probability scores in each anchor period are higher than baseline. The null hypothesis was not rejected in any period: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Period</w:t>
            </w:r>
          </w:p>
        </w:tc>
        <w:tc>
          <w:tcPr>
            <w:tcW w:type="dxa" w:w="1440"/>
          </w:tcPr>
          <w:p>
            <w:r/>
            <w:r>
              <w:rPr>
                <w:rFonts w:ascii="Calibri" w:hAnsi="Calibri"/>
                <w:b/>
                <w:i w:val="0"/>
                <w:sz w:val="20"/>
              </w:rPr>
              <w:t>n</w:t>
            </w:r>
          </w:p>
        </w:tc>
        <w:tc>
          <w:tcPr>
            <w:tcW w:type="dxa" w:w="1440"/>
          </w:tcPr>
          <w:p>
            <w:r/>
            <w:r>
              <w:rPr>
                <w:rFonts w:ascii="Calibri" w:hAnsi="Calibri"/>
                <w:b/>
                <w:i w:val="0"/>
                <w:sz w:val="20"/>
              </w:rPr>
              <w:t>Median Score</w:t>
            </w:r>
          </w:p>
        </w:tc>
        <w:tc>
          <w:tcPr>
            <w:tcW w:type="dxa" w:w="1440"/>
          </w:tcPr>
          <w:p>
            <w:r/>
            <w:r>
              <w:rPr>
                <w:rFonts w:ascii="Calibri" w:hAnsi="Calibri"/>
                <w:b/>
                <w:i w:val="0"/>
                <w:sz w:val="20"/>
              </w:rPr>
              <w:t>p-value</w:t>
            </w:r>
          </w:p>
        </w:tc>
        <w:tc>
          <w:tcPr>
            <w:tcW w:type="dxa" w:w="1440"/>
          </w:tcPr>
          <w:p>
            <w:r/>
            <w:r>
              <w:rPr>
                <w:rFonts w:ascii="Calibri" w:hAnsi="Calibri"/>
                <w:b/>
                <w:i w:val="0"/>
                <w:sz w:val="20"/>
              </w:rPr>
              <w:t>Effect Size r</w:t>
            </w:r>
          </w:p>
        </w:tc>
        <w:tc>
          <w:tcPr>
            <w:tcW w:type="dxa" w:w="1440"/>
          </w:tcPr>
          <w:p>
            <w:r/>
            <w:r>
              <w:rPr>
                <w:rFonts w:ascii="Calibri" w:hAnsi="Calibri"/>
                <w:b/>
                <w:i w:val="0"/>
                <w:sz w:val="20"/>
              </w:rPr>
              <w:t>Verdict</w:t>
            </w:r>
          </w:p>
        </w:tc>
      </w:tr>
      <w:tr>
        <w:tc>
          <w:tcPr>
            <w:tcW w:type="dxa" w:w="1440"/>
          </w:tcPr>
          <w:p>
            <w:r/>
            <w:r>
              <w:rPr>
                <w:rFonts w:ascii="Calibri" w:hAnsi="Calibri"/>
                <w:b w:val="0"/>
                <w:i w:val="0"/>
                <w:sz w:val="20"/>
              </w:rPr>
              <w:t>pre_anchor</w:t>
            </w:r>
          </w:p>
        </w:tc>
        <w:tc>
          <w:tcPr>
            <w:tcW w:type="dxa" w:w="1440"/>
          </w:tcPr>
          <w:p>
            <w:r/>
            <w:r>
              <w:rPr>
                <w:rFonts w:ascii="Calibri" w:hAnsi="Calibri"/>
                <w:b w:val="0"/>
                <w:i w:val="0"/>
                <w:sz w:val="20"/>
              </w:rPr>
              <w:t>95</w:t>
            </w:r>
          </w:p>
        </w:tc>
        <w:tc>
          <w:tcPr>
            <w:tcW w:type="dxa" w:w="1440"/>
          </w:tcPr>
          <w:p>
            <w:r/>
            <w:r>
              <w:rPr>
                <w:rFonts w:ascii="Calibri" w:hAnsi="Calibri"/>
                <w:b w:val="0"/>
                <w:i w:val="0"/>
                <w:sz w:val="20"/>
              </w:rPr>
              <w:t>0.104</w:t>
            </w:r>
          </w:p>
        </w:tc>
        <w:tc>
          <w:tcPr>
            <w:tcW w:type="dxa" w:w="1440"/>
          </w:tcPr>
          <w:p>
            <w:r/>
            <w:r>
              <w:rPr>
                <w:rFonts w:ascii="Calibri" w:hAnsi="Calibri"/>
                <w:b w:val="0"/>
                <w:i w:val="0"/>
                <w:sz w:val="20"/>
              </w:rPr>
              <w:t>0.957</w:t>
            </w:r>
          </w:p>
        </w:tc>
        <w:tc>
          <w:tcPr>
            <w:tcW w:type="dxa" w:w="1440"/>
          </w:tcPr>
          <w:p>
            <w:r/>
            <w:r>
              <w:rPr>
                <w:rFonts w:ascii="Calibri" w:hAnsi="Calibri"/>
                <w:b w:val="0"/>
                <w:i w:val="0"/>
                <w:sz w:val="20"/>
              </w:rPr>
              <w:t>0.104</w:t>
            </w:r>
          </w:p>
        </w:tc>
        <w:tc>
          <w:tcPr>
            <w:tcW w:type="dxa" w:w="1440"/>
          </w:tcPr>
          <w:p>
            <w:r/>
            <w:r>
              <w:rPr>
                <w:rFonts w:ascii="Calibri" w:hAnsi="Calibri"/>
                <w:b w:val="0"/>
                <w:i w:val="0"/>
                <w:sz w:val="20"/>
              </w:rPr>
              <w:t>Lower than baseline</w:t>
            </w:r>
          </w:p>
        </w:tc>
      </w:tr>
      <w:tr>
        <w:tc>
          <w:tcPr>
            <w:tcW w:type="dxa" w:w="1440"/>
          </w:tcPr>
          <w:p>
            <w:r/>
            <w:r>
              <w:rPr>
                <w:rFonts w:ascii="Calibri" w:hAnsi="Calibri"/>
                <w:b w:val="0"/>
                <w:i w:val="0"/>
                <w:sz w:val="20"/>
              </w:rPr>
              <w:t>post_anchor</w:t>
            </w:r>
          </w:p>
        </w:tc>
        <w:tc>
          <w:tcPr>
            <w:tcW w:type="dxa" w:w="1440"/>
          </w:tcPr>
          <w:p>
            <w:r/>
            <w:r>
              <w:rPr>
                <w:rFonts w:ascii="Calibri" w:hAnsi="Calibri"/>
                <w:b w:val="0"/>
                <w:i w:val="0"/>
                <w:sz w:val="20"/>
              </w:rPr>
              <w:t>29</w:t>
            </w:r>
          </w:p>
        </w:tc>
        <w:tc>
          <w:tcPr>
            <w:tcW w:type="dxa" w:w="1440"/>
          </w:tcPr>
          <w:p>
            <w:r/>
            <w:r>
              <w:rPr>
                <w:rFonts w:ascii="Calibri" w:hAnsi="Calibri"/>
                <w:b w:val="0"/>
                <w:i w:val="0"/>
                <w:sz w:val="20"/>
              </w:rPr>
              <w:t>0.101</w:t>
            </w:r>
          </w:p>
        </w:tc>
        <w:tc>
          <w:tcPr>
            <w:tcW w:type="dxa" w:w="1440"/>
          </w:tcPr>
          <w:p>
            <w:r/>
            <w:r>
              <w:rPr>
                <w:rFonts w:ascii="Calibri" w:hAnsi="Calibri"/>
                <w:b w:val="0"/>
                <w:i w:val="0"/>
                <w:sz w:val="20"/>
              </w:rPr>
              <w:t>0.839</w:t>
            </w:r>
          </w:p>
        </w:tc>
        <w:tc>
          <w:tcPr>
            <w:tcW w:type="dxa" w:w="1440"/>
          </w:tcPr>
          <w:p>
            <w:r/>
            <w:r>
              <w:rPr>
                <w:rFonts w:ascii="Calibri" w:hAnsi="Calibri"/>
                <w:b w:val="0"/>
                <w:i w:val="0"/>
                <w:sz w:val="20"/>
              </w:rPr>
              <w:t>0.107</w:t>
            </w:r>
          </w:p>
        </w:tc>
        <w:tc>
          <w:tcPr>
            <w:tcW w:type="dxa" w:w="1440"/>
          </w:tcPr>
          <w:p>
            <w:r/>
            <w:r>
              <w:rPr>
                <w:rFonts w:ascii="Calibri" w:hAnsi="Calibri"/>
                <w:b w:val="0"/>
                <w:i w:val="0"/>
                <w:sz w:val="20"/>
              </w:rPr>
              <w:t>Lower than baseline</w:t>
            </w:r>
          </w:p>
        </w:tc>
      </w:tr>
      <w:tr>
        <w:tc>
          <w:tcPr>
            <w:tcW w:type="dxa" w:w="1440"/>
          </w:tcPr>
          <w:p>
            <w:r/>
            <w:r>
              <w:rPr>
                <w:rFonts w:ascii="Calibri" w:hAnsi="Calibri"/>
                <w:b w:val="0"/>
                <w:i w:val="0"/>
                <w:sz w:val="20"/>
              </w:rPr>
              <w:t>follow_up</w:t>
            </w:r>
          </w:p>
        </w:tc>
        <w:tc>
          <w:tcPr>
            <w:tcW w:type="dxa" w:w="1440"/>
          </w:tcPr>
          <w:p>
            <w:r/>
            <w:r>
              <w:rPr>
                <w:rFonts w:ascii="Calibri" w:hAnsi="Calibri"/>
                <w:b w:val="0"/>
                <w:i w:val="0"/>
                <w:sz w:val="20"/>
              </w:rPr>
              <w:t>115</w:t>
            </w:r>
          </w:p>
        </w:tc>
        <w:tc>
          <w:tcPr>
            <w:tcW w:type="dxa" w:w="1440"/>
          </w:tcPr>
          <w:p>
            <w:r/>
            <w:r>
              <w:rPr>
                <w:rFonts w:ascii="Calibri" w:hAnsi="Calibri"/>
                <w:b w:val="0"/>
                <w:i w:val="0"/>
                <w:sz w:val="20"/>
              </w:rPr>
              <w:t>0.121</w:t>
            </w:r>
          </w:p>
        </w:tc>
        <w:tc>
          <w:tcPr>
            <w:tcW w:type="dxa" w:w="1440"/>
          </w:tcPr>
          <w:p>
            <w:r/>
            <w:r>
              <w:rPr>
                <w:rFonts w:ascii="Calibri" w:hAnsi="Calibri"/>
                <w:b w:val="0"/>
                <w:i w:val="0"/>
                <w:sz w:val="20"/>
              </w:rPr>
              <w:t>0.737</w:t>
            </w:r>
          </w:p>
        </w:tc>
        <w:tc>
          <w:tcPr>
            <w:tcW w:type="dxa" w:w="1440"/>
          </w:tcPr>
          <w:p>
            <w:r/>
            <w:r>
              <w:rPr>
                <w:rFonts w:ascii="Calibri" w:hAnsi="Calibri"/>
                <w:b w:val="0"/>
                <w:i w:val="0"/>
                <w:sz w:val="20"/>
              </w:rPr>
              <w:t>0.035</w:t>
            </w:r>
          </w:p>
        </w:tc>
        <w:tc>
          <w:tcPr>
            <w:tcW w:type="dxa" w:w="1440"/>
          </w:tcPr>
          <w:p>
            <w:r/>
            <w:r>
              <w:rPr>
                <w:rFonts w:ascii="Calibri" w:hAnsi="Calibri"/>
                <w:b w:val="0"/>
                <w:i w:val="0"/>
                <w:sz w:val="20"/>
              </w:rPr>
              <w:t>Higher than baseline</w:t>
            </w:r>
          </w:p>
        </w:tc>
      </w:tr>
    </w:tbl>
    <w:p>
      <w:r>
        <w:rPr>
          <w:rFonts w:ascii="Calibri" w:hAnsi="Calibri"/>
          <w:b w:val="0"/>
          <w:i w:val="0"/>
          <w:sz w:val="22"/>
        </w:rPr>
        <w:t>Tier 1: PASS — pipeline executed, gap quantification interpretable. Tier 2: FAIL — no anchor period elevated above baseline. Tier 3: FAIL — Tier 2 not met.</w:t>
      </w:r>
    </w:p>
    <w:p>
      <w:pPr>
        <w:pStyle w:val="Heading2"/>
      </w:pPr>
      <w:r>
        <w:rPr>
          <w:rFonts w:ascii="Calibri" w:hAnsi="Calibri"/>
          <w:color w:val="1B3A5C"/>
        </w:rPr>
        <w:t>4a.3 Null Result Interpretation</w:t>
      </w:r>
    </w:p>
    <w:p>
      <w:r>
        <w:rPr>
          <w:rFonts w:ascii="Calibri" w:hAnsi="Calibri"/>
          <w:b w:val="0"/>
          <w:i w:val="0"/>
          <w:sz w:val="22"/>
        </w:rPr>
        <w:t>Three non-mutually-exclusive explanations account for the null result:</w:t>
      </w:r>
    </w:p>
    <w:p>
      <w:pPr>
        <w:ind w:left="432"/>
      </w:pPr>
      <w:r>
        <w:rPr>
          <w:rFonts w:ascii="Calibri" w:hAnsi="Calibri"/>
          <w:b w:val="0"/>
          <w:i w:val="0"/>
          <w:sz w:val="22"/>
        </w:rPr>
        <w:t>1. Signal modality gap: 5 of 8 features show large KS distances (&gt;0.3), placing Apple Watch windows outside the model’s training distribution. The model operates on data that does not resemble what it was trained on.</w:t>
      </w:r>
    </w:p>
    <w:p>
      <w:pPr>
        <w:ind w:left="432"/>
      </w:pPr>
      <w:r>
        <w:rPr>
          <w:rFonts w:ascii="Calibri" w:hAnsi="Calibri"/>
          <w:b w:val="0"/>
          <w:i w:val="0"/>
          <w:sz w:val="22"/>
        </w:rPr>
        <w:t>2. Behavioural confound: Reduced physical training intensity in the pre-anchor period may have shifted HRV toward more regular patterns that the model interprets as normal, independent of any cardiac pathology.</w:t>
      </w:r>
    </w:p>
    <w:p>
      <w:pPr>
        <w:ind w:left="432"/>
      </w:pPr>
      <w:r>
        <w:rPr>
          <w:rFonts w:ascii="Calibri" w:hAnsi="Calibri"/>
          <w:b w:val="0"/>
          <w:i w:val="0"/>
          <w:sz w:val="22"/>
        </w:rPr>
        <w:t>3. Abnormality type mismatch: The clinical ECG report confirms an intraventricular conduction delay — a waveform morphology abnormality affecting QRS shape and ST segment, not beat-to-beat timing. HRV features are structurally incapable of detecting conduction delays, which produce regular-but-abnormally-shaped beats. The model was asked to detect something its feature set cannot capture.</w:t>
      </w:r>
    </w:p>
    <w:p>
      <w:r>
        <w:rPr>
          <w:rFonts w:ascii="Calibri" w:hAnsi="Calibri"/>
          <w:b w:val="0"/>
          <w:i w:val="0"/>
          <w:sz w:val="22"/>
        </w:rPr>
        <w:t>The null result is reported transparently. It motivates the pivot to MIMIC PERform AF as primary Layer 2 validation, and demonstrates the scope boundary of HRV-based screening: rhythm irregularities are detectable; morphological abnormalities are not.</w:t>
      </w:r>
    </w:p>
    <w:p>
      <w:r>
        <w:br w:type="page"/>
      </w:r>
    </w:p>
    <w:p>
      <w:pPr>
        <w:pStyle w:val="Heading1"/>
      </w:pPr>
      <w:r>
        <w:rPr>
          <w:rFonts w:ascii="Calibri" w:hAnsi="Calibri"/>
          <w:color w:val="1B3A5C"/>
        </w:rPr>
        <w:t>4b. Consumer Wearable Bridge — MIMIC PERform AF Primary Validation</w:t>
      </w:r>
    </w:p>
    <w:p>
      <w:r>
        <w:rPr>
          <w:rFonts w:ascii="Calibri" w:hAnsi="Calibri"/>
          <w:b w:val="0"/>
          <w:i w:val="0"/>
          <w:sz w:val="22"/>
        </w:rPr>
        <w:t>35 subjects (19 AF, 16 NSR). All 35 subjects passed the green quality tier (≥300 PPG peaks detected). Single 20-minute window per subject. The frozen SVM and frozen scaler (transform only, no refit) were applied at the pre-registered fixed threshold of 0.34.</w:t>
      </w:r>
    </w:p>
    <w:p>
      <w:pPr>
        <w:pStyle w:val="Heading2"/>
      </w:pPr>
      <w:r>
        <w:rPr>
          <w:rFonts w:ascii="Calibri" w:hAnsi="Calibri"/>
          <w:color w:val="1B3A5C"/>
        </w:rPr>
        <w:t>4b.1 Signal Modality Gap (KS Test)</w:t>
      </w:r>
    </w:p>
    <w:p>
      <w:r>
        <w:rPr>
          <w:rFonts w:ascii="Calibri" w:hAnsi="Calibri"/>
          <w:b w:val="0"/>
          <w:i w:val="0"/>
          <w:sz w:val="22"/>
        </w:rPr>
        <w:t>All 8 features show large KS distances (KS ≥0.3) — worse than Apple Watch (5 large). MIMIC subjects are critically ill ICU patients whose underlying physiology produces systematically elevated HRV variability, pushing all features toward values the model associates with Abnormal.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Feature</w:t>
            </w:r>
          </w:p>
        </w:tc>
        <w:tc>
          <w:tcPr>
            <w:tcW w:type="dxa" w:w="2880"/>
          </w:tcPr>
          <w:p>
            <w:r/>
            <w:r>
              <w:rPr>
                <w:rFonts w:ascii="Calibri" w:hAnsi="Calibri"/>
                <w:b/>
                <w:i w:val="0"/>
                <w:sz w:val="20"/>
              </w:rPr>
              <w:t>KS Statistic</w:t>
            </w:r>
          </w:p>
        </w:tc>
        <w:tc>
          <w:tcPr>
            <w:tcW w:type="dxa" w:w="2880"/>
          </w:tcPr>
          <w:p>
            <w:r/>
            <w:r>
              <w:rPr>
                <w:rFonts w:ascii="Calibri" w:hAnsi="Calibri"/>
                <w:b/>
                <w:i w:val="0"/>
                <w:sz w:val="20"/>
              </w:rPr>
              <w:t>Direction</w:t>
            </w:r>
          </w:p>
        </w:tc>
      </w:tr>
      <w:tr>
        <w:tc>
          <w:tcPr>
            <w:tcW w:type="dxa" w:w="2880"/>
          </w:tcPr>
          <w:p>
            <w:r/>
            <w:r>
              <w:rPr>
                <w:rFonts w:ascii="Calibri" w:hAnsi="Calibri"/>
                <w:b w:val="0"/>
                <w:i w:val="0"/>
                <w:sz w:val="20"/>
              </w:rPr>
              <w:t>RR Skewness</w:t>
            </w:r>
          </w:p>
        </w:tc>
        <w:tc>
          <w:tcPr>
            <w:tcW w:type="dxa" w:w="2880"/>
          </w:tcPr>
          <w:p>
            <w:r/>
            <w:r>
              <w:rPr>
                <w:rFonts w:ascii="Calibri" w:hAnsi="Calibri"/>
                <w:b w:val="0"/>
                <w:i w:val="0"/>
                <w:sz w:val="20"/>
              </w:rPr>
              <w:t>0.5186</w:t>
            </w:r>
          </w:p>
        </w:tc>
        <w:tc>
          <w:tcPr>
            <w:tcW w:type="dxa" w:w="2880"/>
          </w:tcPr>
          <w:p>
            <w:r/>
            <w:r>
              <w:rPr>
                <w:rFonts w:ascii="Calibri" w:hAnsi="Calibri"/>
                <w:b w:val="0"/>
                <w:i w:val="0"/>
                <w:sz w:val="20"/>
              </w:rPr>
              <w:t>MIMIC higher</w:t>
            </w:r>
          </w:p>
        </w:tc>
      </w:tr>
      <w:tr>
        <w:tc>
          <w:tcPr>
            <w:tcW w:type="dxa" w:w="2880"/>
          </w:tcPr>
          <w:p>
            <w:r/>
            <w:r>
              <w:rPr>
                <w:rFonts w:ascii="Calibri" w:hAnsi="Calibri"/>
                <w:b w:val="0"/>
                <w:i w:val="0"/>
                <w:sz w:val="20"/>
              </w:rPr>
              <w:t>pNN50</w:t>
            </w:r>
          </w:p>
        </w:tc>
        <w:tc>
          <w:tcPr>
            <w:tcW w:type="dxa" w:w="2880"/>
          </w:tcPr>
          <w:p>
            <w:r/>
            <w:r>
              <w:rPr>
                <w:rFonts w:ascii="Calibri" w:hAnsi="Calibri"/>
                <w:b w:val="0"/>
                <w:i w:val="0"/>
                <w:sz w:val="20"/>
              </w:rPr>
              <w:t>0.4739</w:t>
            </w:r>
          </w:p>
        </w:tc>
        <w:tc>
          <w:tcPr>
            <w:tcW w:type="dxa" w:w="2880"/>
          </w:tcPr>
          <w:p>
            <w:r/>
            <w:r>
              <w:rPr>
                <w:rFonts w:ascii="Calibri" w:hAnsi="Calibri"/>
                <w:b w:val="0"/>
                <w:i w:val="0"/>
                <w:sz w:val="20"/>
              </w:rPr>
              <w:t>MIMIC higher</w:t>
            </w:r>
          </w:p>
        </w:tc>
      </w:tr>
      <w:tr>
        <w:tc>
          <w:tcPr>
            <w:tcW w:type="dxa" w:w="2880"/>
          </w:tcPr>
          <w:p>
            <w:r/>
            <w:r>
              <w:rPr>
                <w:rFonts w:ascii="Calibri" w:hAnsi="Calibri"/>
                <w:b w:val="0"/>
                <w:i w:val="0"/>
                <w:sz w:val="20"/>
              </w:rPr>
              <w:t>RR Kurtosis</w:t>
            </w:r>
          </w:p>
        </w:tc>
        <w:tc>
          <w:tcPr>
            <w:tcW w:type="dxa" w:w="2880"/>
          </w:tcPr>
          <w:p>
            <w:r/>
            <w:r>
              <w:rPr>
                <w:rFonts w:ascii="Calibri" w:hAnsi="Calibri"/>
                <w:b w:val="0"/>
                <w:i w:val="0"/>
                <w:sz w:val="20"/>
              </w:rPr>
              <w:t>0.4121</w:t>
            </w:r>
          </w:p>
        </w:tc>
        <w:tc>
          <w:tcPr>
            <w:tcW w:type="dxa" w:w="2880"/>
          </w:tcPr>
          <w:p>
            <w:r/>
            <w:r>
              <w:rPr>
                <w:rFonts w:ascii="Calibri" w:hAnsi="Calibri"/>
                <w:b w:val="0"/>
                <w:i w:val="0"/>
                <w:sz w:val="20"/>
              </w:rPr>
              <w:t>MIMIC higher</w:t>
            </w:r>
          </w:p>
        </w:tc>
      </w:tr>
      <w:tr>
        <w:tc>
          <w:tcPr>
            <w:tcW w:type="dxa" w:w="2880"/>
          </w:tcPr>
          <w:p>
            <w:r/>
            <w:r>
              <w:rPr>
                <w:rFonts w:ascii="Calibri" w:hAnsi="Calibri"/>
                <w:b w:val="0"/>
                <w:i w:val="0"/>
                <w:sz w:val="20"/>
              </w:rPr>
              <w:t>RMSSD</w:t>
            </w:r>
          </w:p>
        </w:tc>
        <w:tc>
          <w:tcPr>
            <w:tcW w:type="dxa" w:w="2880"/>
          </w:tcPr>
          <w:p>
            <w:r/>
            <w:r>
              <w:rPr>
                <w:rFonts w:ascii="Calibri" w:hAnsi="Calibri"/>
                <w:b w:val="0"/>
                <w:i w:val="0"/>
                <w:sz w:val="20"/>
              </w:rPr>
              <w:t>0.3747</w:t>
            </w:r>
          </w:p>
        </w:tc>
        <w:tc>
          <w:tcPr>
            <w:tcW w:type="dxa" w:w="2880"/>
          </w:tcPr>
          <w:p>
            <w:r/>
            <w:r>
              <w:rPr>
                <w:rFonts w:ascii="Calibri" w:hAnsi="Calibri"/>
                <w:b w:val="0"/>
                <w:i w:val="0"/>
                <w:sz w:val="20"/>
              </w:rPr>
              <w:t>MIMIC higher</w:t>
            </w:r>
          </w:p>
        </w:tc>
      </w:tr>
      <w:tr>
        <w:tc>
          <w:tcPr>
            <w:tcW w:type="dxa" w:w="2880"/>
          </w:tcPr>
          <w:p>
            <w:r/>
            <w:r>
              <w:rPr>
                <w:rFonts w:ascii="Calibri" w:hAnsi="Calibri"/>
                <w:b w:val="0"/>
                <w:i w:val="0"/>
                <w:sz w:val="20"/>
              </w:rPr>
              <w:t>Mean RR / HR Mean</w:t>
            </w:r>
          </w:p>
        </w:tc>
        <w:tc>
          <w:tcPr>
            <w:tcW w:type="dxa" w:w="2880"/>
          </w:tcPr>
          <w:p>
            <w:r/>
            <w:r>
              <w:rPr>
                <w:rFonts w:ascii="Calibri" w:hAnsi="Calibri"/>
                <w:b w:val="0"/>
                <w:i w:val="0"/>
                <w:sz w:val="20"/>
              </w:rPr>
              <w:t>0.3853</w:t>
            </w:r>
          </w:p>
        </w:tc>
        <w:tc>
          <w:tcPr>
            <w:tcW w:type="dxa" w:w="2880"/>
          </w:tcPr>
          <w:p>
            <w:r/>
            <w:r>
              <w:rPr>
                <w:rFonts w:ascii="Calibri" w:hAnsi="Calibri"/>
                <w:b w:val="0"/>
                <w:i w:val="0"/>
                <w:sz w:val="20"/>
              </w:rPr>
              <w:t>MIMIC mixed</w:t>
            </w:r>
          </w:p>
        </w:tc>
      </w:tr>
      <w:tr>
        <w:tc>
          <w:tcPr>
            <w:tcW w:type="dxa" w:w="2880"/>
          </w:tcPr>
          <w:p>
            <w:r/>
            <w:r>
              <w:rPr>
                <w:rFonts w:ascii="Calibri" w:hAnsi="Calibri"/>
                <w:b w:val="0"/>
                <w:i w:val="0"/>
                <w:sz w:val="20"/>
              </w:rPr>
              <w:t>HR Std Dev</w:t>
            </w:r>
          </w:p>
        </w:tc>
        <w:tc>
          <w:tcPr>
            <w:tcW w:type="dxa" w:w="2880"/>
          </w:tcPr>
          <w:p>
            <w:r/>
            <w:r>
              <w:rPr>
                <w:rFonts w:ascii="Calibri" w:hAnsi="Calibri"/>
                <w:b w:val="0"/>
                <w:i w:val="0"/>
                <w:sz w:val="20"/>
              </w:rPr>
              <w:t>0.3373</w:t>
            </w:r>
          </w:p>
        </w:tc>
        <w:tc>
          <w:tcPr>
            <w:tcW w:type="dxa" w:w="2880"/>
          </w:tcPr>
          <w:p>
            <w:r/>
            <w:r>
              <w:rPr>
                <w:rFonts w:ascii="Calibri" w:hAnsi="Calibri"/>
                <w:b w:val="0"/>
                <w:i w:val="0"/>
                <w:sz w:val="20"/>
              </w:rPr>
              <w:t>MIMIC higher</w:t>
            </w:r>
          </w:p>
        </w:tc>
      </w:tr>
      <w:tr>
        <w:tc>
          <w:tcPr>
            <w:tcW w:type="dxa" w:w="2880"/>
          </w:tcPr>
          <w:p>
            <w:r/>
            <w:r>
              <w:rPr>
                <w:rFonts w:ascii="Calibri" w:hAnsi="Calibri"/>
                <w:b w:val="0"/>
                <w:i w:val="0"/>
                <w:sz w:val="20"/>
              </w:rPr>
              <w:t>SDNN</w:t>
            </w:r>
          </w:p>
        </w:tc>
        <w:tc>
          <w:tcPr>
            <w:tcW w:type="dxa" w:w="2880"/>
          </w:tcPr>
          <w:p>
            <w:r/>
            <w:r>
              <w:rPr>
                <w:rFonts w:ascii="Calibri" w:hAnsi="Calibri"/>
                <w:b w:val="0"/>
                <w:i w:val="0"/>
                <w:sz w:val="20"/>
              </w:rPr>
              <w:t>0.3236</w:t>
            </w:r>
          </w:p>
        </w:tc>
        <w:tc>
          <w:tcPr>
            <w:tcW w:type="dxa" w:w="2880"/>
          </w:tcPr>
          <w:p>
            <w:r/>
            <w:r>
              <w:rPr>
                <w:rFonts w:ascii="Calibri" w:hAnsi="Calibri"/>
                <w:b w:val="0"/>
                <w:i w:val="0"/>
                <w:sz w:val="20"/>
              </w:rPr>
              <w:t>MIMIC higher</w:t>
            </w:r>
          </w:p>
        </w:tc>
      </w:tr>
    </w:tbl>
    <w:p>
      <w:pPr>
        <w:jc w:val="center"/>
      </w:pPr>
      <w:r>
        <w:drawing>
          <wp:inline xmlns:a="http://schemas.openxmlformats.org/drawingml/2006/main" xmlns:pic="http://schemas.openxmlformats.org/drawingml/2006/picture">
            <wp:extent cx="5029200" cy="2763049"/>
            <wp:docPr id="11" name="Picture 11"/>
            <wp:cNvGraphicFramePr>
              <a:graphicFrameLocks noChangeAspect="1"/>
            </wp:cNvGraphicFramePr>
            <a:graphic>
              <a:graphicData uri="http://schemas.openxmlformats.org/drawingml/2006/picture">
                <pic:pic>
                  <pic:nvPicPr>
                    <pic:cNvPr id="0" name="modality_gap_ks_distances_2026.png"/>
                    <pic:cNvPicPr/>
                  </pic:nvPicPr>
                  <pic:blipFill>
                    <a:blip r:embed="rId20"/>
                    <a:stretch>
                      <a:fillRect/>
                    </a:stretch>
                  </pic:blipFill>
                  <pic:spPr>
                    <a:xfrm>
                      <a:off x="0" y="0"/>
                      <a:ext cx="5029200" cy="2763049"/>
                    </a:xfrm>
                    <a:prstGeom prst="rect"/>
                  </pic:spPr>
                </pic:pic>
              </a:graphicData>
            </a:graphic>
          </wp:inline>
        </w:drawing>
      </w:r>
    </w:p>
    <w:p>
      <w:pPr>
        <w:jc w:val="center"/>
      </w:pPr>
      <w:r>
        <w:rPr>
          <w:rFonts w:ascii="Calibri" w:hAnsi="Calibri"/>
          <w:b w:val="0"/>
          <w:i/>
          <w:color w:val="555555"/>
          <w:sz w:val="18"/>
        </w:rPr>
        <w:t>Figure 10. KS distances between MIMIC PERform AF and Physionet training distributions for all 8 features. All distances in the Large (&gt;0.3) band.</w:t>
      </w:r>
    </w:p>
    <w:p>
      <w:pPr>
        <w:pStyle w:val="Heading2"/>
      </w:pPr>
      <w:r>
        <w:rPr>
          <w:rFonts w:ascii="Calibri" w:hAnsi="Calibri"/>
          <w:color w:val="1B3A5C"/>
        </w:rPr>
        <w:t>4b.2 SVM at Fixed Threshold 0.34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b/>
                <w:i w:val="0"/>
                <w:sz w:val="20"/>
              </w:rPr>
              <w:t>Metric</w:t>
            </w:r>
          </w:p>
        </w:tc>
        <w:tc>
          <w:tcPr>
            <w:tcW w:type="dxa" w:w="4320"/>
          </w:tcPr>
          <w:p>
            <w:r/>
            <w:r>
              <w:rPr>
                <w:rFonts w:ascii="Calibri" w:hAnsi="Calibri"/>
                <w:b/>
                <w:i w:val="0"/>
                <w:sz w:val="20"/>
              </w:rPr>
              <w:t>Value</w:t>
            </w:r>
          </w:p>
        </w:tc>
      </w:tr>
      <w:tr>
        <w:tc>
          <w:tcPr>
            <w:tcW w:type="dxa" w:w="4320"/>
          </w:tcPr>
          <w:p>
            <w:r/>
            <w:r>
              <w:rPr>
                <w:rFonts w:ascii="Calibri" w:hAnsi="Calibri"/>
                <w:b w:val="0"/>
                <w:i w:val="0"/>
                <w:sz w:val="20"/>
              </w:rPr>
              <w:t>Sensitivity</w:t>
            </w:r>
          </w:p>
        </w:tc>
        <w:tc>
          <w:tcPr>
            <w:tcW w:type="dxa" w:w="4320"/>
          </w:tcPr>
          <w:p>
            <w:r/>
            <w:r>
              <w:rPr>
                <w:rFonts w:ascii="Calibri" w:hAnsi="Calibri"/>
                <w:b w:val="0"/>
                <w:i w:val="0"/>
                <w:sz w:val="20"/>
              </w:rPr>
              <w:t>100% (19/19 AF cases)</w:t>
            </w:r>
          </w:p>
        </w:tc>
      </w:tr>
      <w:tr>
        <w:tc>
          <w:tcPr>
            <w:tcW w:type="dxa" w:w="4320"/>
          </w:tcPr>
          <w:p>
            <w:r/>
            <w:r>
              <w:rPr>
                <w:rFonts w:ascii="Calibri" w:hAnsi="Calibri"/>
                <w:b w:val="0"/>
                <w:i w:val="0"/>
                <w:sz w:val="20"/>
              </w:rPr>
              <w:t>Specificity</w:t>
            </w:r>
          </w:p>
        </w:tc>
        <w:tc>
          <w:tcPr>
            <w:tcW w:type="dxa" w:w="4320"/>
          </w:tcPr>
          <w:p>
            <w:r/>
            <w:r>
              <w:rPr>
                <w:rFonts w:ascii="Calibri" w:hAnsi="Calibri"/>
                <w:b w:val="0"/>
                <w:i w:val="0"/>
                <w:sz w:val="20"/>
              </w:rPr>
              <w:t>12.5% (2/16 NSR correct)</w:t>
            </w:r>
          </w:p>
        </w:tc>
      </w:tr>
      <w:tr>
        <w:tc>
          <w:tcPr>
            <w:tcW w:type="dxa" w:w="4320"/>
          </w:tcPr>
          <w:p>
            <w:r/>
            <w:r>
              <w:rPr>
                <w:rFonts w:ascii="Calibri" w:hAnsi="Calibri"/>
                <w:b w:val="0"/>
                <w:i w:val="0"/>
                <w:sz w:val="20"/>
              </w:rPr>
              <w:t>AUROC</w:t>
            </w:r>
          </w:p>
        </w:tc>
        <w:tc>
          <w:tcPr>
            <w:tcW w:type="dxa" w:w="4320"/>
          </w:tcPr>
          <w:p>
            <w:r/>
            <w:r>
              <w:rPr>
                <w:rFonts w:ascii="Calibri" w:hAnsi="Calibri"/>
                <w:b w:val="0"/>
                <w:i w:val="0"/>
                <w:sz w:val="20"/>
              </w:rPr>
              <w:t>0.8586</w:t>
            </w:r>
          </w:p>
        </w:tc>
      </w:tr>
      <w:tr>
        <w:tc>
          <w:tcPr>
            <w:tcW w:type="dxa" w:w="4320"/>
          </w:tcPr>
          <w:p>
            <w:r/>
            <w:r>
              <w:rPr>
                <w:rFonts w:ascii="Calibri" w:hAnsi="Calibri"/>
                <w:b w:val="0"/>
                <w:i w:val="0"/>
                <w:sz w:val="20"/>
              </w:rPr>
              <w:t>F1 Score</w:t>
            </w:r>
          </w:p>
        </w:tc>
        <w:tc>
          <w:tcPr>
            <w:tcW w:type="dxa" w:w="4320"/>
          </w:tcPr>
          <w:p>
            <w:r/>
            <w:r>
              <w:rPr>
                <w:rFonts w:ascii="Calibri" w:hAnsi="Calibri"/>
                <w:b w:val="0"/>
                <w:i w:val="0"/>
                <w:sz w:val="20"/>
              </w:rPr>
              <w:t>0.7308</w:t>
            </w:r>
          </w:p>
        </w:tc>
      </w:tr>
      <w:tr>
        <w:tc>
          <w:tcPr>
            <w:tcW w:type="dxa" w:w="4320"/>
          </w:tcPr>
          <w:p>
            <w:r/>
            <w:r>
              <w:rPr>
                <w:rFonts w:ascii="Calibri" w:hAnsi="Calibri"/>
                <w:b w:val="0"/>
                <w:i w:val="0"/>
                <w:sz w:val="20"/>
              </w:rPr>
              <w:t>Confusion Matrix</w:t>
            </w:r>
          </w:p>
        </w:tc>
        <w:tc>
          <w:tcPr>
            <w:tcW w:type="dxa" w:w="4320"/>
          </w:tcPr>
          <w:p>
            <w:r/>
            <w:r>
              <w:rPr>
                <w:rFonts w:ascii="Calibri" w:hAnsi="Calibri"/>
                <w:b w:val="0"/>
                <w:i w:val="0"/>
                <w:sz w:val="20"/>
              </w:rPr>
              <w:t>TP=19, FP=14, FN=0, TN=2</w:t>
            </w:r>
          </w:p>
        </w:tc>
      </w:tr>
      <w:tr>
        <w:tc>
          <w:tcPr>
            <w:tcW w:type="dxa" w:w="4320"/>
          </w:tcPr>
          <w:p>
            <w:r/>
            <w:r>
              <w:rPr>
                <w:rFonts w:ascii="Calibri" w:hAnsi="Calibri"/>
                <w:b w:val="0"/>
                <w:i w:val="0"/>
                <w:sz w:val="20"/>
              </w:rPr>
              <w:t>Tier 1</w:t>
            </w:r>
          </w:p>
        </w:tc>
        <w:tc>
          <w:tcPr>
            <w:tcW w:type="dxa" w:w="4320"/>
          </w:tcPr>
          <w:p>
            <w:r/>
            <w:r>
              <w:rPr>
                <w:rFonts w:ascii="Calibri" w:hAnsi="Calibri"/>
                <w:b w:val="0"/>
                <w:i w:val="0"/>
                <w:sz w:val="20"/>
              </w:rPr>
              <w:t>PASS</w:t>
            </w:r>
          </w:p>
        </w:tc>
      </w:tr>
      <w:tr>
        <w:tc>
          <w:tcPr>
            <w:tcW w:type="dxa" w:w="4320"/>
          </w:tcPr>
          <w:p>
            <w:r/>
            <w:r>
              <w:rPr>
                <w:rFonts w:ascii="Calibri" w:hAnsi="Calibri"/>
                <w:b w:val="0"/>
                <w:i w:val="0"/>
                <w:sz w:val="20"/>
              </w:rPr>
              <w:t>Tier 2</w:t>
            </w:r>
          </w:p>
        </w:tc>
        <w:tc>
          <w:tcPr>
            <w:tcW w:type="dxa" w:w="4320"/>
          </w:tcPr>
          <w:p>
            <w:r/>
            <w:r>
              <w:rPr>
                <w:rFonts w:ascii="Calibri" w:hAnsi="Calibri"/>
                <w:b w:val="0"/>
                <w:i w:val="0"/>
                <w:sz w:val="20"/>
              </w:rPr>
              <w:t>FAIL (specificity 12.5%)</w:t>
            </w:r>
          </w:p>
        </w:tc>
      </w:tr>
      <w:tr>
        <w:tc>
          <w:tcPr>
            <w:tcW w:type="dxa" w:w="4320"/>
          </w:tcPr>
          <w:p>
            <w:r/>
            <w:r>
              <w:rPr>
                <w:rFonts w:ascii="Calibri" w:hAnsi="Calibri"/>
                <w:b w:val="0"/>
                <w:i w:val="0"/>
                <w:sz w:val="20"/>
              </w:rPr>
              <w:t>Tier 3</w:t>
            </w:r>
          </w:p>
        </w:tc>
        <w:tc>
          <w:tcPr>
            <w:tcW w:type="dxa" w:w="4320"/>
          </w:tcPr>
          <w:p>
            <w:r/>
            <w:r>
              <w:rPr>
                <w:rFonts w:ascii="Calibri" w:hAnsi="Calibri"/>
                <w:b w:val="0"/>
                <w:i w:val="0"/>
                <w:sz w:val="20"/>
              </w:rPr>
              <w:t>PASS (AUROC 0.8586 ≥0.85)</w:t>
            </w:r>
          </w:p>
        </w:tc>
      </w:tr>
    </w:tbl>
    <w:p>
      <w:r>
        <w:rPr>
          <w:rFonts w:ascii="Calibri" w:hAnsi="Calibri"/>
          <w:b w:val="0"/>
          <w:i w:val="0"/>
          <w:sz w:val="22"/>
        </w:rPr>
        <w:t>100% sensitivity with 12.5% specificity is coherent and mechanistically explained. The KS gap directly predicts this: all 8 MIMIC features are shifted toward values the model associates with Abnormal, so almost every subject crosses the ECG-calibrated threshold of 0.34 — including NSR subjects. The model does not fail to discriminate; it fails to calibrate.</w:t>
      </w:r>
    </w:p>
    <w:p>
      <w:pPr>
        <w:jc w:val="center"/>
      </w:pPr>
      <w:r>
        <w:drawing>
          <wp:inline xmlns:a="http://schemas.openxmlformats.org/drawingml/2006/main" xmlns:pic="http://schemas.openxmlformats.org/drawingml/2006/picture">
            <wp:extent cx="5029200" cy="2765118"/>
            <wp:docPr id="12" name="Picture 12"/>
            <wp:cNvGraphicFramePr>
              <a:graphicFrameLocks noChangeAspect="1"/>
            </wp:cNvGraphicFramePr>
            <a:graphic>
              <a:graphicData uri="http://schemas.openxmlformats.org/drawingml/2006/picture">
                <pic:pic>
                  <pic:nvPicPr>
                    <pic:cNvPr id="0" name="mimic_probability_scores_2026.png"/>
                    <pic:cNvPicPr/>
                  </pic:nvPicPr>
                  <pic:blipFill>
                    <a:blip r:embed="rId21"/>
                    <a:stretch>
                      <a:fillRect/>
                    </a:stretch>
                  </pic:blipFill>
                  <pic:spPr>
                    <a:xfrm>
                      <a:off x="0" y="0"/>
                      <a:ext cx="5029200" cy="2765118"/>
                    </a:xfrm>
                    <a:prstGeom prst="rect"/>
                  </pic:spPr>
                </pic:pic>
              </a:graphicData>
            </a:graphic>
          </wp:inline>
        </w:drawing>
      </w:r>
    </w:p>
    <w:p>
      <w:pPr>
        <w:jc w:val="center"/>
      </w:pPr>
      <w:r>
        <w:rPr>
          <w:rFonts w:ascii="Calibri" w:hAnsi="Calibri"/>
          <w:b w:val="0"/>
          <w:i/>
          <w:color w:val="555555"/>
          <w:sz w:val="18"/>
        </w:rPr>
        <w:t>Figure 11. SVM probability scores for MIMIC subjects at fixed threshold 0.34. AF subjects (orange) and NSR subjects (blue) are both predominantly above 0.34, with AF subjects scoring higher overall.</w:t>
      </w:r>
    </w:p>
    <w:p>
      <w:pPr>
        <w:pStyle w:val="Heading2"/>
      </w:pPr>
      <w:r>
        <w:rPr>
          <w:rFonts w:ascii="Calibri" w:hAnsi="Calibri"/>
          <w:color w:val="1B3A5C"/>
        </w:rPr>
        <w:t>4b.3 Cross-Model Comparison</w:t>
      </w:r>
    </w:p>
    <w:p>
      <w:r>
        <w:rPr>
          <w:rFonts w:ascii="Calibri" w:hAnsi="Calibri"/>
          <w:b w:val="0"/>
          <w:i w:val="0"/>
          <w:sz w:val="22"/>
        </w:rPr>
        <w:t>All four Layer 1 models applied to MIMIC at their fixed Layer 1 thresholds. Specificity failure is systemic — confirming a modality gap problem, not a model selection artefact: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Model</w:t>
            </w:r>
          </w:p>
        </w:tc>
        <w:tc>
          <w:tcPr>
            <w:tcW w:type="dxa" w:w="1728"/>
          </w:tcPr>
          <w:p>
            <w:r/>
            <w:r>
              <w:rPr>
                <w:rFonts w:ascii="Calibri" w:hAnsi="Calibri"/>
                <w:b/>
                <w:i w:val="0"/>
                <w:sz w:val="20"/>
              </w:rPr>
              <w:t>Threshold</w:t>
            </w:r>
          </w:p>
        </w:tc>
        <w:tc>
          <w:tcPr>
            <w:tcW w:type="dxa" w:w="1728"/>
          </w:tcPr>
          <w:p>
            <w:r/>
            <w:r>
              <w:rPr>
                <w:rFonts w:ascii="Calibri" w:hAnsi="Calibri"/>
                <w:b/>
                <w:i w:val="0"/>
                <w:sz w:val="20"/>
              </w:rPr>
              <w:t>Sensitivity</w:t>
            </w:r>
          </w:p>
        </w:tc>
        <w:tc>
          <w:tcPr>
            <w:tcW w:type="dxa" w:w="1728"/>
          </w:tcPr>
          <w:p>
            <w:r/>
            <w:r>
              <w:rPr>
                <w:rFonts w:ascii="Calibri" w:hAnsi="Calibri"/>
                <w:b/>
                <w:i w:val="0"/>
                <w:sz w:val="20"/>
              </w:rPr>
              <w:t>Specificity</w:t>
            </w:r>
          </w:p>
        </w:tc>
        <w:tc>
          <w:tcPr>
            <w:tcW w:type="dxa" w:w="1728"/>
          </w:tcPr>
          <w:p>
            <w:r/>
            <w:r>
              <w:rPr>
                <w:rFonts w:ascii="Calibri" w:hAnsi="Calibri"/>
                <w:b/>
                <w:i w:val="0"/>
                <w:sz w:val="20"/>
              </w:rPr>
              <w:t>AUROC</w:t>
            </w:r>
          </w:p>
        </w:tc>
      </w:tr>
      <w:tr>
        <w:tc>
          <w:tcPr>
            <w:tcW w:type="dxa" w:w="1728"/>
          </w:tcPr>
          <w:p>
            <w:r/>
            <w:r>
              <w:rPr>
                <w:rFonts w:ascii="Calibri" w:hAnsi="Calibri"/>
                <w:b w:val="0"/>
                <w:i w:val="0"/>
                <w:sz w:val="20"/>
              </w:rPr>
              <w:t>Logistic Regression</w:t>
            </w:r>
          </w:p>
        </w:tc>
        <w:tc>
          <w:tcPr>
            <w:tcW w:type="dxa" w:w="1728"/>
          </w:tcPr>
          <w:p>
            <w:r/>
            <w:r>
              <w:rPr>
                <w:rFonts w:ascii="Calibri" w:hAnsi="Calibri"/>
                <w:b w:val="0"/>
                <w:i w:val="0"/>
                <w:sz w:val="20"/>
              </w:rPr>
              <w:t>0.41</w:t>
            </w:r>
          </w:p>
        </w:tc>
        <w:tc>
          <w:tcPr>
            <w:tcW w:type="dxa" w:w="1728"/>
          </w:tcPr>
          <w:p>
            <w:r/>
            <w:r>
              <w:rPr>
                <w:rFonts w:ascii="Calibri" w:hAnsi="Calibri"/>
                <w:b w:val="0"/>
                <w:i w:val="0"/>
                <w:sz w:val="20"/>
              </w:rPr>
              <w:t>100%</w:t>
            </w:r>
          </w:p>
        </w:tc>
        <w:tc>
          <w:tcPr>
            <w:tcW w:type="dxa" w:w="1728"/>
          </w:tcPr>
          <w:p>
            <w:r/>
            <w:r>
              <w:rPr>
                <w:rFonts w:ascii="Calibri" w:hAnsi="Calibri"/>
                <w:b w:val="0"/>
                <w:i w:val="0"/>
                <w:sz w:val="20"/>
              </w:rPr>
              <w:t>18.75%</w:t>
            </w:r>
          </w:p>
        </w:tc>
        <w:tc>
          <w:tcPr>
            <w:tcW w:type="dxa" w:w="1728"/>
          </w:tcPr>
          <w:p>
            <w:r/>
            <w:r>
              <w:rPr>
                <w:rFonts w:ascii="Calibri" w:hAnsi="Calibri"/>
                <w:b w:val="0"/>
                <w:i w:val="0"/>
                <w:sz w:val="20"/>
              </w:rPr>
              <w:t>0.7368</w:t>
            </w:r>
          </w:p>
        </w:tc>
      </w:tr>
      <w:tr>
        <w:tc>
          <w:tcPr>
            <w:tcW w:type="dxa" w:w="1728"/>
          </w:tcPr>
          <w:p>
            <w:r/>
            <w:r>
              <w:rPr>
                <w:rFonts w:ascii="Calibri" w:hAnsi="Calibri"/>
                <w:b w:val="0"/>
                <w:i w:val="0"/>
                <w:sz w:val="20"/>
              </w:rPr>
              <w:t>Random Forest</w:t>
            </w:r>
          </w:p>
        </w:tc>
        <w:tc>
          <w:tcPr>
            <w:tcW w:type="dxa" w:w="1728"/>
          </w:tcPr>
          <w:p>
            <w:r/>
            <w:r>
              <w:rPr>
                <w:rFonts w:ascii="Calibri" w:hAnsi="Calibri"/>
                <w:b w:val="0"/>
                <w:i w:val="0"/>
                <w:sz w:val="20"/>
              </w:rPr>
              <w:t>0.37</w:t>
            </w:r>
          </w:p>
        </w:tc>
        <w:tc>
          <w:tcPr>
            <w:tcW w:type="dxa" w:w="1728"/>
          </w:tcPr>
          <w:p>
            <w:r/>
            <w:r>
              <w:rPr>
                <w:rFonts w:ascii="Calibri" w:hAnsi="Calibri"/>
                <w:b w:val="0"/>
                <w:i w:val="0"/>
                <w:sz w:val="20"/>
              </w:rPr>
              <w:t>100%</w:t>
            </w:r>
          </w:p>
        </w:tc>
        <w:tc>
          <w:tcPr>
            <w:tcW w:type="dxa" w:w="1728"/>
          </w:tcPr>
          <w:p>
            <w:r/>
            <w:r>
              <w:rPr>
                <w:rFonts w:ascii="Calibri" w:hAnsi="Calibri"/>
                <w:b w:val="0"/>
                <w:i w:val="0"/>
                <w:sz w:val="20"/>
              </w:rPr>
              <w:t>6.25%</w:t>
            </w:r>
          </w:p>
        </w:tc>
        <w:tc>
          <w:tcPr>
            <w:tcW w:type="dxa" w:w="1728"/>
          </w:tcPr>
          <w:p>
            <w:r/>
            <w:r>
              <w:rPr>
                <w:rFonts w:ascii="Calibri" w:hAnsi="Calibri"/>
                <w:b w:val="0"/>
                <w:i w:val="0"/>
                <w:sz w:val="20"/>
              </w:rPr>
              <w:t>0.8503</w:t>
            </w:r>
          </w:p>
        </w:tc>
      </w:tr>
      <w:tr>
        <w:tc>
          <w:tcPr>
            <w:tcW w:type="dxa" w:w="1728"/>
          </w:tcPr>
          <w:p>
            <w:r/>
            <w:r>
              <w:rPr>
                <w:rFonts w:ascii="Calibri" w:hAnsi="Calibri"/>
                <w:b w:val="0"/>
                <w:i w:val="0"/>
                <w:sz w:val="20"/>
              </w:rPr>
              <w:t>XGBoost</w:t>
            </w:r>
          </w:p>
        </w:tc>
        <w:tc>
          <w:tcPr>
            <w:tcW w:type="dxa" w:w="1728"/>
          </w:tcPr>
          <w:p>
            <w:r/>
            <w:r>
              <w:rPr>
                <w:rFonts w:ascii="Calibri" w:hAnsi="Calibri"/>
                <w:b w:val="0"/>
                <w:i w:val="0"/>
                <w:sz w:val="20"/>
              </w:rPr>
              <w:t>0.34</w:t>
            </w:r>
          </w:p>
        </w:tc>
        <w:tc>
          <w:tcPr>
            <w:tcW w:type="dxa" w:w="1728"/>
          </w:tcPr>
          <w:p>
            <w:r/>
            <w:r>
              <w:rPr>
                <w:rFonts w:ascii="Calibri" w:hAnsi="Calibri"/>
                <w:b w:val="0"/>
                <w:i w:val="0"/>
                <w:sz w:val="20"/>
              </w:rPr>
              <w:t>100%</w:t>
            </w:r>
          </w:p>
        </w:tc>
        <w:tc>
          <w:tcPr>
            <w:tcW w:type="dxa" w:w="1728"/>
          </w:tcPr>
          <w:p>
            <w:r/>
            <w:r>
              <w:rPr>
                <w:rFonts w:ascii="Calibri" w:hAnsi="Calibri"/>
                <w:b w:val="0"/>
                <w:i w:val="0"/>
                <w:sz w:val="20"/>
              </w:rPr>
              <w:t>12.5%</w:t>
            </w:r>
          </w:p>
        </w:tc>
        <w:tc>
          <w:tcPr>
            <w:tcW w:type="dxa" w:w="1728"/>
          </w:tcPr>
          <w:p>
            <w:r/>
            <w:r>
              <w:rPr>
                <w:rFonts w:ascii="Calibri" w:hAnsi="Calibri"/>
                <w:b w:val="0"/>
                <w:i w:val="0"/>
                <w:sz w:val="20"/>
              </w:rPr>
              <w:t>0.8322</w:t>
            </w:r>
          </w:p>
        </w:tc>
      </w:tr>
      <w:tr>
        <w:tc>
          <w:tcPr>
            <w:tcW w:type="dxa" w:w="1728"/>
          </w:tcPr>
          <w:p>
            <w:r/>
            <w:r>
              <w:rPr>
                <w:rFonts w:ascii="Calibri" w:hAnsi="Calibri"/>
                <w:b w:val="0"/>
                <w:i w:val="0"/>
                <w:sz w:val="20"/>
              </w:rPr>
              <w:t>SVM</w:t>
            </w:r>
          </w:p>
        </w:tc>
        <w:tc>
          <w:tcPr>
            <w:tcW w:type="dxa" w:w="1728"/>
          </w:tcPr>
          <w:p>
            <w:r/>
            <w:r>
              <w:rPr>
                <w:rFonts w:ascii="Calibri" w:hAnsi="Calibri"/>
                <w:b w:val="0"/>
                <w:i w:val="0"/>
                <w:sz w:val="20"/>
              </w:rPr>
              <w:t>0.34</w:t>
            </w:r>
          </w:p>
        </w:tc>
        <w:tc>
          <w:tcPr>
            <w:tcW w:type="dxa" w:w="1728"/>
          </w:tcPr>
          <w:p>
            <w:r/>
            <w:r>
              <w:rPr>
                <w:rFonts w:ascii="Calibri" w:hAnsi="Calibri"/>
                <w:b w:val="0"/>
                <w:i w:val="0"/>
                <w:sz w:val="20"/>
              </w:rPr>
              <w:t>100%</w:t>
            </w:r>
          </w:p>
        </w:tc>
        <w:tc>
          <w:tcPr>
            <w:tcW w:type="dxa" w:w="1728"/>
          </w:tcPr>
          <w:p>
            <w:r/>
            <w:r>
              <w:rPr>
                <w:rFonts w:ascii="Calibri" w:hAnsi="Calibri"/>
                <w:b w:val="0"/>
                <w:i w:val="0"/>
                <w:sz w:val="20"/>
              </w:rPr>
              <w:t>12.5%</w:t>
            </w:r>
          </w:p>
        </w:tc>
        <w:tc>
          <w:tcPr>
            <w:tcW w:type="dxa" w:w="1728"/>
          </w:tcPr>
          <w:p>
            <w:r/>
            <w:r>
              <w:rPr>
                <w:rFonts w:ascii="Calibri" w:hAnsi="Calibri"/>
                <w:b w:val="0"/>
                <w:i w:val="0"/>
                <w:sz w:val="20"/>
              </w:rPr>
              <w:t>0.8586</w:t>
            </w:r>
          </w:p>
        </w:tc>
      </w:tr>
    </w:tbl>
    <w:p>
      <w:r>
        <w:rPr>
          <w:rFonts w:ascii="Calibri" w:hAnsi="Calibri"/>
          <w:b w:val="0"/>
          <w:i w:val="0"/>
          <w:sz w:val="22"/>
        </w:rPr>
        <w:t>SVM retains the highest AUROC across all four models. Model selection confirmed correct.</w:t>
      </w:r>
    </w:p>
    <w:p>
      <w:pPr>
        <w:pStyle w:val="Heading2"/>
      </w:pPr>
      <w:r>
        <w:rPr>
          <w:rFonts w:ascii="Calibri" w:hAnsi="Calibri"/>
          <w:color w:val="1B3A5C"/>
        </w:rPr>
        <w:t>4b.4 Threshold Recalibration (Youden’s J)</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Metric</w:t>
            </w:r>
          </w:p>
        </w:tc>
        <w:tc>
          <w:tcPr>
            <w:tcW w:type="dxa" w:w="2880"/>
          </w:tcPr>
          <w:p>
            <w:r/>
            <w:r>
              <w:rPr>
                <w:rFonts w:ascii="Calibri" w:hAnsi="Calibri"/>
                <w:b/>
                <w:i w:val="0"/>
                <w:sz w:val="20"/>
              </w:rPr>
              <w:t>Fixed Threshold (0.34)</w:t>
            </w:r>
          </w:p>
        </w:tc>
        <w:tc>
          <w:tcPr>
            <w:tcW w:type="dxa" w:w="2880"/>
          </w:tcPr>
          <w:p>
            <w:r/>
            <w:r>
              <w:rPr>
                <w:rFonts w:ascii="Calibri" w:hAnsi="Calibri"/>
                <w:b/>
                <w:i w:val="0"/>
                <w:sz w:val="20"/>
              </w:rPr>
              <w:t>Recalibrated (0.8424)</w:t>
            </w:r>
          </w:p>
        </w:tc>
      </w:tr>
      <w:tr>
        <w:tc>
          <w:tcPr>
            <w:tcW w:type="dxa" w:w="2880"/>
          </w:tcPr>
          <w:p>
            <w:r/>
            <w:r>
              <w:rPr>
                <w:rFonts w:ascii="Calibri" w:hAnsi="Calibri"/>
                <w:b w:val="0"/>
                <w:i w:val="0"/>
                <w:sz w:val="20"/>
              </w:rPr>
              <w:t>Sensitivity</w:t>
            </w:r>
          </w:p>
        </w:tc>
        <w:tc>
          <w:tcPr>
            <w:tcW w:type="dxa" w:w="2880"/>
          </w:tcPr>
          <w:p>
            <w:r/>
            <w:r>
              <w:rPr>
                <w:rFonts w:ascii="Calibri" w:hAnsi="Calibri"/>
                <w:b w:val="0"/>
                <w:i w:val="0"/>
                <w:sz w:val="20"/>
              </w:rPr>
              <w:t>100%</w:t>
            </w:r>
          </w:p>
        </w:tc>
        <w:tc>
          <w:tcPr>
            <w:tcW w:type="dxa" w:w="2880"/>
          </w:tcPr>
          <w:p>
            <w:r/>
            <w:r>
              <w:rPr>
                <w:rFonts w:ascii="Calibri" w:hAnsi="Calibri"/>
                <w:b w:val="0"/>
                <w:i w:val="0"/>
                <w:sz w:val="20"/>
              </w:rPr>
              <w:t>73.7%</w:t>
            </w:r>
          </w:p>
        </w:tc>
      </w:tr>
      <w:tr>
        <w:tc>
          <w:tcPr>
            <w:tcW w:type="dxa" w:w="2880"/>
          </w:tcPr>
          <w:p>
            <w:r/>
            <w:r>
              <w:rPr>
                <w:rFonts w:ascii="Calibri" w:hAnsi="Calibri"/>
                <w:b w:val="0"/>
                <w:i w:val="0"/>
                <w:sz w:val="20"/>
              </w:rPr>
              <w:t>Specificity</w:t>
            </w:r>
          </w:p>
        </w:tc>
        <w:tc>
          <w:tcPr>
            <w:tcW w:type="dxa" w:w="2880"/>
          </w:tcPr>
          <w:p>
            <w:r/>
            <w:r>
              <w:rPr>
                <w:rFonts w:ascii="Calibri" w:hAnsi="Calibri"/>
                <w:b w:val="0"/>
                <w:i w:val="0"/>
                <w:sz w:val="20"/>
              </w:rPr>
              <w:t>12.5%</w:t>
            </w:r>
          </w:p>
        </w:tc>
        <w:tc>
          <w:tcPr>
            <w:tcW w:type="dxa" w:w="2880"/>
          </w:tcPr>
          <w:p>
            <w:r/>
            <w:r>
              <w:rPr>
                <w:rFonts w:ascii="Calibri" w:hAnsi="Calibri"/>
                <w:b w:val="0"/>
                <w:i w:val="0"/>
                <w:sz w:val="20"/>
              </w:rPr>
              <w:t>93.8%</w:t>
            </w:r>
          </w:p>
        </w:tc>
      </w:tr>
      <w:tr>
        <w:tc>
          <w:tcPr>
            <w:tcW w:type="dxa" w:w="2880"/>
          </w:tcPr>
          <w:p>
            <w:r/>
            <w:r>
              <w:rPr>
                <w:rFonts w:ascii="Calibri" w:hAnsi="Calibri"/>
                <w:b w:val="0"/>
                <w:i w:val="0"/>
                <w:sz w:val="20"/>
              </w:rPr>
              <w:t>F1</w:t>
            </w:r>
          </w:p>
        </w:tc>
        <w:tc>
          <w:tcPr>
            <w:tcW w:type="dxa" w:w="2880"/>
          </w:tcPr>
          <w:p>
            <w:r/>
            <w:r>
              <w:rPr>
                <w:rFonts w:ascii="Calibri" w:hAnsi="Calibri"/>
                <w:b w:val="0"/>
                <w:i w:val="0"/>
                <w:sz w:val="20"/>
              </w:rPr>
              <w:t>0.7308</w:t>
            </w:r>
          </w:p>
        </w:tc>
        <w:tc>
          <w:tcPr>
            <w:tcW w:type="dxa" w:w="2880"/>
          </w:tcPr>
          <w:p>
            <w:r/>
            <w:r>
              <w:rPr>
                <w:rFonts w:ascii="Calibri" w:hAnsi="Calibri"/>
                <w:b w:val="0"/>
                <w:i w:val="0"/>
                <w:sz w:val="20"/>
              </w:rPr>
              <w:t>0.8235</w:t>
            </w:r>
          </w:p>
        </w:tc>
      </w:tr>
    </w:tbl>
    <w:p>
      <w:r>
        <w:rPr>
          <w:rFonts w:ascii="Calibri" w:hAnsi="Calibri"/>
          <w:b w:val="0"/>
          <w:i w:val="0"/>
          <w:sz w:val="22"/>
        </w:rPr>
        <w:t>Specificity recovers from 12.5% to 93.8% with a domain-adapted threshold. The gap between 0.34 and 0.8424 quantifies the magnitude of the modality shift. The threshold was optimised on the same 35 subjects, so stress testing is required.</w:t>
      </w:r>
    </w:p>
    <w:p>
      <w:pPr>
        <w:jc w:val="center"/>
      </w:pPr>
      <w:r>
        <w:drawing>
          <wp:inline xmlns:a="http://schemas.openxmlformats.org/drawingml/2006/main" xmlns:pic="http://schemas.openxmlformats.org/drawingml/2006/picture">
            <wp:extent cx="5029200" cy="3050020"/>
            <wp:docPr id="13" name="Picture 13"/>
            <wp:cNvGraphicFramePr>
              <a:graphicFrameLocks noChangeAspect="1"/>
            </wp:cNvGraphicFramePr>
            <a:graphic>
              <a:graphicData uri="http://schemas.openxmlformats.org/drawingml/2006/picture">
                <pic:pic>
                  <pic:nvPicPr>
                    <pic:cNvPr id="0" name="threshold_recalibration_2026.png"/>
                    <pic:cNvPicPr/>
                  </pic:nvPicPr>
                  <pic:blipFill>
                    <a:blip r:embed="rId22"/>
                    <a:stretch>
                      <a:fillRect/>
                    </a:stretch>
                  </pic:blipFill>
                  <pic:spPr>
                    <a:xfrm>
                      <a:off x="0" y="0"/>
                      <a:ext cx="5029200" cy="3050020"/>
                    </a:xfrm>
                    <a:prstGeom prst="rect"/>
                  </pic:spPr>
                </pic:pic>
              </a:graphicData>
            </a:graphic>
          </wp:inline>
        </w:drawing>
      </w:r>
    </w:p>
    <w:p>
      <w:pPr>
        <w:jc w:val="center"/>
      </w:pPr>
      <w:r>
        <w:rPr>
          <w:rFonts w:ascii="Calibri" w:hAnsi="Calibri"/>
          <w:b w:val="0"/>
          <w:i/>
          <w:color w:val="555555"/>
          <w:sz w:val="18"/>
        </w:rPr>
        <w:t>Figure 12. ROC curve for SVM on MIMIC PERform AF. Youden’s J optimal threshold (0.8424) marked, showing specificity recovery from 12.5% to 93.8%.</w:t>
      </w:r>
    </w:p>
    <w:p>
      <w:pPr>
        <w:pStyle w:val="Heading2"/>
      </w:pPr>
      <w:r>
        <w:rPr>
          <w:rFonts w:ascii="Calibri" w:hAnsi="Calibri"/>
          <w:color w:val="1B3A5C"/>
        </w:rPr>
        <w:t>4b.5 Stress Testing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Test</w:t>
            </w:r>
          </w:p>
        </w:tc>
        <w:tc>
          <w:tcPr>
            <w:tcW w:type="dxa" w:w="2880"/>
          </w:tcPr>
          <w:p>
            <w:r/>
            <w:r>
              <w:rPr>
                <w:rFonts w:ascii="Calibri" w:hAnsi="Calibri"/>
                <w:b/>
                <w:i w:val="0"/>
                <w:sz w:val="20"/>
              </w:rPr>
              <w:t>Metric</w:t>
            </w:r>
          </w:p>
        </w:tc>
        <w:tc>
          <w:tcPr>
            <w:tcW w:type="dxa" w:w="2880"/>
          </w:tcPr>
          <w:p>
            <w:r/>
            <w:r>
              <w:rPr>
                <w:rFonts w:ascii="Calibri" w:hAnsi="Calibri"/>
                <w:b/>
                <w:i w:val="0"/>
                <w:sz w:val="20"/>
              </w:rPr>
              <w:t>Result</w:t>
            </w:r>
          </w:p>
        </w:tc>
      </w:tr>
      <w:tr>
        <w:tc>
          <w:tcPr>
            <w:tcW w:type="dxa" w:w="2880"/>
          </w:tcPr>
          <w:p>
            <w:r/>
            <w:r>
              <w:rPr>
                <w:rFonts w:ascii="Calibri" w:hAnsi="Calibri"/>
                <w:b w:val="0"/>
                <w:i w:val="0"/>
                <w:sz w:val="20"/>
              </w:rPr>
              <w:t>Bootstrap AUROC (n=1000)</w:t>
            </w:r>
          </w:p>
        </w:tc>
        <w:tc>
          <w:tcPr>
            <w:tcW w:type="dxa" w:w="2880"/>
          </w:tcPr>
          <w:p>
            <w:r/>
            <w:r>
              <w:rPr>
                <w:rFonts w:ascii="Calibri" w:hAnsi="Calibri"/>
                <w:b w:val="0"/>
                <w:i w:val="0"/>
                <w:sz w:val="20"/>
              </w:rPr>
              <w:t>Mean [95% CI]</w:t>
            </w:r>
          </w:p>
        </w:tc>
        <w:tc>
          <w:tcPr>
            <w:tcW w:type="dxa" w:w="2880"/>
          </w:tcPr>
          <w:p>
            <w:r/>
            <w:r>
              <w:rPr>
                <w:rFonts w:ascii="Calibri" w:hAnsi="Calibri"/>
                <w:b w:val="0"/>
                <w:i w:val="0"/>
                <w:sz w:val="20"/>
              </w:rPr>
              <w:t>0.8631 [0.7246, 0.9720]</w:t>
            </w:r>
          </w:p>
        </w:tc>
      </w:tr>
      <w:tr>
        <w:tc>
          <w:tcPr>
            <w:tcW w:type="dxa" w:w="2880"/>
          </w:tcPr>
          <w:p>
            <w:r/>
            <w:r>
              <w:rPr>
                <w:rFonts w:ascii="Calibri" w:hAnsi="Calibri"/>
                <w:b w:val="0"/>
                <w:i w:val="0"/>
                <w:sz w:val="20"/>
              </w:rPr>
              <w:t>Bootstrap Recalibrated Sens</w:t>
            </w:r>
          </w:p>
        </w:tc>
        <w:tc>
          <w:tcPr>
            <w:tcW w:type="dxa" w:w="2880"/>
          </w:tcPr>
          <w:p>
            <w:r/>
            <w:r>
              <w:rPr>
                <w:rFonts w:ascii="Calibri" w:hAnsi="Calibri"/>
                <w:b w:val="0"/>
                <w:i w:val="0"/>
                <w:sz w:val="20"/>
              </w:rPr>
              <w:t>Mean [95% CI]</w:t>
            </w:r>
          </w:p>
        </w:tc>
        <w:tc>
          <w:tcPr>
            <w:tcW w:type="dxa" w:w="2880"/>
          </w:tcPr>
          <w:p>
            <w:r/>
            <w:r>
              <w:rPr>
                <w:rFonts w:ascii="Calibri" w:hAnsi="Calibri"/>
                <w:b w:val="0"/>
                <w:i w:val="0"/>
                <w:sz w:val="20"/>
              </w:rPr>
              <w:t>80.6% [57.1%, 100.0%]</w:t>
            </w:r>
          </w:p>
        </w:tc>
      </w:tr>
      <w:tr>
        <w:tc>
          <w:tcPr>
            <w:tcW w:type="dxa" w:w="2880"/>
          </w:tcPr>
          <w:p>
            <w:r/>
            <w:r>
              <w:rPr>
                <w:rFonts w:ascii="Calibri" w:hAnsi="Calibri"/>
                <w:b w:val="0"/>
                <w:i w:val="0"/>
                <w:sz w:val="20"/>
              </w:rPr>
              <w:t>Bootstrap Recalibrated Spec</w:t>
            </w:r>
          </w:p>
        </w:tc>
        <w:tc>
          <w:tcPr>
            <w:tcW w:type="dxa" w:w="2880"/>
          </w:tcPr>
          <w:p>
            <w:r/>
            <w:r>
              <w:rPr>
                <w:rFonts w:ascii="Calibri" w:hAnsi="Calibri"/>
                <w:b w:val="0"/>
                <w:i w:val="0"/>
                <w:sz w:val="20"/>
              </w:rPr>
              <w:t>Mean [95% CI]</w:t>
            </w:r>
          </w:p>
        </w:tc>
        <w:tc>
          <w:tcPr>
            <w:tcW w:type="dxa" w:w="2880"/>
          </w:tcPr>
          <w:p>
            <w:r/>
            <w:r>
              <w:rPr>
                <w:rFonts w:ascii="Calibri" w:hAnsi="Calibri"/>
                <w:b w:val="0"/>
                <w:i w:val="0"/>
                <w:sz w:val="20"/>
              </w:rPr>
              <w:t>91.3% [72.7%, 100.0%]</w:t>
            </w:r>
          </w:p>
        </w:tc>
      </w:tr>
      <w:tr>
        <w:tc>
          <w:tcPr>
            <w:tcW w:type="dxa" w:w="2880"/>
          </w:tcPr>
          <w:p>
            <w:r/>
            <w:r>
              <w:rPr>
                <w:rFonts w:ascii="Calibri" w:hAnsi="Calibri"/>
                <w:b w:val="0"/>
                <w:i w:val="0"/>
                <w:sz w:val="20"/>
              </w:rPr>
              <w:t>LOOCV Youden’s J</w:t>
            </w:r>
          </w:p>
        </w:tc>
        <w:tc>
          <w:tcPr>
            <w:tcW w:type="dxa" w:w="2880"/>
          </w:tcPr>
          <w:p>
            <w:r/>
            <w:r>
              <w:rPr>
                <w:rFonts w:ascii="Calibri" w:hAnsi="Calibri"/>
                <w:b w:val="0"/>
                <w:i w:val="0"/>
                <w:sz w:val="20"/>
              </w:rPr>
              <w:t>Sens / Spec</w:t>
            </w:r>
          </w:p>
        </w:tc>
        <w:tc>
          <w:tcPr>
            <w:tcW w:type="dxa" w:w="2880"/>
          </w:tcPr>
          <w:p>
            <w:r/>
            <w:r>
              <w:rPr>
                <w:rFonts w:ascii="Calibri" w:hAnsi="Calibri"/>
                <w:b w:val="0"/>
                <w:i w:val="0"/>
                <w:sz w:val="20"/>
              </w:rPr>
              <w:t>68.4% / 81.2%</w:t>
            </w:r>
          </w:p>
        </w:tc>
      </w:tr>
      <w:tr>
        <w:tc>
          <w:tcPr>
            <w:tcW w:type="dxa" w:w="2880"/>
          </w:tcPr>
          <w:p>
            <w:r/>
            <w:r>
              <w:rPr>
                <w:rFonts w:ascii="Calibri" w:hAnsi="Calibri"/>
                <w:b w:val="0"/>
                <w:i w:val="0"/>
                <w:sz w:val="20"/>
              </w:rPr>
              <w:t>Sensitivity-Targeted LOOCV</w:t>
            </w:r>
          </w:p>
        </w:tc>
        <w:tc>
          <w:tcPr>
            <w:tcW w:type="dxa" w:w="2880"/>
          </w:tcPr>
          <w:p>
            <w:r/>
            <w:r>
              <w:rPr>
                <w:rFonts w:ascii="Calibri" w:hAnsi="Calibri"/>
                <w:b w:val="0"/>
                <w:i w:val="0"/>
                <w:sz w:val="20"/>
              </w:rPr>
              <w:t>Sens / Spec</w:t>
            </w:r>
          </w:p>
        </w:tc>
        <w:tc>
          <w:tcPr>
            <w:tcW w:type="dxa" w:w="2880"/>
          </w:tcPr>
          <w:p>
            <w:r/>
            <w:r>
              <w:rPr>
                <w:rFonts w:ascii="Calibri" w:hAnsi="Calibri"/>
                <w:b w:val="0"/>
                <w:i w:val="0"/>
                <w:sz w:val="20"/>
              </w:rPr>
              <w:t>78.9% / 81.2%</w:t>
            </w:r>
          </w:p>
        </w:tc>
      </w:tr>
    </w:tbl>
    <w:p>
      <w:r>
        <w:rPr>
          <w:rFonts w:ascii="Calibri" w:hAnsi="Calibri"/>
          <w:b w:val="0"/>
          <w:i w:val="0"/>
          <w:sz w:val="22"/>
        </w:rPr>
        <w:t>AUROC lower bound 0.7246 confirms discriminative signal persists even in unlucky bootstrap resamples. LOOCV specificity (81.2%) clears the pre-registered 75% criterion in both methods. Sensitivity-targeted LOOCV achieves 78.9% sensitivity — 1.1 percentage points below the 80% criterion, consistent with N=19 AF leave-one-out variance.</w:t>
      </w:r>
    </w:p>
    <w:p>
      <w:pPr>
        <w:jc w:val="center"/>
      </w:pPr>
      <w:r>
        <w:drawing>
          <wp:inline xmlns:a="http://schemas.openxmlformats.org/drawingml/2006/main" xmlns:pic="http://schemas.openxmlformats.org/drawingml/2006/picture">
            <wp:extent cx="5029200" cy="1636187"/>
            <wp:docPr id="14" name="Picture 14"/>
            <wp:cNvGraphicFramePr>
              <a:graphicFrameLocks noChangeAspect="1"/>
            </wp:cNvGraphicFramePr>
            <a:graphic>
              <a:graphicData uri="http://schemas.openxmlformats.org/drawingml/2006/picture">
                <pic:pic>
                  <pic:nvPicPr>
                    <pic:cNvPr id="0" name="bootstrap_auroc_distribution_2026.png"/>
                    <pic:cNvPicPr/>
                  </pic:nvPicPr>
                  <pic:blipFill>
                    <a:blip r:embed="rId23"/>
                    <a:stretch>
                      <a:fillRect/>
                    </a:stretch>
                  </pic:blipFill>
                  <pic:spPr>
                    <a:xfrm>
                      <a:off x="0" y="0"/>
                      <a:ext cx="5029200" cy="1636187"/>
                    </a:xfrm>
                    <a:prstGeom prst="rect"/>
                  </pic:spPr>
                </pic:pic>
              </a:graphicData>
            </a:graphic>
          </wp:inline>
        </w:drawing>
      </w:r>
    </w:p>
    <w:p>
      <w:pPr>
        <w:jc w:val="center"/>
      </w:pPr>
      <w:r>
        <w:rPr>
          <w:rFonts w:ascii="Calibri" w:hAnsi="Calibri"/>
          <w:b w:val="0"/>
          <w:i/>
          <w:color w:val="555555"/>
          <w:sz w:val="18"/>
        </w:rPr>
        <w:t>Figure 13. Bootstrap AUROC distribution (n=1000 resamples) for SVM on MIMIC PERform AF. Mean 0.8631, 95% CI [0.7246, 0.9720].</w:t>
      </w:r>
    </w:p>
    <w:p>
      <w:pPr>
        <w:jc w:val="center"/>
      </w:pPr>
      <w:r>
        <w:drawing>
          <wp:inline xmlns:a="http://schemas.openxmlformats.org/drawingml/2006/main" xmlns:pic="http://schemas.openxmlformats.org/drawingml/2006/picture">
            <wp:extent cx="5029200" cy="3049141"/>
            <wp:docPr id="15" name="Picture 15"/>
            <wp:cNvGraphicFramePr>
              <a:graphicFrameLocks noChangeAspect="1"/>
            </wp:cNvGraphicFramePr>
            <a:graphic>
              <a:graphicData uri="http://schemas.openxmlformats.org/drawingml/2006/picture">
                <pic:pic>
                  <pic:nvPicPr>
                    <pic:cNvPr id="0" name="loocv_comparison_2026.png"/>
                    <pic:cNvPicPr/>
                  </pic:nvPicPr>
                  <pic:blipFill>
                    <a:blip r:embed="rId24"/>
                    <a:stretch>
                      <a:fillRect/>
                    </a:stretch>
                  </pic:blipFill>
                  <pic:spPr>
                    <a:xfrm>
                      <a:off x="0" y="0"/>
                      <a:ext cx="5029200" cy="3049141"/>
                    </a:xfrm>
                    <a:prstGeom prst="rect"/>
                  </pic:spPr>
                </pic:pic>
              </a:graphicData>
            </a:graphic>
          </wp:inline>
        </w:drawing>
      </w:r>
    </w:p>
    <w:p>
      <w:pPr>
        <w:jc w:val="center"/>
      </w:pPr>
      <w:r>
        <w:rPr>
          <w:rFonts w:ascii="Calibri" w:hAnsi="Calibri"/>
          <w:b w:val="0"/>
          <w:i/>
          <w:color w:val="555555"/>
          <w:sz w:val="18"/>
        </w:rPr>
        <w:t>Figure 14. Comparison of Youden’s J LOOCV and Sensitivity-Targeted LOOCV. Sensitivity improves 10.5pp with no specificity cost under the sensitivity-first threshold criterion.</w:t>
      </w:r>
    </w:p>
    <w:p>
      <w:r>
        <w:br w:type="page"/>
      </w:r>
    </w:p>
    <w:p>
      <w:pPr>
        <w:pStyle w:val="Heading1"/>
      </w:pPr>
      <w:r>
        <w:rPr>
          <w:rFonts w:ascii="Calibri" w:hAnsi="Calibri"/>
          <w:color w:val="1B3A5C"/>
        </w:rPr>
        <w:t>4c. BeatCheck — Cardiac Screening Proof-of-Concept App</w:t>
      </w:r>
    </w:p>
    <w:p>
      <w:r>
        <w:rPr>
          <w:rFonts w:ascii="Calibri" w:hAnsi="Calibri"/>
          <w:b w:val="0"/>
          <w:i w:val="0"/>
          <w:sz w:val="22"/>
        </w:rPr>
        <w:t>BeatCheck is a consumer-facing web application that applies the trained SVM model to Apple Health heart rate exports, demonstrating the research pipeline in a deployable format. It is a screening tool — not a diagnostic device — and directs users toward clinical evaluation rather than providing a diagnosis.</w:t>
      </w:r>
    </w:p>
    <w:p>
      <w:pPr>
        <w:pStyle w:val="Heading2"/>
      </w:pPr>
      <w:r>
        <w:rPr>
          <w:rFonts w:ascii="Calibri" w:hAnsi="Calibri"/>
          <w:color w:val="1B3A5C"/>
        </w:rPr>
        <w:t>4c.1 Technical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Component</w:t>
            </w:r>
          </w:p>
        </w:tc>
        <w:tc>
          <w:tcPr>
            <w:tcW w:type="dxa" w:w="2880"/>
          </w:tcPr>
          <w:p>
            <w:r/>
            <w:r>
              <w:rPr>
                <w:rFonts w:ascii="Calibri" w:hAnsi="Calibri"/>
                <w:b/>
                <w:i w:val="0"/>
                <w:sz w:val="20"/>
              </w:rPr>
              <w:t>Technology</w:t>
            </w:r>
          </w:p>
        </w:tc>
        <w:tc>
          <w:tcPr>
            <w:tcW w:type="dxa" w:w="2880"/>
          </w:tcPr>
          <w:p>
            <w:r/>
            <w:r>
              <w:rPr>
                <w:rFonts w:ascii="Calibri" w:hAnsi="Calibri"/>
                <w:b/>
                <w:i w:val="0"/>
                <w:sz w:val="20"/>
              </w:rPr>
              <w:t>Notes</w:t>
            </w:r>
          </w:p>
        </w:tc>
      </w:tr>
      <w:tr>
        <w:tc>
          <w:tcPr>
            <w:tcW w:type="dxa" w:w="2880"/>
          </w:tcPr>
          <w:p>
            <w:r/>
            <w:r>
              <w:rPr>
                <w:rFonts w:ascii="Calibri" w:hAnsi="Calibri"/>
                <w:b w:val="0"/>
                <w:i w:val="0"/>
                <w:sz w:val="20"/>
              </w:rPr>
              <w:t>Backend</w:t>
            </w:r>
          </w:p>
        </w:tc>
        <w:tc>
          <w:tcPr>
            <w:tcW w:type="dxa" w:w="2880"/>
          </w:tcPr>
          <w:p>
            <w:r/>
            <w:r>
              <w:rPr>
                <w:rFonts w:ascii="Calibri" w:hAnsi="Calibri"/>
                <w:b w:val="0"/>
                <w:i w:val="0"/>
                <w:sz w:val="20"/>
              </w:rPr>
              <w:t>FastAPI (Python)</w:t>
            </w:r>
          </w:p>
        </w:tc>
        <w:tc>
          <w:tcPr>
            <w:tcW w:type="dxa" w:w="2880"/>
          </w:tcPr>
          <w:p>
            <w:r/>
            <w:r>
              <w:rPr>
                <w:rFonts w:ascii="Calibri" w:hAnsi="Calibri"/>
                <w:b w:val="0"/>
                <w:i w:val="0"/>
                <w:sz w:val="20"/>
              </w:rPr>
              <w:t>Serves model inference via REST API</w:t>
            </w:r>
          </w:p>
        </w:tc>
      </w:tr>
      <w:tr>
        <w:tc>
          <w:tcPr>
            <w:tcW w:type="dxa" w:w="2880"/>
          </w:tcPr>
          <w:p>
            <w:r/>
            <w:r>
              <w:rPr>
                <w:rFonts w:ascii="Calibri" w:hAnsi="Calibri"/>
                <w:b w:val="0"/>
                <w:i w:val="0"/>
                <w:sz w:val="20"/>
              </w:rPr>
              <w:t>Frontend</w:t>
            </w:r>
          </w:p>
        </w:tc>
        <w:tc>
          <w:tcPr>
            <w:tcW w:type="dxa" w:w="2880"/>
          </w:tcPr>
          <w:p>
            <w:r/>
            <w:r>
              <w:rPr>
                <w:rFonts w:ascii="Calibri" w:hAnsi="Calibri"/>
                <w:b w:val="0"/>
                <w:i w:val="0"/>
                <w:sz w:val="20"/>
              </w:rPr>
              <w:t>Plain HTML/CSS/JavaScript</w:t>
            </w:r>
          </w:p>
        </w:tc>
        <w:tc>
          <w:tcPr>
            <w:tcW w:type="dxa" w:w="2880"/>
          </w:tcPr>
          <w:p>
            <w:r/>
            <w:r>
              <w:rPr>
                <w:rFonts w:ascii="Calibri" w:hAnsi="Calibri"/>
                <w:b w:val="0"/>
                <w:i w:val="0"/>
                <w:sz w:val="20"/>
              </w:rPr>
              <w:t>No framework dependencies</w:t>
            </w:r>
          </w:p>
        </w:tc>
      </w:tr>
      <w:tr>
        <w:tc>
          <w:tcPr>
            <w:tcW w:type="dxa" w:w="2880"/>
          </w:tcPr>
          <w:p>
            <w:r/>
            <w:r>
              <w:rPr>
                <w:rFonts w:ascii="Calibri" w:hAnsi="Calibri"/>
                <w:b w:val="0"/>
                <w:i w:val="0"/>
                <w:sz w:val="20"/>
              </w:rPr>
              <w:t>ML inference</w:t>
            </w:r>
          </w:p>
        </w:tc>
        <w:tc>
          <w:tcPr>
            <w:tcW w:type="dxa" w:w="2880"/>
          </w:tcPr>
          <w:p>
            <w:r/>
            <w:r>
              <w:rPr>
                <w:rFonts w:ascii="Calibri" w:hAnsi="Calibri"/>
                <w:b w:val="0"/>
                <w:i w:val="0"/>
                <w:sz w:val="20"/>
              </w:rPr>
              <w:t>scikit-learn SVM + StandardScaler</w:t>
            </w:r>
          </w:p>
        </w:tc>
        <w:tc>
          <w:tcPr>
            <w:tcW w:type="dxa" w:w="2880"/>
          </w:tcPr>
          <w:p>
            <w:r/>
            <w:r>
              <w:rPr>
                <w:rFonts w:ascii="Calibri" w:hAnsi="Calibri"/>
                <w:b w:val="0"/>
                <w:i w:val="0"/>
                <w:sz w:val="20"/>
              </w:rPr>
              <w:t>Loaded from .joblib at startup</w:t>
            </w:r>
          </w:p>
        </w:tc>
      </w:tr>
      <w:tr>
        <w:tc>
          <w:tcPr>
            <w:tcW w:type="dxa" w:w="2880"/>
          </w:tcPr>
          <w:p>
            <w:r/>
            <w:r>
              <w:rPr>
                <w:rFonts w:ascii="Calibri" w:hAnsi="Calibri"/>
                <w:b w:val="0"/>
                <w:i w:val="0"/>
                <w:sz w:val="20"/>
              </w:rPr>
              <w:t>Input formats</w:t>
            </w:r>
          </w:p>
        </w:tc>
        <w:tc>
          <w:tcPr>
            <w:tcW w:type="dxa" w:w="2880"/>
          </w:tcPr>
          <w:p>
            <w:r/>
            <w:r>
              <w:rPr>
                <w:rFonts w:ascii="Calibri" w:hAnsi="Calibri"/>
                <w:b w:val="0"/>
                <w:i w:val="0"/>
                <w:sz w:val="20"/>
              </w:rPr>
              <w:t>Apple Health CSV, XML</w:t>
            </w:r>
          </w:p>
        </w:tc>
        <w:tc>
          <w:tcPr>
            <w:tcW w:type="dxa" w:w="2880"/>
          </w:tcPr>
          <w:p>
            <w:r/>
            <w:r>
              <w:rPr>
                <w:rFonts w:ascii="Calibri" w:hAnsi="Calibri"/>
                <w:b w:val="0"/>
                <w:i w:val="0"/>
                <w:sz w:val="20"/>
              </w:rPr>
              <w:t>ZIP upload removed from UI</w:t>
            </w:r>
          </w:p>
        </w:tc>
      </w:tr>
      <w:tr>
        <w:tc>
          <w:tcPr>
            <w:tcW w:type="dxa" w:w="2880"/>
          </w:tcPr>
          <w:p>
            <w:r/>
            <w:r>
              <w:rPr>
                <w:rFonts w:ascii="Calibri" w:hAnsi="Calibri"/>
                <w:b w:val="0"/>
                <w:i w:val="0"/>
                <w:sz w:val="20"/>
              </w:rPr>
              <w:t>Large file handling</w:t>
            </w:r>
          </w:p>
        </w:tc>
        <w:tc>
          <w:tcPr>
            <w:tcW w:type="dxa" w:w="2880"/>
          </w:tcPr>
          <w:p>
            <w:r/>
            <w:r>
              <w:rPr>
                <w:rFonts w:ascii="Calibri" w:hAnsi="Calibri"/>
                <w:b w:val="0"/>
                <w:i w:val="0"/>
                <w:sz w:val="20"/>
              </w:rPr>
              <w:t>Client-side JavaScript streaming</w:t>
            </w:r>
          </w:p>
        </w:tc>
        <w:tc>
          <w:tcPr>
            <w:tcW w:type="dxa" w:w="2880"/>
          </w:tcPr>
          <w:p>
            <w:r/>
            <w:r>
              <w:rPr>
                <w:rFonts w:ascii="Calibri" w:hAnsi="Calibri"/>
                <w:b w:val="0"/>
                <w:i w:val="0"/>
                <w:sz w:val="20"/>
              </w:rPr>
              <w:t>Full XML never transmitted</w:t>
            </w:r>
          </w:p>
        </w:tc>
      </w:tr>
      <w:tr>
        <w:tc>
          <w:tcPr>
            <w:tcW w:type="dxa" w:w="2880"/>
          </w:tcPr>
          <w:p>
            <w:r/>
            <w:r>
              <w:rPr>
                <w:rFonts w:ascii="Calibri" w:hAnsi="Calibri"/>
                <w:b w:val="0"/>
                <w:i w:val="0"/>
                <w:sz w:val="20"/>
              </w:rPr>
              <w:t>Data window</w:t>
            </w:r>
          </w:p>
        </w:tc>
        <w:tc>
          <w:tcPr>
            <w:tcW w:type="dxa" w:w="2880"/>
          </w:tcPr>
          <w:p>
            <w:r/>
            <w:r>
              <w:rPr>
                <w:rFonts w:ascii="Calibri" w:hAnsi="Calibri"/>
                <w:b w:val="0"/>
                <w:i w:val="0"/>
                <w:sz w:val="20"/>
              </w:rPr>
              <w:t>Most recent 90 days</w:t>
            </w:r>
          </w:p>
        </w:tc>
        <w:tc>
          <w:tcPr>
            <w:tcW w:type="dxa" w:w="2880"/>
          </w:tcPr>
          <w:p>
            <w:r/>
            <w:r>
              <w:rPr>
                <w:rFonts w:ascii="Calibri" w:hAnsi="Calibri"/>
                <w:b w:val="0"/>
                <w:i w:val="0"/>
                <w:sz w:val="20"/>
              </w:rPr>
              <w:t>Client-side filter before upload</w:t>
            </w:r>
          </w:p>
        </w:tc>
      </w:tr>
    </w:tbl>
    <w:p>
      <w:pPr>
        <w:pStyle w:val="Heading2"/>
      </w:pPr>
      <w:r>
        <w:rPr>
          <w:rFonts w:ascii="Calibri" w:hAnsi="Calibri"/>
          <w:color w:val="1B3A5C"/>
        </w:rPr>
        <w:t>4c.2 Processing Pipeline</w:t>
      </w:r>
    </w:p>
    <w:p>
      <w:r>
        <w:rPr>
          <w:rFonts w:ascii="Calibri" w:hAnsi="Calibri"/>
          <w:b w:val="0"/>
          <w:i w:val="0"/>
          <w:sz w:val="22"/>
        </w:rPr>
        <w:t>Uploaded heart rate data is windowed into 30-minute overlapping windows (15-minute step, minimum 10 readings per window). Each window is scored by the frozen SVM at the domain-adapted threshold of 0.8368 (LOOCV mean threshold — chosen over the point estimate of 0.8424 for being an out-of-sample estimate). The percentage of windows flagged as Abnormal is computed and mapped to three pre-registered risk tiers: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Risk Tier</w:t>
            </w:r>
          </w:p>
        </w:tc>
        <w:tc>
          <w:tcPr>
            <w:tcW w:type="dxa" w:w="2160"/>
          </w:tcPr>
          <w:p>
            <w:r/>
            <w:r>
              <w:rPr>
                <w:rFonts w:ascii="Calibri" w:hAnsi="Calibri"/>
                <w:b/>
                <w:i w:val="0"/>
                <w:sz w:val="20"/>
              </w:rPr>
              <w:t>Windows Flagged</w:t>
            </w:r>
          </w:p>
        </w:tc>
        <w:tc>
          <w:tcPr>
            <w:tcW w:type="dxa" w:w="2160"/>
          </w:tcPr>
          <w:p>
            <w:r/>
            <w:r>
              <w:rPr>
                <w:rFonts w:ascii="Calibri" w:hAnsi="Calibri"/>
                <w:b/>
                <w:i w:val="0"/>
                <w:sz w:val="20"/>
              </w:rPr>
              <w:t>Interpretation</w:t>
            </w:r>
          </w:p>
        </w:tc>
        <w:tc>
          <w:tcPr>
            <w:tcW w:type="dxa" w:w="2160"/>
          </w:tcPr>
          <w:p>
            <w:r/>
            <w:r>
              <w:rPr>
                <w:rFonts w:ascii="Calibri" w:hAnsi="Calibri"/>
                <w:b/>
                <w:i w:val="0"/>
                <w:sz w:val="20"/>
              </w:rPr>
              <w:t>Recommended Action</w:t>
            </w:r>
          </w:p>
        </w:tc>
      </w:tr>
      <w:tr>
        <w:tc>
          <w:tcPr>
            <w:tcW w:type="dxa" w:w="2160"/>
          </w:tcPr>
          <w:p>
            <w:r/>
            <w:r>
              <w:rPr>
                <w:rFonts w:ascii="Calibri" w:hAnsi="Calibri"/>
                <w:b w:val="0"/>
                <w:i w:val="0"/>
                <w:sz w:val="20"/>
              </w:rPr>
              <w:t>Low</w:t>
            </w:r>
          </w:p>
        </w:tc>
        <w:tc>
          <w:tcPr>
            <w:tcW w:type="dxa" w:w="2160"/>
          </w:tcPr>
          <w:p>
            <w:r/>
            <w:r>
              <w:rPr>
                <w:rFonts w:ascii="Calibri" w:hAnsi="Calibri"/>
                <w:b w:val="0"/>
                <w:i w:val="0"/>
                <w:sz w:val="20"/>
              </w:rPr>
              <w:t>&lt; 10%</w:t>
            </w:r>
          </w:p>
        </w:tc>
        <w:tc>
          <w:tcPr>
            <w:tcW w:type="dxa" w:w="2160"/>
          </w:tcPr>
          <w:p>
            <w:r/>
            <w:r>
              <w:rPr>
                <w:rFonts w:ascii="Calibri" w:hAnsi="Calibri"/>
                <w:b w:val="0"/>
                <w:i w:val="0"/>
                <w:sz w:val="20"/>
              </w:rPr>
              <w:t>No consistent pattern of concern</w:t>
            </w:r>
          </w:p>
        </w:tc>
        <w:tc>
          <w:tcPr>
            <w:tcW w:type="dxa" w:w="2160"/>
          </w:tcPr>
          <w:p>
            <w:r/>
            <w:r>
              <w:rPr>
                <w:rFonts w:ascii="Calibri" w:hAnsi="Calibri"/>
                <w:b w:val="0"/>
                <w:i w:val="0"/>
                <w:sz w:val="20"/>
              </w:rPr>
              <w:t>Continue regular monitoring</w:t>
            </w:r>
          </w:p>
        </w:tc>
      </w:tr>
      <w:tr>
        <w:tc>
          <w:tcPr>
            <w:tcW w:type="dxa" w:w="2160"/>
          </w:tcPr>
          <w:p>
            <w:r/>
            <w:r>
              <w:rPr>
                <w:rFonts w:ascii="Calibri" w:hAnsi="Calibri"/>
                <w:b w:val="0"/>
                <w:i w:val="0"/>
                <w:sz w:val="20"/>
              </w:rPr>
              <w:t>Intermediate</w:t>
            </w:r>
          </w:p>
        </w:tc>
        <w:tc>
          <w:tcPr>
            <w:tcW w:type="dxa" w:w="2160"/>
          </w:tcPr>
          <w:p>
            <w:r/>
            <w:r>
              <w:rPr>
                <w:rFonts w:ascii="Calibri" w:hAnsi="Calibri"/>
                <w:b w:val="0"/>
                <w:i w:val="0"/>
                <w:sz w:val="20"/>
              </w:rPr>
              <w:t>10–40%</w:t>
            </w:r>
          </w:p>
        </w:tc>
        <w:tc>
          <w:tcPr>
            <w:tcW w:type="dxa" w:w="2160"/>
          </w:tcPr>
          <w:p>
            <w:r/>
            <w:r>
              <w:rPr>
                <w:rFonts w:ascii="Calibri" w:hAnsi="Calibri"/>
                <w:b w:val="0"/>
                <w:i w:val="0"/>
                <w:sz w:val="20"/>
              </w:rPr>
              <w:t>Elevated pattern detected</w:t>
            </w:r>
          </w:p>
        </w:tc>
        <w:tc>
          <w:tcPr>
            <w:tcW w:type="dxa" w:w="2160"/>
          </w:tcPr>
          <w:p>
            <w:r/>
            <w:r>
              <w:rPr>
                <w:rFonts w:ascii="Calibri" w:hAnsi="Calibri"/>
                <w:b w:val="0"/>
                <w:i w:val="0"/>
                <w:sz w:val="20"/>
              </w:rPr>
              <w:t>Consider GP or specialist follow-up</w:t>
            </w:r>
          </w:p>
        </w:tc>
      </w:tr>
      <w:tr>
        <w:tc>
          <w:tcPr>
            <w:tcW w:type="dxa" w:w="2160"/>
          </w:tcPr>
          <w:p>
            <w:r/>
            <w:r>
              <w:rPr>
                <w:rFonts w:ascii="Calibri" w:hAnsi="Calibri"/>
                <w:b w:val="0"/>
                <w:i w:val="0"/>
                <w:sz w:val="20"/>
              </w:rPr>
              <w:t>High</w:t>
            </w:r>
          </w:p>
        </w:tc>
        <w:tc>
          <w:tcPr>
            <w:tcW w:type="dxa" w:w="2160"/>
          </w:tcPr>
          <w:p>
            <w:r/>
            <w:r>
              <w:rPr>
                <w:rFonts w:ascii="Calibri" w:hAnsi="Calibri"/>
                <w:b w:val="0"/>
                <w:i w:val="0"/>
                <w:sz w:val="20"/>
              </w:rPr>
              <w:t>&gt; 40%</w:t>
            </w:r>
          </w:p>
        </w:tc>
        <w:tc>
          <w:tcPr>
            <w:tcW w:type="dxa" w:w="2160"/>
          </w:tcPr>
          <w:p>
            <w:r/>
            <w:r>
              <w:rPr>
                <w:rFonts w:ascii="Calibri" w:hAnsi="Calibri"/>
                <w:b w:val="0"/>
                <w:i w:val="0"/>
                <w:sz w:val="20"/>
              </w:rPr>
              <w:t>Consistent Abnormal pattern</w:t>
            </w:r>
          </w:p>
        </w:tc>
        <w:tc>
          <w:tcPr>
            <w:tcW w:type="dxa" w:w="2160"/>
          </w:tcPr>
          <w:p>
            <w:r/>
            <w:r>
              <w:rPr>
                <w:rFonts w:ascii="Calibri" w:hAnsi="Calibri"/>
                <w:b w:val="0"/>
                <w:i w:val="0"/>
                <w:sz w:val="20"/>
              </w:rPr>
              <w:t>Clinical cardiac evaluation recommended</w:t>
            </w:r>
          </w:p>
        </w:tc>
      </w:tr>
    </w:tbl>
    <w:p>
      <w:pPr>
        <w:pStyle w:val="Heading2"/>
      </w:pPr>
      <w:r>
        <w:rPr>
          <w:rFonts w:ascii="Calibri" w:hAnsi="Calibri"/>
          <w:color w:val="1B3A5C"/>
        </w:rPr>
        <w:t>4c.3 Stress Test Results</w:t>
      </w:r>
    </w:p>
    <w:p>
      <w:r>
        <w:rPr>
          <w:rFonts w:ascii="Calibri" w:hAnsi="Calibri"/>
          <w:b w:val="0"/>
          <w:i w:val="0"/>
          <w:sz w:val="22"/>
        </w:rPr>
        <w:t>Real Apple Health export (4.8-year dataset) processed successfully: Intermediate tier returned, 38.2% of windows flagged across 84 days analysed. 602 windows processed. No crashes, no timeout errors. Client-side streaming handled the full XML export without transmitting the full file to the server.</w:t>
      </w:r>
    </w:p>
    <w:p>
      <w:pPr>
        <w:jc w:val="center"/>
      </w:pPr>
      <w:r>
        <w:drawing>
          <wp:inline xmlns:a="http://schemas.openxmlformats.org/drawingml/2006/main" xmlns:pic="http://schemas.openxmlformats.org/drawingml/2006/picture">
            <wp:extent cx="5029200" cy="2017953"/>
            <wp:docPr id="16" name="Picture 16"/>
            <wp:cNvGraphicFramePr>
              <a:graphicFrameLocks noChangeAspect="1"/>
            </wp:cNvGraphicFramePr>
            <a:graphic>
              <a:graphicData uri="http://schemas.openxmlformats.org/drawingml/2006/picture">
                <pic:pic>
                  <pic:nvPicPr>
                    <pic:cNvPr id="0" name="risk_tier_explanation_2026.png"/>
                    <pic:cNvPicPr/>
                  </pic:nvPicPr>
                  <pic:blipFill>
                    <a:blip r:embed="rId25"/>
                    <a:stretch>
                      <a:fillRect/>
                    </a:stretch>
                  </pic:blipFill>
                  <pic:spPr>
                    <a:xfrm>
                      <a:off x="0" y="0"/>
                      <a:ext cx="5029200" cy="2017953"/>
                    </a:xfrm>
                    <a:prstGeom prst="rect"/>
                  </pic:spPr>
                </pic:pic>
              </a:graphicData>
            </a:graphic>
          </wp:inline>
        </w:drawing>
      </w:r>
    </w:p>
    <w:p>
      <w:pPr>
        <w:jc w:val="center"/>
      </w:pPr>
      <w:r>
        <w:rPr>
          <w:rFonts w:ascii="Calibri" w:hAnsi="Calibri"/>
          <w:b w:val="0"/>
          <w:i/>
          <w:color w:val="555555"/>
          <w:sz w:val="18"/>
        </w:rPr>
        <w:t>Figure 15. BeatCheck risk tier framework. Three bands (Low/Intermediate/High) mapped from percentage of flagged windows, with plain-English interpretations.</w:t>
      </w:r>
    </w:p>
    <w:p>
      <w:r>
        <w:br w:type="page"/>
      </w:r>
    </w:p>
    <w:p>
      <w:pPr>
        <w:pStyle w:val="Heading1"/>
      </w:pPr>
      <w:r>
        <w:rPr>
          <w:rFonts w:ascii="Calibri" w:hAnsi="Calibri"/>
          <w:color w:val="1B3A5C"/>
        </w:rPr>
        <w:t>5. Recommendations &amp; Next Steps</w:t>
      </w:r>
    </w:p>
    <w:p>
      <w:pPr>
        <w:pStyle w:val="Heading2"/>
      </w:pPr>
      <w:r>
        <w:rPr>
          <w:rFonts w:ascii="Calibri" w:hAnsi="Calibri"/>
          <w:color w:val="1B3A5C"/>
        </w:rPr>
        <w:t>5.1 Answering the Research Question</w:t>
      </w:r>
    </w:p>
    <w:p>
      <w:r>
        <w:rPr>
          <w:rFonts w:ascii="Calibri" w:hAnsi="Calibri"/>
          <w:b/>
          <w:i w:val="0"/>
          <w:sz w:val="22"/>
        </w:rPr>
        <w:t>Can machine learning models trained on clinical ECG data generalise to consumer wearable signals to detect cardiac rhythm anomalies, and are consumer wearables feasible as proxy screening tools?</w:t>
      </w:r>
    </w:p>
    <w:p>
      <w:r>
        <w:rPr>
          <w:rFonts w:ascii="Calibri" w:hAnsi="Calibri"/>
          <w:b w:val="0"/>
          <w:i w:val="0"/>
          <w:sz w:val="22"/>
        </w:rPr>
        <w:t>The answer is a qualified yes. The discriminative signal transfers across modalities: AUROC 0.8586 on MIMIC PERform AF confirms the model retains genuine ability to rank abnormal subjects above normal subjects using PPG-derived features. But direct threshold generalisation fails — the ECG-calibrated threshold of 0.34 produces 100% sensitivity at 12.5% specificity on PPG data. This is a calibration failure, not a discrimination failure.</w:t>
      </w:r>
    </w:p>
    <w:p>
      <w:r>
        <w:rPr>
          <w:rFonts w:ascii="Calibri" w:hAnsi="Calibri"/>
          <w:b w:val="0"/>
          <w:i w:val="0"/>
          <w:sz w:val="22"/>
        </w:rPr>
        <w:t>The Fahrenheit-to-Celsius analogy: a thermometer calibrated in Fahrenheit gives alarming readings when interpreted on a Celsius scale. The instrument is accurate; the interpretation framework needs adaptation. When the threshold is recalibrated for the PPG domain (0.8368 via LOOCV), sensitivity-targeted LOOCV achieves 78.9% sensitivity at 81.2% specificity — approaching the pre-registered criterion within the variance expected from N=35 leave-one-out evaluation.</w:t>
      </w:r>
    </w:p>
    <w:p>
      <w:pPr>
        <w:pStyle w:val="Heading2"/>
      </w:pPr>
      <w:r>
        <w:rPr>
          <w:rFonts w:ascii="Calibri" w:hAnsi="Calibri"/>
          <w:color w:val="1B3A5C"/>
        </w:rPr>
        <w:t>5.2 Implications for Singapore Public Health</w:t>
      </w:r>
    </w:p>
    <w:p>
      <w:r>
        <w:rPr>
          <w:rFonts w:ascii="Calibri" w:hAnsi="Calibri"/>
          <w:b w:val="0"/>
          <w:i w:val="0"/>
          <w:sz w:val="22"/>
        </w:rPr>
        <w:t>With 49% of Singapore residents skipping annual health checkups and CVD claiming approximately 22 lives daily, the screening gap is real and consequential. Consumer wearables are worn by millions and collect continuous cardiac data without active participation. The discriminative foundation demonstrated by this project suggests the technology is viable — the engineering problem is calibration, not capability.</w:t>
      </w:r>
    </w:p>
    <w:p>
      <w:r>
        <w:rPr>
          <w:rFonts w:ascii="Calibri" w:hAnsi="Calibri"/>
          <w:b w:val="0"/>
          <w:i w:val="0"/>
          <w:sz w:val="22"/>
        </w:rPr>
        <w:t>For Singapore’s public health strategy, the practical path forward involves:</w:t>
      </w:r>
    </w:p>
    <w:p>
      <w:pPr>
        <w:ind w:left="432"/>
      </w:pPr>
      <w:r>
        <w:rPr>
          <w:rFonts w:ascii="Calibri" w:hAnsi="Calibri"/>
          <w:b w:val="0"/>
          <w:i w:val="0"/>
          <w:sz w:val="22"/>
        </w:rPr>
        <w:t>1. PPG-native calibration: Train or fine-tune models on PPG-specific data from the target population, rather than applying ECG-trained thresholds directly. A population-representative PPG dataset with confirmed labels would dramatically improve deployability.</w:t>
      </w:r>
    </w:p>
    <w:p>
      <w:pPr>
        <w:ind w:left="432"/>
      </w:pPr>
      <w:r>
        <w:rPr>
          <w:rFonts w:ascii="Calibri" w:hAnsi="Calibri"/>
          <w:b w:val="0"/>
          <w:i w:val="0"/>
          <w:sz w:val="22"/>
        </w:rPr>
        <w:t>2. Richer wearable data access: Partnering with wearable manufacturers to access raw beat-by-beat RR intervals (rather than summary SDNN statistics) would enable more precise HRV computation, closing part of the modality gap.</w:t>
      </w:r>
    </w:p>
    <w:p>
      <w:pPr>
        <w:ind w:left="432"/>
      </w:pPr>
      <w:r>
        <w:rPr>
          <w:rFonts w:ascii="Calibri" w:hAnsi="Calibri"/>
          <w:b w:val="0"/>
          <w:i w:val="0"/>
          <w:sz w:val="22"/>
        </w:rPr>
        <w:t>3. Population-representative validation: MIMIC PERform AF uses critically ill ICU patients — a population that differs significantly from the general screening target. Validation on community-dwelling adults wearing consumer wearables is the necessary next step.</w:t>
      </w:r>
    </w:p>
    <w:p>
      <w:pPr>
        <w:ind w:left="432"/>
      </w:pPr>
      <w:r>
        <w:rPr>
          <w:rFonts w:ascii="Calibri" w:hAnsi="Calibri"/>
          <w:b w:val="0"/>
          <w:i w:val="0"/>
          <w:sz w:val="22"/>
        </w:rPr>
        <w:t>4. Scope boundary: HRV-based screening can flag rhythm irregularities (AF, other arrhythmias). It cannot detect morphological abnormalities (conduction delays, ST changes) — as demonstrated by the personal ECG report. Deployment should communicate this scope explicitly to users.</w:t>
      </w:r>
    </w:p>
    <w:p>
      <w:pPr>
        <w:pStyle w:val="Heading2"/>
      </w:pPr>
      <w:r>
        <w:rPr>
          <w:rFonts w:ascii="Calibri" w:hAnsi="Calibri"/>
          <w:color w:val="1B3A5C"/>
        </w:rPr>
        <w:t>5.3 Methodological Strengths</w:t>
      </w:r>
    </w:p>
    <w:p>
      <w:pPr>
        <w:ind w:left="432"/>
      </w:pPr>
      <w:r>
        <w:rPr>
          <w:rFonts w:ascii="Calibri" w:hAnsi="Calibri"/>
          <w:b w:val="0"/>
          <w:i w:val="0"/>
          <w:sz w:val="22"/>
        </w:rPr>
        <w:t>Pre-registration: Key decisions (feature set, thresholds, test direction, tier criteria) locked before analysis, preventing post-hoc rationalisation.</w:t>
      </w:r>
    </w:p>
    <w:p>
      <w:pPr>
        <w:ind w:left="432"/>
      </w:pPr>
      <w:r>
        <w:rPr>
          <w:rFonts w:ascii="Calibri" w:hAnsi="Calibri"/>
          <w:b w:val="0"/>
          <w:i w:val="0"/>
          <w:sz w:val="22"/>
        </w:rPr>
        <w:t>No data leakage: Scaler fitted on training data only. Layer 2 data never used for training or threshold selection at the primary evaluation stage.</w:t>
      </w:r>
    </w:p>
    <w:p>
      <w:pPr>
        <w:ind w:left="432"/>
      </w:pPr>
      <w:r>
        <w:rPr>
          <w:rFonts w:ascii="Calibri" w:hAnsi="Calibri"/>
          <w:b w:val="0"/>
          <w:i w:val="0"/>
          <w:sz w:val="22"/>
        </w:rPr>
        <w:t>Transparent null result: Apple Watch null result reported rather than suppressed. Three mechanistic explanations provided. Pivot to MIMIC documented with explicit rationale.</w:t>
      </w:r>
    </w:p>
    <w:p>
      <w:pPr>
        <w:ind w:left="432"/>
      </w:pPr>
      <w:r>
        <w:rPr>
          <w:rFonts w:ascii="Calibri" w:hAnsi="Calibri"/>
          <w:b w:val="0"/>
          <w:i w:val="0"/>
          <w:sz w:val="22"/>
        </w:rPr>
        <w:t>Discrimination vs calibration: AUROC and sensitivity/specificity reported and interpreted separately, avoiding the common error of conflating threshold miscalibration with model failure.</w:t>
      </w:r>
    </w:p>
    <w:p>
      <w:pPr>
        <w:ind w:left="432"/>
      </w:pPr>
      <w:r>
        <w:rPr>
          <w:rFonts w:ascii="Calibri" w:hAnsi="Calibri"/>
          <w:b w:val="0"/>
          <w:i w:val="0"/>
          <w:sz w:val="22"/>
        </w:rPr>
        <w:t>Stress testing: Bootstrap CI and LOOCV provide honest uncertainty estimates rather than point estimates that overstate precision on N=35.</w:t>
      </w:r>
    </w:p>
    <w:p>
      <w:pPr>
        <w:ind w:left="432"/>
      </w:pPr>
      <w:r>
        <w:rPr>
          <w:rFonts w:ascii="Calibri" w:hAnsi="Calibri"/>
          <w:b w:val="0"/>
          <w:i w:val="0"/>
          <w:sz w:val="22"/>
        </w:rPr>
        <w:t>Clinical ground truth: The NHCS ECG report provides a verifiable anchor point and reveals the specific abnormality type, enabling mechanistic interpretation.</w:t>
      </w:r>
    </w:p>
    <w:p>
      <w:pPr>
        <w:pStyle w:val="Heading2"/>
      </w:pPr>
      <w:r>
        <w:rPr>
          <w:rFonts w:ascii="Calibri" w:hAnsi="Calibri"/>
          <w:color w:val="1B3A5C"/>
        </w:rPr>
        <w:t>5.4 Limitations</w:t>
      </w:r>
    </w:p>
    <w:p>
      <w:r>
        <w:rPr>
          <w:rFonts w:ascii="Calibri" w:hAnsi="Calibri"/>
          <w:b w:val="0"/>
          <w:i w:val="0"/>
          <w:sz w:val="22"/>
        </w:rPr>
        <w:t>• Not a clinical trial and does not produce a validated medical device.</w:t>
      </w:r>
    </w:p>
    <w:p>
      <w:r>
        <w:rPr>
          <w:rFonts w:ascii="Calibri" w:hAnsi="Calibri"/>
          <w:b w:val="0"/>
          <w:i w:val="0"/>
          <w:sz w:val="22"/>
        </w:rPr>
        <w:t>• Apple Watch analysis is a single-subject case study (N=1) — findings cannot be generalised.</w:t>
      </w:r>
    </w:p>
    <w:p>
      <w:r>
        <w:rPr>
          <w:rFonts w:ascii="Calibri" w:hAnsi="Calibri"/>
          <w:b w:val="0"/>
          <w:i w:val="0"/>
          <w:sz w:val="22"/>
        </w:rPr>
        <w:t>• MIMIC PERform AF uses 35 critically ill ICU subjects — not representative of the general screening population.</w:t>
      </w:r>
    </w:p>
    <w:p>
      <w:r>
        <w:rPr>
          <w:rFonts w:ascii="Calibri" w:hAnsi="Calibri"/>
          <w:b w:val="0"/>
          <w:i w:val="0"/>
          <w:sz w:val="22"/>
        </w:rPr>
        <w:t>• Threshold recalibration and LOOCV results computed on the same 35 subjects — indicative, not definitive.</w:t>
      </w:r>
    </w:p>
    <w:p>
      <w:r>
        <w:rPr>
          <w:rFonts w:ascii="Calibri" w:hAnsi="Calibri"/>
          <w:b w:val="0"/>
          <w:i w:val="0"/>
          <w:sz w:val="22"/>
        </w:rPr>
        <w:t>• Apple Watch SE produces optical PPG, not electrical ECG. RMSSD is approximated from SDNN (×0.85) due to device API limitations.</w:t>
      </w:r>
    </w:p>
    <w:p>
      <w:r>
        <w:rPr>
          <w:rFonts w:ascii="Calibri" w:hAnsi="Calibri"/>
          <w:b w:val="0"/>
          <w:i w:val="0"/>
          <w:sz w:val="22"/>
        </w:rPr>
        <w:t>• The locked 8-feature HRV set detects rhythm irregularities only. Morphological abnormalities (conduction delays, ST changes) cannot be detected by any HRV-based analysis — as confirmed by the personal clinical ECG finding.</w:t>
      </w:r>
    </w:p>
    <w:p>
      <w:pPr>
        <w:pStyle w:val="Heading2"/>
      </w:pPr>
      <w:r>
        <w:rPr>
          <w:rFonts w:ascii="Calibri" w:hAnsi="Calibri"/>
          <w:color w:val="1B3A5C"/>
        </w:rPr>
        <w:t>5.5 Acknowledgements</w:t>
      </w:r>
    </w:p>
    <w:p>
      <w:r>
        <w:rPr>
          <w:rFonts w:ascii="Calibri" w:hAnsi="Calibri"/>
          <w:b w:val="0"/>
          <w:i w:val="0"/>
          <w:sz w:val="22"/>
        </w:rPr>
        <w:t>Dataset provided by PhysioNet and the Computing in Cardiology Challenge 2017 organisers. Personal health data collected via Apple Watch SE (1st Generation) and exported through Apple Health. MIMIC PERform AF dataset provided via Zenodo (doi.org/10.5281/zenodo.6807402). Clinical ECG report provided by the National Heart Centre Singapore (NHCS), Department of Cardiology, certified by Dr Chong Jia Yun (B.Med, FRACP), dated 17 March 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sz w:val="18"/>
      </w:rPr>
      <w:t xml:space="preserve">Page </w:t>
      <w:fldChar w:fldCharType="begin"/>
      <w:instrText>PAGE</w:instrText>
      <w:fldChar w:fldCharType="end"/>
    </w:r>
    <w:r>
      <w:rPr>
        <w:rFonts w:ascii="Calibri" w:hAnsi="Calibri"/>
        <w:b w:val="0"/>
        <w:i w:val="0"/>
        <w:sz w:val="18"/>
      </w:rPr>
      <w:t xml:space="preserve"> | Heartbeat or Noise? — Lucas Sam — March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