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56"/>
        </w:rPr>
        <w:t>Heartbeat or Noise?</w:t>
      </w:r>
    </w:p>
    <w:p>
      <w:pPr>
        <w:jc w:val="center"/>
      </w:pPr>
      <w:r>
        <w:rPr>
          <w:rFonts w:ascii="Calibri" w:hAnsi="Calibri"/>
          <w:b w:val="0"/>
          <w:color w:val="555555"/>
          <w:sz w:val="32"/>
        </w:rPr>
        <w:t>Evaluating Consumer Wearables as Cardiac Screening Proxies</w:t>
        <w:br/>
        <w:t>Using Machine Learning</w:t>
      </w:r>
    </w:p>
    <w:p>
      <w:pPr>
        <w:jc w:val="center"/>
      </w:pPr>
      <w:r>
        <w:rPr>
          <w:rFonts w:ascii="Calibri" w:hAnsi="Calibri"/>
          <w:b w:val="0"/>
          <w:sz w:val="24"/>
        </w:rPr>
        <w:t>Lucas Sam</w:t>
        <w:br/>
        <w:t>General Assembly Data Analytics Capstone Project</w:t>
        <w:br/>
        <w:t>March 2026</w:t>
      </w:r>
    </w:p>
    <w:p>
      <w:r>
        <w:br w:type="page"/>
      </w:r>
    </w:p>
    <w:p>
      <w:pPr>
        <w:pStyle w:val="Heading1"/>
      </w:pPr>
      <w:r>
        <w:rPr>
          <w:rFonts w:ascii="Calibri" w:hAnsi="Calibri"/>
          <w:color w:val="1B3A5C"/>
        </w:rPr>
        <w:t>1. The Problem</w:t>
      </w:r>
    </w:p>
    <w:p>
      <w:r>
        <w:rPr>
          <w:rFonts w:ascii="Calibri" w:hAnsi="Calibri"/>
          <w:b w:val="0"/>
          <w:sz w:val="22"/>
        </w:rPr>
        <w:t>Cardiovascular disease (CVD) accounts for 30.5% of all deaths in Singapore, equating to approximately 22 lives lost daily. Despite national screening efforts, approximately 49% of Singapore residents did not undergo a health checkup in the past twelve months, leaving a significant proportion of the population unaware of underlying cardiac risk.</w:t>
      </w:r>
    </w:p>
    <w:p>
      <w:r>
        <w:rPr>
          <w:rFonts w:ascii="Calibri" w:hAnsi="Calibri"/>
          <w:b w:val="0"/>
          <w:sz w:val="22"/>
        </w:rPr>
        <w:t>Consumer wearables — including smartwatches from Apple and Samsung — are worn by millions daily and continuously monitor physiological signals including heart rate and heart rate variability. This project evaluates whether machine learning models trained on clinical ECG data can generalise to consumer wearable signals to detect cardiac rhythm irregularities, assessing their feasibility as low-barrier proxy screening tools.</w:t>
      </w:r>
    </w:p>
    <w:p>
      <w:r>
        <w:rPr>
          <w:rFonts w:ascii="Calibri" w:hAnsi="Calibri"/>
          <w:b/>
          <w:sz w:val="22"/>
        </w:rPr>
        <w:t>Research Question: Can machine learning models trained on clinical cardiac data generalise to consumer wearable signals to detect heart rhythm irregularities, and can consumer wearables feasibly serve as proxy screening tools to identify individuals who would benefit from formal cardiac evaluation?</w:t>
      </w:r>
    </w:p>
    <w:p>
      <w:pPr>
        <w:pStyle w:val="Heading1"/>
      </w:pPr>
      <w:r>
        <w:rPr>
          <w:rFonts w:ascii="Calibri" w:hAnsi="Calibri"/>
          <w:color w:val="1B3A5C"/>
        </w:rPr>
        <w:t>2. Two-Layer Validation Architecture</w:t>
      </w:r>
    </w:p>
    <w:p>
      <w:r>
        <w:rPr>
          <w:rFonts w:ascii="Calibri" w:hAnsi="Calibri"/>
          <w:b w:val="0"/>
          <w:sz w:val="22"/>
        </w:rPr>
        <w:t>The project uses a two-layer architecture designed to separate model training from generalisation testing:</w:t>
      </w:r>
    </w:p>
    <w:p>
      <w:r>
        <w:rPr>
          <w:rFonts w:ascii="Calibri" w:hAnsi="Calibri"/>
          <w:b w:val="0"/>
          <w:sz w:val="22"/>
        </w:rPr>
        <w:t>Layer 1 — Clinical Benchmark: A binary cardiac rhythm classifier is trained and validated on clinical ECG data using only features extractable from consumer wearable devices. This deliberate constraint ensures the model reflects real-world deployment conditions. The model is locked after Layer 1 — no retraining occurs.</w:t>
      </w:r>
    </w:p>
    <w:p>
      <w:r>
        <w:rPr>
          <w:rFonts w:ascii="Calibri" w:hAnsi="Calibri"/>
          <w:b w:val="0"/>
          <w:sz w:val="22"/>
        </w:rPr>
        <w:t>Layer 2 — Consumer Wearable Bridge: The frozen model is applied to wearable data to evaluate signal transferability. Two datasets are used: a personal Apple Watch N=1 case study (exploratory) and the MIMIC PERform AF dataset (primary validation, N=35). Success is assessed across three tiers: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20"/>
              </w:rPr>
              <w:t>Tier</w:t>
            </w:r>
          </w:p>
        </w:tc>
        <w:tc>
          <w:tcPr>
            <w:tcW w:type="dxa" w:w="2880"/>
          </w:tcPr>
          <w:p>
            <w:r/>
            <w:r>
              <w:rPr>
                <w:rFonts w:ascii="Calibri" w:hAnsi="Calibri"/>
                <w:b/>
                <w:sz w:val="20"/>
              </w:rPr>
              <w:t>Criterion</w:t>
            </w:r>
          </w:p>
        </w:tc>
        <w:tc>
          <w:tcPr>
            <w:tcW w:type="dxa" w:w="2880"/>
          </w:tcPr>
          <w:p>
            <w:r/>
            <w:r>
              <w:rPr>
                <w:rFonts w:ascii="Calibri" w:hAnsi="Calibri"/>
                <w:b/>
                <w:sz w:val="20"/>
              </w:rPr>
              <w:t>What It Tests</w:t>
            </w:r>
          </w:p>
        </w:tc>
      </w:tr>
      <w:tr>
        <w:tc>
          <w:tcPr>
            <w:tcW w:type="dxa" w:w="2880"/>
          </w:tcPr>
          <w:p>
            <w:r/>
            <w:r>
              <w:rPr>
                <w:rFonts w:ascii="Calibri" w:hAnsi="Calibri"/>
                <w:b w:val="0"/>
                <w:sz w:val="20"/>
              </w:rPr>
              <w:t>Tier 1</w:t>
            </w:r>
          </w:p>
        </w:tc>
        <w:tc>
          <w:tcPr>
            <w:tcW w:type="dxa" w:w="2880"/>
          </w:tcPr>
          <w:p>
            <w:r/>
            <w:r>
              <w:rPr>
                <w:rFonts w:ascii="Calibri" w:hAnsi="Calibri"/>
                <w:b w:val="0"/>
                <w:sz w:val="20"/>
              </w:rPr>
              <w:t>Pipeline executes with interpretable outputs</w:t>
            </w:r>
          </w:p>
        </w:tc>
        <w:tc>
          <w:tcPr>
            <w:tcW w:type="dxa" w:w="2880"/>
          </w:tcPr>
          <w:p>
            <w:r/>
            <w:r>
              <w:rPr>
                <w:rFonts w:ascii="Calibri" w:hAnsi="Calibri"/>
                <w:b w:val="0"/>
                <w:sz w:val="20"/>
              </w:rPr>
              <w:t>Foundational applicability</w:t>
            </w:r>
          </w:p>
        </w:tc>
      </w:tr>
      <w:tr>
        <w:tc>
          <w:tcPr>
            <w:tcW w:type="dxa" w:w="2880"/>
          </w:tcPr>
          <w:p>
            <w:r/>
            <w:r>
              <w:rPr>
                <w:rFonts w:ascii="Calibri" w:hAnsi="Calibri"/>
                <w:b w:val="0"/>
                <w:sz w:val="20"/>
              </w:rPr>
              <w:t>Tier 2</w:t>
            </w:r>
          </w:p>
        </w:tc>
        <w:tc>
          <w:tcPr>
            <w:tcW w:type="dxa" w:w="2880"/>
          </w:tcPr>
          <w:p>
            <w:r/>
            <w:r>
              <w:rPr>
                <w:rFonts w:ascii="Calibri" w:hAnsi="Calibri"/>
                <w:b w:val="0"/>
                <w:sz w:val="20"/>
              </w:rPr>
              <w:t>Sensitivity ≥80% AND Specificity ≥75%</w:t>
            </w:r>
          </w:p>
        </w:tc>
        <w:tc>
          <w:tcPr>
            <w:tcW w:type="dxa" w:w="2880"/>
          </w:tcPr>
          <w:p>
            <w:r/>
            <w:r>
              <w:rPr>
                <w:rFonts w:ascii="Calibri" w:hAnsi="Calibri"/>
                <w:b w:val="0"/>
                <w:sz w:val="20"/>
              </w:rPr>
              <w:t>Statistical signal detection</w:t>
            </w:r>
          </w:p>
        </w:tc>
      </w:tr>
      <w:tr>
        <w:tc>
          <w:tcPr>
            <w:tcW w:type="dxa" w:w="2880"/>
          </w:tcPr>
          <w:p>
            <w:r/>
            <w:r>
              <w:rPr>
                <w:rFonts w:ascii="Calibri" w:hAnsi="Calibri"/>
                <w:b w:val="0"/>
                <w:sz w:val="20"/>
              </w:rPr>
              <w:t>Tier 3</w:t>
            </w:r>
          </w:p>
        </w:tc>
        <w:tc>
          <w:tcPr>
            <w:tcW w:type="dxa" w:w="2880"/>
          </w:tcPr>
          <w:p>
            <w:r/>
            <w:r>
              <w:rPr>
                <w:rFonts w:ascii="Calibri" w:hAnsi="Calibri"/>
                <w:b w:val="0"/>
                <w:sz w:val="20"/>
              </w:rPr>
              <w:t>AUROC ≥0.85</w:t>
            </w:r>
          </w:p>
        </w:tc>
        <w:tc>
          <w:tcPr>
            <w:tcW w:type="dxa" w:w="2880"/>
          </w:tcPr>
          <w:p>
            <w:r/>
            <w:r>
              <w:rPr>
                <w:rFonts w:ascii="Calibri" w:hAnsi="Calibri"/>
                <w:b w:val="0"/>
                <w:sz w:val="20"/>
              </w:rPr>
              <w:t>Clinical concordance / discriminative ability</w:t>
            </w:r>
          </w:p>
        </w:tc>
      </w:tr>
    </w:tbl>
    <w:p>
      <w:pPr>
        <w:pStyle w:val="Heading1"/>
      </w:pPr>
      <w:r>
        <w:rPr>
          <w:rFonts w:ascii="Calibri" w:hAnsi="Calibri"/>
          <w:color w:val="1B3A5C"/>
        </w:rPr>
        <w:t>3. Data Sources</w:t>
      </w:r>
    </w:p>
    <w:p>
      <w:pPr>
        <w:pStyle w:val="Heading2"/>
      </w:pPr>
      <w:r>
        <w:rPr>
          <w:rFonts w:ascii="Calibri" w:hAnsi="Calibri"/>
          <w:color w:val="1B3A5C"/>
        </w:rPr>
        <w:t>3.1 Physionet 2017 AF Classification Challenge (Layer 1)</w:t>
      </w:r>
    </w:p>
    <w:p>
      <w:r>
        <w:rPr>
          <w:rFonts w:ascii="Calibri" w:hAnsi="Calibri"/>
          <w:b w:val="0"/>
          <w:sz w:val="22"/>
        </w:rPr>
        <w:t>8,528 single-lead ECG recordings sampled at 300 Hz. After excluding 279 noisy-class records and quality filtering, 8,187 records remained. Binary label mapping: Normal (N → 0) versus Abnormal (AF + Other → 1). Class distribution: 61.6% Normal (5,042), 38.4% Abnormal (3,145). AF within Abnormal: 754 records (24.0%).</w:t>
      </w:r>
    </w:p>
    <w:p>
      <w:pPr>
        <w:pStyle w:val="Heading2"/>
      </w:pPr>
      <w:r>
        <w:rPr>
          <w:rFonts w:ascii="Calibri" w:hAnsi="Calibri"/>
          <w:color w:val="1B3A5C"/>
        </w:rPr>
        <w:t>3.2 Personal Apple Watch Data (N=1 Case Study)</w:t>
      </w:r>
    </w:p>
    <w:p>
      <w:r>
        <w:rPr>
          <w:rFonts w:ascii="Calibri" w:hAnsi="Calibri"/>
          <w:b w:val="0"/>
          <w:sz w:val="22"/>
        </w:rPr>
        <w:t>Apple Watch SE (1st Generation) — PPG optical sensor only, no electrical heart sensor. Temporal coverage: April 2021 – February 2026 (4.8 years). Clinical anchor point: June 18, 2025 ECG confirming cardiac irregularity. Role: exploratory N=1 case study appendix.</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20"/>
              </w:rPr>
              <w:t>Metric</w:t>
            </w:r>
          </w:p>
        </w:tc>
        <w:tc>
          <w:tcPr>
            <w:tcW w:type="dxa" w:w="4320"/>
          </w:tcPr>
          <w:p>
            <w:r/>
            <w:r>
              <w:rPr>
                <w:rFonts w:ascii="Calibri" w:hAnsi="Calibri"/>
                <w:b/>
                <w:sz w:val="20"/>
              </w:rPr>
              <w:t>Records</w:t>
            </w:r>
          </w:p>
        </w:tc>
      </w:tr>
      <w:tr>
        <w:tc>
          <w:tcPr>
            <w:tcW w:type="dxa" w:w="4320"/>
          </w:tcPr>
          <w:p>
            <w:r/>
            <w:r>
              <w:rPr>
                <w:rFonts w:ascii="Calibri" w:hAnsi="Calibri"/>
                <w:b w:val="0"/>
                <w:sz w:val="20"/>
              </w:rPr>
              <w:t>Heart rate (continuous)</w:t>
            </w:r>
          </w:p>
        </w:tc>
        <w:tc>
          <w:tcPr>
            <w:tcW w:type="dxa" w:w="4320"/>
          </w:tcPr>
          <w:p>
            <w:r/>
            <w:r>
              <w:rPr>
                <w:rFonts w:ascii="Calibri" w:hAnsi="Calibri"/>
                <w:b w:val="0"/>
                <w:sz w:val="20"/>
              </w:rPr>
              <w:t>478,077</w:t>
            </w:r>
          </w:p>
        </w:tc>
      </w:tr>
      <w:tr>
        <w:tc>
          <w:tcPr>
            <w:tcW w:type="dxa" w:w="4320"/>
          </w:tcPr>
          <w:p>
            <w:r/>
            <w:r>
              <w:rPr>
                <w:rFonts w:ascii="Calibri" w:hAnsi="Calibri"/>
                <w:b w:val="0"/>
                <w:sz w:val="20"/>
              </w:rPr>
              <w:t>HRV (SDNN)</w:t>
            </w:r>
          </w:p>
        </w:tc>
        <w:tc>
          <w:tcPr>
            <w:tcW w:type="dxa" w:w="4320"/>
          </w:tcPr>
          <w:p>
            <w:r/>
            <w:r>
              <w:rPr>
                <w:rFonts w:ascii="Calibri" w:hAnsi="Calibri"/>
                <w:b w:val="0"/>
                <w:sz w:val="20"/>
              </w:rPr>
              <w:t>5,456</w:t>
            </w:r>
          </w:p>
        </w:tc>
      </w:tr>
      <w:tr>
        <w:tc>
          <w:tcPr>
            <w:tcW w:type="dxa" w:w="4320"/>
          </w:tcPr>
          <w:p>
            <w:r/>
            <w:r>
              <w:rPr>
                <w:rFonts w:ascii="Calibri" w:hAnsi="Calibri"/>
                <w:b w:val="0"/>
                <w:sz w:val="20"/>
              </w:rPr>
              <w:t>Resting heart rate</w:t>
            </w:r>
          </w:p>
        </w:tc>
        <w:tc>
          <w:tcPr>
            <w:tcW w:type="dxa" w:w="4320"/>
          </w:tcPr>
          <w:p>
            <w:r/>
            <w:r>
              <w:rPr>
                <w:rFonts w:ascii="Calibri" w:hAnsi="Calibri"/>
                <w:b w:val="0"/>
                <w:sz w:val="20"/>
              </w:rPr>
              <w:t>1,491</w:t>
            </w:r>
          </w:p>
        </w:tc>
      </w:tr>
      <w:tr>
        <w:tc>
          <w:tcPr>
            <w:tcW w:type="dxa" w:w="4320"/>
          </w:tcPr>
          <w:p>
            <w:r/>
            <w:r>
              <w:rPr>
                <w:rFonts w:ascii="Calibri" w:hAnsi="Calibri"/>
                <w:b w:val="0"/>
                <w:sz w:val="20"/>
              </w:rPr>
              <w:t>Walking heart rate</w:t>
            </w:r>
          </w:p>
        </w:tc>
        <w:tc>
          <w:tcPr>
            <w:tcW w:type="dxa" w:w="4320"/>
          </w:tcPr>
          <w:p>
            <w:r/>
            <w:r>
              <w:rPr>
                <w:rFonts w:ascii="Calibri" w:hAnsi="Calibri"/>
                <w:b w:val="0"/>
                <w:sz w:val="20"/>
              </w:rPr>
              <w:t>1,557</w:t>
            </w:r>
          </w:p>
        </w:tc>
      </w:tr>
      <w:tr>
        <w:tc>
          <w:tcPr>
            <w:tcW w:type="dxa" w:w="4320"/>
          </w:tcPr>
          <w:p>
            <w:r/>
            <w:r>
              <w:rPr>
                <w:rFonts w:ascii="Calibri" w:hAnsi="Calibri"/>
                <w:b w:val="0"/>
                <w:sz w:val="20"/>
              </w:rPr>
              <w:t>Respiratory rate</w:t>
            </w:r>
          </w:p>
        </w:tc>
        <w:tc>
          <w:tcPr>
            <w:tcW w:type="dxa" w:w="4320"/>
          </w:tcPr>
          <w:p>
            <w:r/>
            <w:r>
              <w:rPr>
                <w:rFonts w:ascii="Calibri" w:hAnsi="Calibri"/>
                <w:b w:val="0"/>
                <w:sz w:val="20"/>
              </w:rPr>
              <w:t>20,372</w:t>
            </w:r>
          </w:p>
        </w:tc>
      </w:tr>
      <w:tr>
        <w:tc>
          <w:tcPr>
            <w:tcW w:type="dxa" w:w="4320"/>
          </w:tcPr>
          <w:p>
            <w:r/>
            <w:r>
              <w:rPr>
                <w:rFonts w:ascii="Calibri" w:hAnsi="Calibri"/>
                <w:b w:val="0"/>
                <w:sz w:val="20"/>
              </w:rPr>
              <w:t>Sleep analysis</w:t>
            </w:r>
          </w:p>
        </w:tc>
        <w:tc>
          <w:tcPr>
            <w:tcW w:type="dxa" w:w="4320"/>
          </w:tcPr>
          <w:p>
            <w:r/>
            <w:r>
              <w:rPr>
                <w:rFonts w:ascii="Calibri" w:hAnsi="Calibri"/>
                <w:b w:val="0"/>
                <w:sz w:val="20"/>
              </w:rPr>
              <w:t>7,967</w:t>
            </w:r>
          </w:p>
        </w:tc>
      </w:tr>
      <w:tr>
        <w:tc>
          <w:tcPr>
            <w:tcW w:type="dxa" w:w="4320"/>
          </w:tcPr>
          <w:p>
            <w:r/>
            <w:r>
              <w:rPr>
                <w:rFonts w:ascii="Calibri" w:hAnsi="Calibri"/>
                <w:b w:val="0"/>
                <w:sz w:val="20"/>
              </w:rPr>
              <w:t>Workouts</w:t>
            </w:r>
          </w:p>
        </w:tc>
        <w:tc>
          <w:tcPr>
            <w:tcW w:type="dxa" w:w="4320"/>
          </w:tcPr>
          <w:p>
            <w:r/>
            <w:r>
              <w:rPr>
                <w:rFonts w:ascii="Calibri" w:hAnsi="Calibri"/>
                <w:b w:val="0"/>
                <w:sz w:val="20"/>
              </w:rPr>
              <w:t>1,982</w:t>
            </w:r>
          </w:p>
        </w:tc>
      </w:tr>
    </w:tbl>
    <w:p>
      <w:pPr>
        <w:pStyle w:val="Heading2"/>
      </w:pPr>
      <w:r>
        <w:rPr>
          <w:rFonts w:ascii="Calibri" w:hAnsi="Calibri"/>
          <w:color w:val="1B3A5C"/>
        </w:rPr>
        <w:t>3.3 MIMIC PERform AF (Primary Layer 2 Validation)</w:t>
      </w:r>
    </w:p>
    <w:p>
      <w:r>
        <w:rPr>
          <w:rFonts w:ascii="Calibri" w:hAnsi="Calibri"/>
          <w:b w:val="0"/>
          <w:sz w:val="22"/>
        </w:rPr>
        <w:t>35 critically ill adults (19 AF, 16 NSR) with simultaneous finger PPG and ECG recordings at 125 Hz. Each recording is 20 minutes (150,000 samples). Pre-assigned clinical labels at subject level. Sourced from Zenodo. Pivot rationale: UMass Simband access unavailable before deadline; MIMIC PERform AF satisfies all three validation requirements: wearable PPG signal, both Normal and Abnormal subjects, pre-existing ground truth labels.</w:t>
      </w:r>
    </w:p>
    <w:p>
      <w:pPr>
        <w:pStyle w:val="Heading1"/>
      </w:pPr>
      <w:r>
        <w:rPr>
          <w:rFonts w:ascii="Calibri" w:hAnsi="Calibri"/>
          <w:color w:val="1B3A5C"/>
        </w:rPr>
        <w:t>4. Locked Feature Set</w:t>
      </w:r>
    </w:p>
    <w:p>
      <w:r>
        <w:rPr>
          <w:rFonts w:ascii="Calibri" w:hAnsi="Calibri"/>
          <w:b w:val="0"/>
          <w:sz w:val="22"/>
        </w:rPr>
        <w:t>Eight features, all time-domain or statistical features derivable from both clinical ECG and wearable PPG data. Locked before feature engineering began. Frequency domain features (LF/HF ratio, HF power) were permanently excluded because consumer wearables do not expose raw beat-by-beat interval sequences at consistent sampling rates.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20"/>
              </w:rPr>
              <w:t>Feature</w:t>
            </w:r>
          </w:p>
        </w:tc>
        <w:tc>
          <w:tcPr>
            <w:tcW w:type="dxa" w:w="4320"/>
          </w:tcPr>
          <w:p>
            <w:r/>
            <w:r>
              <w:rPr>
                <w:rFonts w:ascii="Calibri" w:hAnsi="Calibri"/>
                <w:b/>
                <w:sz w:val="20"/>
              </w:rPr>
              <w:t>Description</w:t>
            </w:r>
          </w:p>
        </w:tc>
      </w:tr>
      <w:tr>
        <w:tc>
          <w:tcPr>
            <w:tcW w:type="dxa" w:w="4320"/>
          </w:tcPr>
          <w:p>
            <w:r/>
            <w:r>
              <w:rPr>
                <w:rFonts w:ascii="Calibri" w:hAnsi="Calibri"/>
                <w:b w:val="0"/>
                <w:sz w:val="20"/>
              </w:rPr>
              <w:t>RMSSD</w:t>
            </w:r>
          </w:p>
        </w:tc>
        <w:tc>
          <w:tcPr>
            <w:tcW w:type="dxa" w:w="4320"/>
          </w:tcPr>
          <w:p>
            <w:r/>
            <w:r>
              <w:rPr>
                <w:rFonts w:ascii="Calibri" w:hAnsi="Calibri"/>
                <w:b w:val="0"/>
                <w:sz w:val="20"/>
              </w:rPr>
              <w:t>Root mean square of successive RR interval differences</w:t>
            </w:r>
          </w:p>
        </w:tc>
      </w:tr>
      <w:tr>
        <w:tc>
          <w:tcPr>
            <w:tcW w:type="dxa" w:w="4320"/>
          </w:tcPr>
          <w:p>
            <w:r/>
            <w:r>
              <w:rPr>
                <w:rFonts w:ascii="Calibri" w:hAnsi="Calibri"/>
                <w:b w:val="0"/>
                <w:sz w:val="20"/>
              </w:rPr>
              <w:t>SDNN</w:t>
            </w:r>
          </w:p>
        </w:tc>
        <w:tc>
          <w:tcPr>
            <w:tcW w:type="dxa" w:w="4320"/>
          </w:tcPr>
          <w:p>
            <w:r/>
            <w:r>
              <w:rPr>
                <w:rFonts w:ascii="Calibri" w:hAnsi="Calibri"/>
                <w:b w:val="0"/>
                <w:sz w:val="20"/>
              </w:rPr>
              <w:t>Standard deviation of all RR intervals</w:t>
            </w:r>
          </w:p>
        </w:tc>
      </w:tr>
      <w:tr>
        <w:tc>
          <w:tcPr>
            <w:tcW w:type="dxa" w:w="4320"/>
          </w:tcPr>
          <w:p>
            <w:r/>
            <w:r>
              <w:rPr>
                <w:rFonts w:ascii="Calibri" w:hAnsi="Calibri"/>
                <w:b w:val="0"/>
                <w:sz w:val="20"/>
              </w:rPr>
              <w:t>Mean RR</w:t>
            </w:r>
          </w:p>
        </w:tc>
        <w:tc>
          <w:tcPr>
            <w:tcW w:type="dxa" w:w="4320"/>
          </w:tcPr>
          <w:p>
            <w:r/>
            <w:r>
              <w:rPr>
                <w:rFonts w:ascii="Calibri" w:hAnsi="Calibri"/>
                <w:b w:val="0"/>
                <w:sz w:val="20"/>
              </w:rPr>
              <w:t>Average inter-beat interval (ms)</w:t>
            </w:r>
          </w:p>
        </w:tc>
      </w:tr>
      <w:tr>
        <w:tc>
          <w:tcPr>
            <w:tcW w:type="dxa" w:w="4320"/>
          </w:tcPr>
          <w:p>
            <w:r/>
            <w:r>
              <w:rPr>
                <w:rFonts w:ascii="Calibri" w:hAnsi="Calibri"/>
                <w:b w:val="0"/>
                <w:sz w:val="20"/>
              </w:rPr>
              <w:t>pNN50</w:t>
            </w:r>
          </w:p>
        </w:tc>
        <w:tc>
          <w:tcPr>
            <w:tcW w:type="dxa" w:w="4320"/>
          </w:tcPr>
          <w:p>
            <w:r/>
            <w:r>
              <w:rPr>
                <w:rFonts w:ascii="Calibri" w:hAnsi="Calibri"/>
                <w:b w:val="0"/>
                <w:sz w:val="20"/>
              </w:rPr>
              <w:t>Proportion of successive intervals differing by &gt;50ms</w:t>
            </w:r>
          </w:p>
        </w:tc>
      </w:tr>
      <w:tr>
        <w:tc>
          <w:tcPr>
            <w:tcW w:type="dxa" w:w="4320"/>
          </w:tcPr>
          <w:p>
            <w:r/>
            <w:r>
              <w:rPr>
                <w:rFonts w:ascii="Calibri" w:hAnsi="Calibri"/>
                <w:b w:val="0"/>
                <w:sz w:val="20"/>
              </w:rPr>
              <w:t>HR Mean</w:t>
            </w:r>
          </w:p>
        </w:tc>
        <w:tc>
          <w:tcPr>
            <w:tcW w:type="dxa" w:w="4320"/>
          </w:tcPr>
          <w:p>
            <w:r/>
            <w:r>
              <w:rPr>
                <w:rFonts w:ascii="Calibri" w:hAnsi="Calibri"/>
                <w:b w:val="0"/>
                <w:sz w:val="20"/>
              </w:rPr>
              <w:t>Average heart rate derived from RR intervals</w:t>
            </w:r>
          </w:p>
        </w:tc>
      </w:tr>
      <w:tr>
        <w:tc>
          <w:tcPr>
            <w:tcW w:type="dxa" w:w="4320"/>
          </w:tcPr>
          <w:p>
            <w:r/>
            <w:r>
              <w:rPr>
                <w:rFonts w:ascii="Calibri" w:hAnsi="Calibri"/>
                <w:b w:val="0"/>
                <w:sz w:val="20"/>
              </w:rPr>
              <w:t>HR Std Dev</w:t>
            </w:r>
          </w:p>
        </w:tc>
        <w:tc>
          <w:tcPr>
            <w:tcW w:type="dxa" w:w="4320"/>
          </w:tcPr>
          <w:p>
            <w:r/>
            <w:r>
              <w:rPr>
                <w:rFonts w:ascii="Calibri" w:hAnsi="Calibri"/>
                <w:b w:val="0"/>
                <w:sz w:val="20"/>
              </w:rPr>
              <w:t>Variability of instantaneous heart rate</w:t>
            </w:r>
          </w:p>
        </w:tc>
      </w:tr>
      <w:tr>
        <w:tc>
          <w:tcPr>
            <w:tcW w:type="dxa" w:w="4320"/>
          </w:tcPr>
          <w:p>
            <w:r/>
            <w:r>
              <w:rPr>
                <w:rFonts w:ascii="Calibri" w:hAnsi="Calibri"/>
                <w:b w:val="0"/>
                <w:sz w:val="20"/>
              </w:rPr>
              <w:t>RR Skewness</w:t>
            </w:r>
          </w:p>
        </w:tc>
        <w:tc>
          <w:tcPr>
            <w:tcW w:type="dxa" w:w="4320"/>
          </w:tcPr>
          <w:p>
            <w:r/>
            <w:r>
              <w:rPr>
                <w:rFonts w:ascii="Calibri" w:hAnsi="Calibri"/>
                <w:b w:val="0"/>
                <w:sz w:val="20"/>
              </w:rPr>
              <w:t>Asymmetry of the RR interval distribution</w:t>
            </w:r>
          </w:p>
        </w:tc>
      </w:tr>
      <w:tr>
        <w:tc>
          <w:tcPr>
            <w:tcW w:type="dxa" w:w="4320"/>
          </w:tcPr>
          <w:p>
            <w:r/>
            <w:r>
              <w:rPr>
                <w:rFonts w:ascii="Calibri" w:hAnsi="Calibri"/>
                <w:b w:val="0"/>
                <w:sz w:val="20"/>
              </w:rPr>
              <w:t>RR Kurtosis</w:t>
            </w:r>
          </w:p>
        </w:tc>
        <w:tc>
          <w:tcPr>
            <w:tcW w:type="dxa" w:w="4320"/>
          </w:tcPr>
          <w:p>
            <w:r/>
            <w:r>
              <w:rPr>
                <w:rFonts w:ascii="Calibri" w:hAnsi="Calibri"/>
                <w:b w:val="0"/>
                <w:sz w:val="20"/>
              </w:rPr>
              <w:t>Tail weight of the RR interval distribution</w:t>
            </w:r>
          </w:p>
        </w:tc>
      </w:tr>
    </w:tbl>
    <w:p>
      <w:pPr>
        <w:pStyle w:val="Heading1"/>
      </w:pPr>
      <w:r>
        <w:rPr>
          <w:rFonts w:ascii="Calibri" w:hAnsi="Calibri"/>
          <w:color w:val="1B3A5C"/>
        </w:rPr>
        <w:t>5. Layer 1 — Training and Model Selection</w:t>
      </w:r>
    </w:p>
    <w:p>
      <w:r>
        <w:rPr>
          <w:rFonts w:ascii="Calibri" w:hAnsi="Calibri"/>
          <w:b w:val="0"/>
          <w:sz w:val="22"/>
        </w:rPr>
        <w:t>The dataset was split 80/10/10 (stratified): 6,549 training, 819 validation, 819 test. StandardScaler was fitted on X_train only — no data leakage. Four models were trained with class_weight=balanced to handle the 62/38 imbalance.</w:t>
      </w:r>
    </w:p>
    <w:p>
      <w:pPr>
        <w:pStyle w:val="Heading2"/>
      </w:pPr>
      <w:r>
        <w:rPr>
          <w:rFonts w:ascii="Calibri" w:hAnsi="Calibri"/>
          <w:color w:val="1B3A5C"/>
        </w:rPr>
        <w:t>5.1 Cross-Validation Results (5-Fold Stratified)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Model</w:t>
            </w:r>
          </w:p>
        </w:tc>
        <w:tc>
          <w:tcPr>
            <w:tcW w:type="dxa" w:w="2160"/>
          </w:tcPr>
          <w:p>
            <w:r/>
            <w:r>
              <w:rPr>
                <w:rFonts w:ascii="Calibri" w:hAnsi="Calibri"/>
                <w:b/>
                <w:sz w:val="20"/>
              </w:rPr>
              <w:t>Sensitivity</w:t>
            </w:r>
          </w:p>
        </w:tc>
        <w:tc>
          <w:tcPr>
            <w:tcW w:type="dxa" w:w="2160"/>
          </w:tcPr>
          <w:p>
            <w:r/>
            <w:r>
              <w:rPr>
                <w:rFonts w:ascii="Calibri" w:hAnsi="Calibri"/>
                <w:b/>
                <w:sz w:val="20"/>
              </w:rPr>
              <w:t>Specificity</w:t>
            </w:r>
          </w:p>
        </w:tc>
        <w:tc>
          <w:tcPr>
            <w:tcW w:type="dxa" w:w="2160"/>
          </w:tcPr>
          <w:p>
            <w:r/>
            <w:r>
              <w:rPr>
                <w:rFonts w:ascii="Calibri" w:hAnsi="Calibri"/>
                <w:b/>
                <w:sz w:val="20"/>
              </w:rPr>
              <w:t>AUROC</w:t>
            </w:r>
          </w:p>
        </w:tc>
      </w:tr>
      <w:tr>
        <w:tc>
          <w:tcPr>
            <w:tcW w:type="dxa" w:w="2160"/>
          </w:tcPr>
          <w:p>
            <w:r/>
            <w:r>
              <w:rPr>
                <w:rFonts w:ascii="Calibri" w:hAnsi="Calibri"/>
                <w:b w:val="0"/>
                <w:sz w:val="20"/>
              </w:rPr>
              <w:t>Logistic Regression</w:t>
            </w:r>
          </w:p>
        </w:tc>
        <w:tc>
          <w:tcPr>
            <w:tcW w:type="dxa" w:w="2160"/>
          </w:tcPr>
          <w:p>
            <w:r/>
            <w:r>
              <w:rPr>
                <w:rFonts w:ascii="Calibri" w:hAnsi="Calibri"/>
                <w:b w:val="0"/>
                <w:sz w:val="20"/>
              </w:rPr>
              <w:t>80.5% ±0.1%</w:t>
            </w:r>
          </w:p>
        </w:tc>
        <w:tc>
          <w:tcPr>
            <w:tcW w:type="dxa" w:w="2160"/>
          </w:tcPr>
          <w:p>
            <w:r/>
            <w:r>
              <w:rPr>
                <w:rFonts w:ascii="Calibri" w:hAnsi="Calibri"/>
                <w:b w:val="0"/>
                <w:sz w:val="20"/>
              </w:rPr>
              <w:t>84.2% ±2.0%</w:t>
            </w:r>
          </w:p>
        </w:tc>
        <w:tc>
          <w:tcPr>
            <w:tcW w:type="dxa" w:w="2160"/>
          </w:tcPr>
          <w:p>
            <w:r/>
            <w:r>
              <w:rPr>
                <w:rFonts w:ascii="Calibri" w:hAnsi="Calibri"/>
                <w:b w:val="0"/>
                <w:sz w:val="20"/>
              </w:rPr>
              <w:t>0.8817 ±0.0066</w:t>
            </w:r>
          </w:p>
        </w:tc>
      </w:tr>
      <w:tr>
        <w:tc>
          <w:tcPr>
            <w:tcW w:type="dxa" w:w="2160"/>
          </w:tcPr>
          <w:p>
            <w:r/>
            <w:r>
              <w:rPr>
                <w:rFonts w:ascii="Calibri" w:hAnsi="Calibri"/>
                <w:b w:val="0"/>
                <w:sz w:val="20"/>
              </w:rPr>
              <w:t>Random Forest</w:t>
            </w:r>
          </w:p>
        </w:tc>
        <w:tc>
          <w:tcPr>
            <w:tcW w:type="dxa" w:w="2160"/>
          </w:tcPr>
          <w:p>
            <w:r/>
            <w:r>
              <w:rPr>
                <w:rFonts w:ascii="Calibri" w:hAnsi="Calibri"/>
                <w:b w:val="0"/>
                <w:sz w:val="20"/>
              </w:rPr>
              <w:t>80.3% ±0.2%</w:t>
            </w:r>
          </w:p>
        </w:tc>
        <w:tc>
          <w:tcPr>
            <w:tcW w:type="dxa" w:w="2160"/>
          </w:tcPr>
          <w:p>
            <w:r/>
            <w:r>
              <w:rPr>
                <w:rFonts w:ascii="Calibri" w:hAnsi="Calibri"/>
                <w:b w:val="0"/>
                <w:sz w:val="20"/>
              </w:rPr>
              <w:t>86.7% ±1.3%</w:t>
            </w:r>
          </w:p>
        </w:tc>
        <w:tc>
          <w:tcPr>
            <w:tcW w:type="dxa" w:w="2160"/>
          </w:tcPr>
          <w:p>
            <w:r/>
            <w:r>
              <w:rPr>
                <w:rFonts w:ascii="Calibri" w:hAnsi="Calibri"/>
                <w:b w:val="0"/>
                <w:sz w:val="20"/>
              </w:rPr>
              <w:t>0.8955 ±0.0080</w:t>
            </w:r>
          </w:p>
        </w:tc>
      </w:tr>
      <w:tr>
        <w:tc>
          <w:tcPr>
            <w:tcW w:type="dxa" w:w="2160"/>
          </w:tcPr>
          <w:p>
            <w:r/>
            <w:r>
              <w:rPr>
                <w:rFonts w:ascii="Calibri" w:hAnsi="Calibri"/>
                <w:b w:val="0"/>
                <w:sz w:val="20"/>
              </w:rPr>
              <w:t>XGBoost</w:t>
            </w:r>
          </w:p>
        </w:tc>
        <w:tc>
          <w:tcPr>
            <w:tcW w:type="dxa" w:w="2160"/>
          </w:tcPr>
          <w:p>
            <w:r/>
            <w:r>
              <w:rPr>
                <w:rFonts w:ascii="Calibri" w:hAnsi="Calibri"/>
                <w:b w:val="0"/>
                <w:sz w:val="20"/>
              </w:rPr>
              <w:t>80.4% ±0.2%</w:t>
            </w:r>
          </w:p>
        </w:tc>
        <w:tc>
          <w:tcPr>
            <w:tcW w:type="dxa" w:w="2160"/>
          </w:tcPr>
          <w:p>
            <w:r/>
            <w:r>
              <w:rPr>
                <w:rFonts w:ascii="Calibri" w:hAnsi="Calibri"/>
                <w:b w:val="0"/>
                <w:sz w:val="20"/>
              </w:rPr>
              <w:t>82.5% ±1.9%</w:t>
            </w:r>
          </w:p>
        </w:tc>
        <w:tc>
          <w:tcPr>
            <w:tcW w:type="dxa" w:w="2160"/>
          </w:tcPr>
          <w:p>
            <w:r/>
            <w:r>
              <w:rPr>
                <w:rFonts w:ascii="Calibri" w:hAnsi="Calibri"/>
                <w:b w:val="0"/>
                <w:sz w:val="20"/>
              </w:rPr>
              <w:t>0.8809 ±0.0054</w:t>
            </w:r>
          </w:p>
        </w:tc>
      </w:tr>
      <w:tr>
        <w:tc>
          <w:tcPr>
            <w:tcW w:type="dxa" w:w="2160"/>
          </w:tcPr>
          <w:p>
            <w:r/>
            <w:r>
              <w:rPr>
                <w:rFonts w:ascii="Calibri" w:hAnsi="Calibri"/>
                <w:b w:val="0"/>
                <w:sz w:val="20"/>
              </w:rPr>
              <w:t>SVM</w:t>
            </w:r>
          </w:p>
        </w:tc>
        <w:tc>
          <w:tcPr>
            <w:tcW w:type="dxa" w:w="2160"/>
          </w:tcPr>
          <w:p>
            <w:r/>
            <w:r>
              <w:rPr>
                <w:rFonts w:ascii="Calibri" w:hAnsi="Calibri"/>
                <w:b w:val="0"/>
                <w:sz w:val="20"/>
              </w:rPr>
              <w:t>80.3% ±0.2%</w:t>
            </w:r>
          </w:p>
        </w:tc>
        <w:tc>
          <w:tcPr>
            <w:tcW w:type="dxa" w:w="2160"/>
          </w:tcPr>
          <w:p>
            <w:r/>
            <w:r>
              <w:rPr>
                <w:rFonts w:ascii="Calibri" w:hAnsi="Calibri"/>
                <w:b w:val="0"/>
                <w:sz w:val="20"/>
              </w:rPr>
              <w:t>86.9% ±1.4%</w:t>
            </w:r>
          </w:p>
        </w:tc>
        <w:tc>
          <w:tcPr>
            <w:tcW w:type="dxa" w:w="2160"/>
          </w:tcPr>
          <w:p>
            <w:r/>
            <w:r>
              <w:rPr>
                <w:rFonts w:ascii="Calibri" w:hAnsi="Calibri"/>
                <w:b w:val="0"/>
                <w:sz w:val="20"/>
              </w:rPr>
              <w:t>0.8960 ±0.0062</w:t>
            </w:r>
          </w:p>
        </w:tc>
      </w:tr>
    </w:tbl>
    <w:p>
      <w:pPr>
        <w:pStyle w:val="Heading2"/>
      </w:pPr>
      <w:r>
        <w:rPr>
          <w:rFonts w:ascii="Calibri" w:hAnsi="Calibri"/>
          <w:color w:val="1B3A5C"/>
        </w:rPr>
        <w:t>5.2 Overfitting Check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Model</w:t>
            </w:r>
          </w:p>
        </w:tc>
        <w:tc>
          <w:tcPr>
            <w:tcW w:type="dxa" w:w="1728"/>
          </w:tcPr>
          <w:p>
            <w:r/>
            <w:r>
              <w:rPr>
                <w:rFonts w:ascii="Calibri" w:hAnsi="Calibri"/>
                <w:b/>
                <w:sz w:val="20"/>
              </w:rPr>
              <w:t>Train Accuracy</w:t>
            </w:r>
          </w:p>
        </w:tc>
        <w:tc>
          <w:tcPr>
            <w:tcW w:type="dxa" w:w="1728"/>
          </w:tcPr>
          <w:p>
            <w:r/>
            <w:r>
              <w:rPr>
                <w:rFonts w:ascii="Calibri" w:hAnsi="Calibri"/>
                <w:b/>
                <w:sz w:val="20"/>
              </w:rPr>
              <w:t>Test Accuracy</w:t>
            </w:r>
          </w:p>
        </w:tc>
        <w:tc>
          <w:tcPr>
            <w:tcW w:type="dxa" w:w="1728"/>
          </w:tcPr>
          <w:p>
            <w:r/>
            <w:r>
              <w:rPr>
                <w:rFonts w:ascii="Calibri" w:hAnsi="Calibri"/>
                <w:b/>
                <w:sz w:val="20"/>
              </w:rPr>
              <w:t>Gap</w:t>
            </w:r>
          </w:p>
        </w:tc>
        <w:tc>
          <w:tcPr>
            <w:tcW w:type="dxa" w:w="1728"/>
          </w:tcPr>
          <w:p>
            <w:r/>
            <w:r>
              <w:rPr>
                <w:rFonts w:ascii="Calibri" w:hAnsi="Calibri"/>
                <w:b/>
                <w:sz w:val="20"/>
              </w:rPr>
              <w:t>Verdict</w:t>
            </w:r>
          </w:p>
        </w:tc>
      </w:tr>
      <w:tr>
        <w:tc>
          <w:tcPr>
            <w:tcW w:type="dxa" w:w="1728"/>
          </w:tcPr>
          <w:p>
            <w:r/>
            <w:r>
              <w:rPr>
                <w:rFonts w:ascii="Calibri" w:hAnsi="Calibri"/>
                <w:b w:val="0"/>
                <w:sz w:val="20"/>
              </w:rPr>
              <w:t>Logistic Regression</w:t>
            </w:r>
          </w:p>
        </w:tc>
        <w:tc>
          <w:tcPr>
            <w:tcW w:type="dxa" w:w="1728"/>
          </w:tcPr>
          <w:p>
            <w:r/>
            <w:r>
              <w:rPr>
                <w:rFonts w:ascii="Calibri" w:hAnsi="Calibri"/>
                <w:b w:val="0"/>
                <w:sz w:val="20"/>
              </w:rPr>
              <w:t>83.2%</w:t>
            </w:r>
          </w:p>
        </w:tc>
        <w:tc>
          <w:tcPr>
            <w:tcW w:type="dxa" w:w="1728"/>
          </w:tcPr>
          <w:p>
            <w:r/>
            <w:r>
              <w:rPr>
                <w:rFonts w:ascii="Calibri" w:hAnsi="Calibri"/>
                <w:b w:val="0"/>
                <w:sz w:val="20"/>
              </w:rPr>
              <w:t>85.6%</w:t>
            </w:r>
          </w:p>
        </w:tc>
        <w:tc>
          <w:tcPr>
            <w:tcW w:type="dxa" w:w="1728"/>
          </w:tcPr>
          <w:p>
            <w:r/>
            <w:r>
              <w:rPr>
                <w:rFonts w:ascii="Calibri" w:hAnsi="Calibri"/>
                <w:b w:val="0"/>
                <w:sz w:val="20"/>
              </w:rPr>
              <w:t>−2.4%</w:t>
            </w:r>
          </w:p>
        </w:tc>
        <w:tc>
          <w:tcPr>
            <w:tcW w:type="dxa" w:w="1728"/>
          </w:tcPr>
          <w:p>
            <w:r/>
            <w:r>
              <w:rPr>
                <w:rFonts w:ascii="Calibri" w:hAnsi="Calibri"/>
                <w:b w:val="0"/>
                <w:sz w:val="20"/>
              </w:rPr>
              <w:t>No overfitting</w:t>
            </w:r>
          </w:p>
        </w:tc>
      </w:tr>
      <w:tr>
        <w:tc>
          <w:tcPr>
            <w:tcW w:type="dxa" w:w="1728"/>
          </w:tcPr>
          <w:p>
            <w:r/>
            <w:r>
              <w:rPr>
                <w:rFonts w:ascii="Calibri" w:hAnsi="Calibri"/>
                <w:b w:val="0"/>
                <w:sz w:val="20"/>
              </w:rPr>
              <w:t>Random Forest</w:t>
            </w:r>
          </w:p>
        </w:tc>
        <w:tc>
          <w:tcPr>
            <w:tcW w:type="dxa" w:w="1728"/>
          </w:tcPr>
          <w:p>
            <w:r/>
            <w:r>
              <w:rPr>
                <w:rFonts w:ascii="Calibri" w:hAnsi="Calibri"/>
                <w:b w:val="0"/>
                <w:sz w:val="20"/>
              </w:rPr>
              <w:t>100.0%</w:t>
            </w:r>
          </w:p>
        </w:tc>
        <w:tc>
          <w:tcPr>
            <w:tcW w:type="dxa" w:w="1728"/>
          </w:tcPr>
          <w:p>
            <w:r/>
            <w:r>
              <w:rPr>
                <w:rFonts w:ascii="Calibri" w:hAnsi="Calibri"/>
                <w:b w:val="0"/>
                <w:sz w:val="20"/>
              </w:rPr>
              <w:t>86.6%</w:t>
            </w:r>
          </w:p>
        </w:tc>
        <w:tc>
          <w:tcPr>
            <w:tcW w:type="dxa" w:w="1728"/>
          </w:tcPr>
          <w:p>
            <w:r/>
            <w:r>
              <w:rPr>
                <w:rFonts w:ascii="Calibri" w:hAnsi="Calibri"/>
                <w:b w:val="0"/>
                <w:sz w:val="20"/>
              </w:rPr>
              <w:t>+13.4%</w:t>
            </w:r>
          </w:p>
        </w:tc>
        <w:tc>
          <w:tcPr>
            <w:tcW w:type="dxa" w:w="1728"/>
          </w:tcPr>
          <w:p>
            <w:r/>
            <w:r>
              <w:rPr>
                <w:rFonts w:ascii="Calibri" w:hAnsi="Calibri"/>
                <w:b w:val="0"/>
                <w:sz w:val="20"/>
              </w:rPr>
              <w:t>Significant overfitting</w:t>
            </w:r>
          </w:p>
        </w:tc>
      </w:tr>
      <w:tr>
        <w:tc>
          <w:tcPr>
            <w:tcW w:type="dxa" w:w="1728"/>
          </w:tcPr>
          <w:p>
            <w:r/>
            <w:r>
              <w:rPr>
                <w:rFonts w:ascii="Calibri" w:hAnsi="Calibri"/>
                <w:b w:val="0"/>
                <w:sz w:val="20"/>
              </w:rPr>
              <w:t>XGBoost</w:t>
            </w:r>
          </w:p>
        </w:tc>
        <w:tc>
          <w:tcPr>
            <w:tcW w:type="dxa" w:w="1728"/>
          </w:tcPr>
          <w:p>
            <w:r/>
            <w:r>
              <w:rPr>
                <w:rFonts w:ascii="Calibri" w:hAnsi="Calibri"/>
                <w:b w:val="0"/>
                <w:sz w:val="20"/>
              </w:rPr>
              <w:t>99.8%</w:t>
            </w:r>
          </w:p>
        </w:tc>
        <w:tc>
          <w:tcPr>
            <w:tcW w:type="dxa" w:w="1728"/>
          </w:tcPr>
          <w:p>
            <w:r/>
            <w:r>
              <w:rPr>
                <w:rFonts w:ascii="Calibri" w:hAnsi="Calibri"/>
                <w:b w:val="0"/>
                <w:sz w:val="20"/>
              </w:rPr>
              <w:t>86.2%</w:t>
            </w:r>
          </w:p>
        </w:tc>
        <w:tc>
          <w:tcPr>
            <w:tcW w:type="dxa" w:w="1728"/>
          </w:tcPr>
          <w:p>
            <w:r/>
            <w:r>
              <w:rPr>
                <w:rFonts w:ascii="Calibri" w:hAnsi="Calibri"/>
                <w:b w:val="0"/>
                <w:sz w:val="20"/>
              </w:rPr>
              <w:t>+13.6%</w:t>
            </w:r>
          </w:p>
        </w:tc>
        <w:tc>
          <w:tcPr>
            <w:tcW w:type="dxa" w:w="1728"/>
          </w:tcPr>
          <w:p>
            <w:r/>
            <w:r>
              <w:rPr>
                <w:rFonts w:ascii="Calibri" w:hAnsi="Calibri"/>
                <w:b w:val="0"/>
                <w:sz w:val="20"/>
              </w:rPr>
              <w:t>Significant overfitting</w:t>
            </w:r>
          </w:p>
        </w:tc>
      </w:tr>
      <w:tr>
        <w:tc>
          <w:tcPr>
            <w:tcW w:type="dxa" w:w="1728"/>
          </w:tcPr>
          <w:p>
            <w:r/>
            <w:r>
              <w:rPr>
                <w:rFonts w:ascii="Calibri" w:hAnsi="Calibri"/>
                <w:b w:val="0"/>
                <w:sz w:val="20"/>
              </w:rPr>
              <w:t>SVM</w:t>
            </w:r>
          </w:p>
        </w:tc>
        <w:tc>
          <w:tcPr>
            <w:tcW w:type="dxa" w:w="1728"/>
          </w:tcPr>
          <w:p>
            <w:r/>
            <w:r>
              <w:rPr>
                <w:rFonts w:ascii="Calibri" w:hAnsi="Calibri"/>
                <w:b w:val="0"/>
                <w:sz w:val="20"/>
              </w:rPr>
              <w:t>85.6%</w:t>
            </w:r>
          </w:p>
        </w:tc>
        <w:tc>
          <w:tcPr>
            <w:tcW w:type="dxa" w:w="1728"/>
          </w:tcPr>
          <w:p>
            <w:r/>
            <w:r>
              <w:rPr>
                <w:rFonts w:ascii="Calibri" w:hAnsi="Calibri"/>
                <w:b w:val="0"/>
                <w:sz w:val="20"/>
              </w:rPr>
              <w:t>86.8%</w:t>
            </w:r>
          </w:p>
        </w:tc>
        <w:tc>
          <w:tcPr>
            <w:tcW w:type="dxa" w:w="1728"/>
          </w:tcPr>
          <w:p>
            <w:r/>
            <w:r>
              <w:rPr>
                <w:rFonts w:ascii="Calibri" w:hAnsi="Calibri"/>
                <w:b w:val="0"/>
                <w:sz w:val="20"/>
              </w:rPr>
              <w:t>−1.2%</w:t>
            </w:r>
          </w:p>
        </w:tc>
        <w:tc>
          <w:tcPr>
            <w:tcW w:type="dxa" w:w="1728"/>
          </w:tcPr>
          <w:p>
            <w:r/>
            <w:r>
              <w:rPr>
                <w:rFonts w:ascii="Calibri" w:hAnsi="Calibri"/>
                <w:b w:val="0"/>
                <w:sz w:val="20"/>
              </w:rPr>
              <w:t>No overfitting</w:t>
            </w:r>
          </w:p>
        </w:tc>
      </w:tr>
    </w:tbl>
    <w:p>
      <w:pPr>
        <w:pStyle w:val="Heading2"/>
      </w:pPr>
      <w:r>
        <w:rPr>
          <w:rFonts w:ascii="Calibri" w:hAnsi="Calibri"/>
          <w:color w:val="1B3A5C"/>
        </w:rPr>
        <w:t>5.3 Model Selection — SVM</w:t>
      </w:r>
    </w:p>
    <w:p>
      <w:r>
        <w:rPr>
          <w:rFonts w:ascii="Calibri" w:hAnsi="Calibri"/>
          <w:b w:val="0"/>
          <w:sz w:val="22"/>
        </w:rPr>
        <w:t>SVM was selected using a five-criterion natural selection framework. It achieved the highest validation specificity (88.1%), fewest false positives (60), and showed no overfitting (−1.2% train-test gap). Criterion 2 resolved the selection.</w:t>
      </w:r>
    </w:p>
    <w:p>
      <w:pPr>
        <w:pStyle w:val="Heading2"/>
      </w:pPr>
      <w:r>
        <w:rPr>
          <w:rFonts w:ascii="Calibri" w:hAnsi="Calibri"/>
          <w:color w:val="1B3A5C"/>
        </w:rPr>
        <w:t>5.4 Held-Out Test Set Results (Threshold = 0.34)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20"/>
              </w:rPr>
              <w:t>Metric</w:t>
            </w:r>
          </w:p>
        </w:tc>
        <w:tc>
          <w:tcPr>
            <w:tcW w:type="dxa" w:w="4320"/>
          </w:tcPr>
          <w:p>
            <w:r/>
            <w:r>
              <w:rPr>
                <w:rFonts w:ascii="Calibri" w:hAnsi="Calibri"/>
                <w:b/>
                <w:sz w:val="20"/>
              </w:rPr>
              <w:t>Value</w:t>
            </w:r>
          </w:p>
        </w:tc>
      </w:tr>
      <w:tr>
        <w:tc>
          <w:tcPr>
            <w:tcW w:type="dxa" w:w="4320"/>
          </w:tcPr>
          <w:p>
            <w:r/>
            <w:r>
              <w:rPr>
                <w:rFonts w:ascii="Calibri" w:hAnsi="Calibri"/>
                <w:b w:val="0"/>
                <w:sz w:val="20"/>
              </w:rPr>
              <w:t>Sensitivity</w:t>
            </w:r>
          </w:p>
        </w:tc>
        <w:tc>
          <w:tcPr>
            <w:tcW w:type="dxa" w:w="4320"/>
          </w:tcPr>
          <w:p>
            <w:r/>
            <w:r>
              <w:rPr>
                <w:rFonts w:ascii="Calibri" w:hAnsi="Calibri"/>
                <w:b w:val="0"/>
                <w:sz w:val="20"/>
              </w:rPr>
              <w:t>84.4%</w:t>
            </w:r>
          </w:p>
        </w:tc>
      </w:tr>
      <w:tr>
        <w:tc>
          <w:tcPr>
            <w:tcW w:type="dxa" w:w="4320"/>
          </w:tcPr>
          <w:p>
            <w:r/>
            <w:r>
              <w:rPr>
                <w:rFonts w:ascii="Calibri" w:hAnsi="Calibri"/>
                <w:b w:val="0"/>
                <w:sz w:val="20"/>
              </w:rPr>
              <w:t>Specificity</w:t>
            </w:r>
          </w:p>
        </w:tc>
        <w:tc>
          <w:tcPr>
            <w:tcW w:type="dxa" w:w="4320"/>
          </w:tcPr>
          <w:p>
            <w:r/>
            <w:r>
              <w:rPr>
                <w:rFonts w:ascii="Calibri" w:hAnsi="Calibri"/>
                <w:b w:val="0"/>
                <w:sz w:val="20"/>
              </w:rPr>
              <w:t>87.3%</w:t>
            </w:r>
          </w:p>
        </w:tc>
      </w:tr>
      <w:tr>
        <w:tc>
          <w:tcPr>
            <w:tcW w:type="dxa" w:w="4320"/>
          </w:tcPr>
          <w:p>
            <w:r/>
            <w:r>
              <w:rPr>
                <w:rFonts w:ascii="Calibri" w:hAnsi="Calibri"/>
                <w:b w:val="0"/>
                <w:sz w:val="20"/>
              </w:rPr>
              <w:t>AUROC</w:t>
            </w:r>
          </w:p>
        </w:tc>
        <w:tc>
          <w:tcPr>
            <w:tcW w:type="dxa" w:w="4320"/>
          </w:tcPr>
          <w:p>
            <w:r/>
            <w:r>
              <w:rPr>
                <w:rFonts w:ascii="Calibri" w:hAnsi="Calibri"/>
                <w:b w:val="0"/>
                <w:sz w:val="20"/>
              </w:rPr>
              <w:t>0.9080</w:t>
            </w:r>
          </w:p>
        </w:tc>
      </w:tr>
      <w:tr>
        <w:tc>
          <w:tcPr>
            <w:tcW w:type="dxa" w:w="4320"/>
          </w:tcPr>
          <w:p>
            <w:r/>
            <w:r>
              <w:rPr>
                <w:rFonts w:ascii="Calibri" w:hAnsi="Calibri"/>
                <w:b w:val="0"/>
                <w:sz w:val="20"/>
              </w:rPr>
              <w:t>F1 Score</w:t>
            </w:r>
          </w:p>
        </w:tc>
        <w:tc>
          <w:tcPr>
            <w:tcW w:type="dxa" w:w="4320"/>
          </w:tcPr>
          <w:p>
            <w:r/>
            <w:r>
              <w:rPr>
                <w:rFonts w:ascii="Calibri" w:hAnsi="Calibri"/>
                <w:b w:val="0"/>
                <w:sz w:val="20"/>
              </w:rPr>
              <w:t>0.8243</w:t>
            </w:r>
          </w:p>
        </w:tc>
      </w:tr>
      <w:tr>
        <w:tc>
          <w:tcPr>
            <w:tcW w:type="dxa" w:w="4320"/>
          </w:tcPr>
          <w:p>
            <w:r/>
            <w:r>
              <w:rPr>
                <w:rFonts w:ascii="Calibri" w:hAnsi="Calibri"/>
                <w:b w:val="0"/>
                <w:sz w:val="20"/>
              </w:rPr>
              <w:t>AF Sensitivity</w:t>
            </w:r>
          </w:p>
        </w:tc>
        <w:tc>
          <w:tcPr>
            <w:tcW w:type="dxa" w:w="4320"/>
          </w:tcPr>
          <w:p>
            <w:r/>
            <w:r>
              <w:rPr>
                <w:rFonts w:ascii="Calibri" w:hAnsi="Calibri"/>
                <w:b w:val="0"/>
                <w:sz w:val="20"/>
              </w:rPr>
              <w:t>98.8%</w:t>
            </w:r>
          </w:p>
        </w:tc>
      </w:tr>
      <w:tr>
        <w:tc>
          <w:tcPr>
            <w:tcW w:type="dxa" w:w="4320"/>
          </w:tcPr>
          <w:p>
            <w:r/>
            <w:r>
              <w:rPr>
                <w:rFonts w:ascii="Calibri" w:hAnsi="Calibri"/>
                <w:b w:val="0"/>
                <w:sz w:val="20"/>
              </w:rPr>
              <w:t>Confusion Matrix</w:t>
            </w:r>
          </w:p>
        </w:tc>
        <w:tc>
          <w:tcPr>
            <w:tcW w:type="dxa" w:w="4320"/>
          </w:tcPr>
          <w:p>
            <w:r/>
            <w:r>
              <w:rPr>
                <w:rFonts w:ascii="Calibri" w:hAnsi="Calibri"/>
                <w:b w:val="0"/>
                <w:sz w:val="20"/>
              </w:rPr>
              <w:t>TP=265, FP=64, FN=49, TN=441</w:t>
            </w:r>
          </w:p>
        </w:tc>
      </w:tr>
      <w:tr>
        <w:tc>
          <w:tcPr>
            <w:tcW w:type="dxa" w:w="4320"/>
          </w:tcPr>
          <w:p>
            <w:r/>
            <w:r>
              <w:rPr>
                <w:rFonts w:ascii="Calibri" w:hAnsi="Calibri"/>
                <w:b w:val="0"/>
                <w:sz w:val="20"/>
              </w:rPr>
              <w:t>Pre-registered criterion</w:t>
            </w:r>
          </w:p>
        </w:tc>
        <w:tc>
          <w:tcPr>
            <w:tcW w:type="dxa" w:w="4320"/>
          </w:tcPr>
          <w:p>
            <w:r/>
            <w:r>
              <w:rPr>
                <w:rFonts w:ascii="Calibri" w:hAnsi="Calibri"/>
                <w:b w:val="0"/>
                <w:sz w:val="20"/>
              </w:rPr>
              <w:t>PASS (Sens ≥80%, Spec ≥75%)</w:t>
            </w:r>
          </w:p>
        </w:tc>
      </w:tr>
    </w:tbl>
    <w:p>
      <w:pPr>
        <w:pStyle w:val="Heading1"/>
      </w:pPr>
      <w:r>
        <w:rPr>
          <w:rFonts w:ascii="Calibri" w:hAnsi="Calibri"/>
          <w:color w:val="1B3A5C"/>
        </w:rPr>
        <w:t>6. Layer 2A — Apple Watch N=1 Case Study</w:t>
      </w:r>
    </w:p>
    <w:p>
      <w:r>
        <w:rPr>
          <w:rFonts w:ascii="Calibri" w:hAnsi="Calibri"/>
          <w:b w:val="0"/>
          <w:sz w:val="22"/>
        </w:rPr>
        <w:t>1,997 feature windows were generated (30-minute windows, 15-minute step, minimum 10 readings). Windows by period: baseline=1,758, pre_anchor=95, post_anchor=29, follow_up=115.</w:t>
      </w:r>
    </w:p>
    <w:p>
      <w:pPr>
        <w:pStyle w:val="Heading2"/>
      </w:pPr>
      <w:r>
        <w:rPr>
          <w:rFonts w:ascii="Calibri" w:hAnsi="Calibri"/>
          <w:color w:val="1B3A5C"/>
        </w:rPr>
        <w:t>6.1 Signal Modality Gap (KS Test)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Feature</w:t>
            </w:r>
          </w:p>
        </w:tc>
        <w:tc>
          <w:tcPr>
            <w:tcW w:type="dxa" w:w="2160"/>
          </w:tcPr>
          <w:p>
            <w:r/>
            <w:r>
              <w:rPr>
                <w:rFonts w:ascii="Calibri" w:hAnsi="Calibri"/>
                <w:b/>
                <w:sz w:val="20"/>
              </w:rPr>
              <w:t>KS Statistic</w:t>
            </w:r>
          </w:p>
        </w:tc>
        <w:tc>
          <w:tcPr>
            <w:tcW w:type="dxa" w:w="2160"/>
          </w:tcPr>
          <w:p>
            <w:r/>
            <w:r>
              <w:rPr>
                <w:rFonts w:ascii="Calibri" w:hAnsi="Calibri"/>
                <w:b/>
                <w:sz w:val="20"/>
              </w:rPr>
              <w:t>Direction</w:t>
            </w:r>
          </w:p>
        </w:tc>
        <w:tc>
          <w:tcPr>
            <w:tcW w:type="dxa" w:w="2160"/>
          </w:tcPr>
          <w:p>
            <w:r/>
            <w:r>
              <w:rPr>
                <w:rFonts w:ascii="Calibri" w:hAnsi="Calibri"/>
                <w:b/>
                <w:sz w:val="20"/>
              </w:rPr>
              <w:t>Magnitude</w:t>
            </w:r>
          </w:p>
        </w:tc>
      </w:tr>
      <w:tr>
        <w:tc>
          <w:tcPr>
            <w:tcW w:type="dxa" w:w="2160"/>
          </w:tcPr>
          <w:p>
            <w:r/>
            <w:r>
              <w:rPr>
                <w:rFonts w:ascii="Calibri" w:hAnsi="Calibri"/>
                <w:b w:val="0"/>
                <w:sz w:val="20"/>
              </w:rPr>
              <w:t>RMSSD</w:t>
            </w:r>
          </w:p>
        </w:tc>
        <w:tc>
          <w:tcPr>
            <w:tcW w:type="dxa" w:w="2160"/>
          </w:tcPr>
          <w:p>
            <w:r/>
            <w:r>
              <w:rPr>
                <w:rFonts w:ascii="Calibri" w:hAnsi="Calibri"/>
                <w:b w:val="0"/>
                <w:sz w:val="20"/>
              </w:rPr>
              <w:t>0.424</w:t>
            </w:r>
          </w:p>
        </w:tc>
        <w:tc>
          <w:tcPr>
            <w:tcW w:type="dxa" w:w="2160"/>
          </w:tcPr>
          <w:p>
            <w:r/>
            <w:r>
              <w:rPr>
                <w:rFonts w:ascii="Calibri" w:hAnsi="Calibri"/>
                <w:b w:val="0"/>
                <w:sz w:val="20"/>
              </w:rPr>
              <w:t>AW lower</w:t>
            </w:r>
          </w:p>
        </w:tc>
        <w:tc>
          <w:tcPr>
            <w:tcW w:type="dxa" w:w="2160"/>
          </w:tcPr>
          <w:p>
            <w:r/>
            <w:r>
              <w:rPr>
                <w:rFonts w:ascii="Calibri" w:hAnsi="Calibri"/>
                <w:b w:val="0"/>
                <w:sz w:val="20"/>
              </w:rPr>
              <w:t>Large</w:t>
            </w:r>
          </w:p>
        </w:tc>
      </w:tr>
      <w:tr>
        <w:tc>
          <w:tcPr>
            <w:tcW w:type="dxa" w:w="2160"/>
          </w:tcPr>
          <w:p>
            <w:r/>
            <w:r>
              <w:rPr>
                <w:rFonts w:ascii="Calibri" w:hAnsi="Calibri"/>
                <w:b w:val="0"/>
                <w:sz w:val="20"/>
              </w:rPr>
              <w:t>HR Mean</w:t>
            </w:r>
          </w:p>
        </w:tc>
        <w:tc>
          <w:tcPr>
            <w:tcW w:type="dxa" w:w="2160"/>
          </w:tcPr>
          <w:p>
            <w:r/>
            <w:r>
              <w:rPr>
                <w:rFonts w:ascii="Calibri" w:hAnsi="Calibri"/>
                <w:b w:val="0"/>
                <w:sz w:val="20"/>
              </w:rPr>
              <w:t>0.416</w:t>
            </w:r>
          </w:p>
        </w:tc>
        <w:tc>
          <w:tcPr>
            <w:tcW w:type="dxa" w:w="2160"/>
          </w:tcPr>
          <w:p>
            <w:r/>
            <w:r>
              <w:rPr>
                <w:rFonts w:ascii="Calibri" w:hAnsi="Calibri"/>
                <w:b w:val="0"/>
                <w:sz w:val="20"/>
              </w:rPr>
              <w:t>AW higher</w:t>
            </w:r>
          </w:p>
        </w:tc>
        <w:tc>
          <w:tcPr>
            <w:tcW w:type="dxa" w:w="2160"/>
          </w:tcPr>
          <w:p>
            <w:r/>
            <w:r>
              <w:rPr>
                <w:rFonts w:ascii="Calibri" w:hAnsi="Calibri"/>
                <w:b w:val="0"/>
                <w:sz w:val="20"/>
              </w:rPr>
              <w:t>Large</w:t>
            </w:r>
          </w:p>
        </w:tc>
      </w:tr>
      <w:tr>
        <w:tc>
          <w:tcPr>
            <w:tcW w:type="dxa" w:w="2160"/>
          </w:tcPr>
          <w:p>
            <w:r/>
            <w:r>
              <w:rPr>
                <w:rFonts w:ascii="Calibri" w:hAnsi="Calibri"/>
                <w:b w:val="0"/>
                <w:sz w:val="20"/>
              </w:rPr>
              <w:t>Mean RR</w:t>
            </w:r>
          </w:p>
        </w:tc>
        <w:tc>
          <w:tcPr>
            <w:tcW w:type="dxa" w:w="2160"/>
          </w:tcPr>
          <w:p>
            <w:r/>
            <w:r>
              <w:rPr>
                <w:rFonts w:ascii="Calibri" w:hAnsi="Calibri"/>
                <w:b w:val="0"/>
                <w:sz w:val="20"/>
              </w:rPr>
              <w:t>0.390</w:t>
            </w:r>
          </w:p>
        </w:tc>
        <w:tc>
          <w:tcPr>
            <w:tcW w:type="dxa" w:w="2160"/>
          </w:tcPr>
          <w:p>
            <w:r/>
            <w:r>
              <w:rPr>
                <w:rFonts w:ascii="Calibri" w:hAnsi="Calibri"/>
                <w:b w:val="0"/>
                <w:sz w:val="20"/>
              </w:rPr>
              <w:t>AW lower</w:t>
            </w:r>
          </w:p>
        </w:tc>
        <w:tc>
          <w:tcPr>
            <w:tcW w:type="dxa" w:w="2160"/>
          </w:tcPr>
          <w:p>
            <w:r/>
            <w:r>
              <w:rPr>
                <w:rFonts w:ascii="Calibri" w:hAnsi="Calibri"/>
                <w:b w:val="0"/>
                <w:sz w:val="20"/>
              </w:rPr>
              <w:t>Large</w:t>
            </w:r>
          </w:p>
        </w:tc>
      </w:tr>
      <w:tr>
        <w:tc>
          <w:tcPr>
            <w:tcW w:type="dxa" w:w="2160"/>
          </w:tcPr>
          <w:p>
            <w:r/>
            <w:r>
              <w:rPr>
                <w:rFonts w:ascii="Calibri" w:hAnsi="Calibri"/>
                <w:b w:val="0"/>
                <w:sz w:val="20"/>
              </w:rPr>
              <w:t>HR Std Dev</w:t>
            </w:r>
          </w:p>
        </w:tc>
        <w:tc>
          <w:tcPr>
            <w:tcW w:type="dxa" w:w="2160"/>
          </w:tcPr>
          <w:p>
            <w:r/>
            <w:r>
              <w:rPr>
                <w:rFonts w:ascii="Calibri" w:hAnsi="Calibri"/>
                <w:b w:val="0"/>
                <w:sz w:val="20"/>
              </w:rPr>
              <w:t>0.359</w:t>
            </w:r>
          </w:p>
        </w:tc>
        <w:tc>
          <w:tcPr>
            <w:tcW w:type="dxa" w:w="2160"/>
          </w:tcPr>
          <w:p>
            <w:r/>
            <w:r>
              <w:rPr>
                <w:rFonts w:ascii="Calibri" w:hAnsi="Calibri"/>
                <w:b w:val="0"/>
                <w:sz w:val="20"/>
              </w:rPr>
              <w:t>AW higher</w:t>
            </w:r>
          </w:p>
        </w:tc>
        <w:tc>
          <w:tcPr>
            <w:tcW w:type="dxa" w:w="2160"/>
          </w:tcPr>
          <w:p>
            <w:r/>
            <w:r>
              <w:rPr>
                <w:rFonts w:ascii="Calibri" w:hAnsi="Calibri"/>
                <w:b w:val="0"/>
                <w:sz w:val="20"/>
              </w:rPr>
              <w:t>Large</w:t>
            </w:r>
          </w:p>
        </w:tc>
      </w:tr>
      <w:tr>
        <w:tc>
          <w:tcPr>
            <w:tcW w:type="dxa" w:w="2160"/>
          </w:tcPr>
          <w:p>
            <w:r/>
            <w:r>
              <w:rPr>
                <w:rFonts w:ascii="Calibri" w:hAnsi="Calibri"/>
                <w:b w:val="0"/>
                <w:sz w:val="20"/>
              </w:rPr>
              <w:t>SDNN</w:t>
            </w:r>
          </w:p>
        </w:tc>
        <w:tc>
          <w:tcPr>
            <w:tcW w:type="dxa" w:w="2160"/>
          </w:tcPr>
          <w:p>
            <w:r/>
            <w:r>
              <w:rPr>
                <w:rFonts w:ascii="Calibri" w:hAnsi="Calibri"/>
                <w:b w:val="0"/>
                <w:sz w:val="20"/>
              </w:rPr>
              <w:t>0.356</w:t>
            </w:r>
          </w:p>
        </w:tc>
        <w:tc>
          <w:tcPr>
            <w:tcW w:type="dxa" w:w="2160"/>
          </w:tcPr>
          <w:p>
            <w:r/>
            <w:r>
              <w:rPr>
                <w:rFonts w:ascii="Calibri" w:hAnsi="Calibri"/>
                <w:b w:val="0"/>
                <w:sz w:val="20"/>
              </w:rPr>
              <w:t>AW lower</w:t>
            </w:r>
          </w:p>
        </w:tc>
        <w:tc>
          <w:tcPr>
            <w:tcW w:type="dxa" w:w="2160"/>
          </w:tcPr>
          <w:p>
            <w:r/>
            <w:r>
              <w:rPr>
                <w:rFonts w:ascii="Calibri" w:hAnsi="Calibri"/>
                <w:b w:val="0"/>
                <w:sz w:val="20"/>
              </w:rPr>
              <w:t>Large</w:t>
            </w:r>
          </w:p>
        </w:tc>
      </w:tr>
      <w:tr>
        <w:tc>
          <w:tcPr>
            <w:tcW w:type="dxa" w:w="2160"/>
          </w:tcPr>
          <w:p>
            <w:r/>
            <w:r>
              <w:rPr>
                <w:rFonts w:ascii="Calibri" w:hAnsi="Calibri"/>
                <w:b w:val="0"/>
                <w:sz w:val="20"/>
              </w:rPr>
              <w:t>RR Skewness</w:t>
            </w:r>
          </w:p>
        </w:tc>
        <w:tc>
          <w:tcPr>
            <w:tcW w:type="dxa" w:w="2160"/>
          </w:tcPr>
          <w:p>
            <w:r/>
            <w:r>
              <w:rPr>
                <w:rFonts w:ascii="Calibri" w:hAnsi="Calibri"/>
                <w:b w:val="0"/>
                <w:sz w:val="20"/>
              </w:rPr>
              <w:t>0.297</w:t>
            </w:r>
          </w:p>
        </w:tc>
        <w:tc>
          <w:tcPr>
            <w:tcW w:type="dxa" w:w="2160"/>
          </w:tcPr>
          <w:p>
            <w:r/>
            <w:r>
              <w:rPr>
                <w:rFonts w:ascii="Calibri" w:hAnsi="Calibri"/>
                <w:b w:val="0"/>
                <w:sz w:val="20"/>
              </w:rPr>
              <w:t>AW higher</w:t>
            </w:r>
          </w:p>
        </w:tc>
        <w:tc>
          <w:tcPr>
            <w:tcW w:type="dxa" w:w="2160"/>
          </w:tcPr>
          <w:p>
            <w:r/>
            <w:r>
              <w:rPr>
                <w:rFonts w:ascii="Calibri" w:hAnsi="Calibri"/>
                <w:b w:val="0"/>
                <w:sz w:val="20"/>
              </w:rPr>
              <w:t>Moderate</w:t>
            </w:r>
          </w:p>
        </w:tc>
      </w:tr>
      <w:tr>
        <w:tc>
          <w:tcPr>
            <w:tcW w:type="dxa" w:w="2160"/>
          </w:tcPr>
          <w:p>
            <w:r/>
            <w:r>
              <w:rPr>
                <w:rFonts w:ascii="Calibri" w:hAnsi="Calibri"/>
                <w:b w:val="0"/>
                <w:sz w:val="20"/>
              </w:rPr>
              <w:t>pNN50</w:t>
            </w:r>
          </w:p>
        </w:tc>
        <w:tc>
          <w:tcPr>
            <w:tcW w:type="dxa" w:w="2160"/>
          </w:tcPr>
          <w:p>
            <w:r/>
            <w:r>
              <w:rPr>
                <w:rFonts w:ascii="Calibri" w:hAnsi="Calibri"/>
                <w:b w:val="0"/>
                <w:sz w:val="20"/>
              </w:rPr>
              <w:t>0.210</w:t>
            </w:r>
          </w:p>
        </w:tc>
        <w:tc>
          <w:tcPr>
            <w:tcW w:type="dxa" w:w="2160"/>
          </w:tcPr>
          <w:p>
            <w:r/>
            <w:r>
              <w:rPr>
                <w:rFonts w:ascii="Calibri" w:hAnsi="Calibri"/>
                <w:b w:val="0"/>
                <w:sz w:val="20"/>
              </w:rPr>
              <w:t>AW lower</w:t>
            </w:r>
          </w:p>
        </w:tc>
        <w:tc>
          <w:tcPr>
            <w:tcW w:type="dxa" w:w="2160"/>
          </w:tcPr>
          <w:p>
            <w:r/>
            <w:r>
              <w:rPr>
                <w:rFonts w:ascii="Calibri" w:hAnsi="Calibri"/>
                <w:b w:val="0"/>
                <w:sz w:val="20"/>
              </w:rPr>
              <w:t>Moderate</w:t>
            </w:r>
          </w:p>
        </w:tc>
      </w:tr>
      <w:tr>
        <w:tc>
          <w:tcPr>
            <w:tcW w:type="dxa" w:w="2160"/>
          </w:tcPr>
          <w:p>
            <w:r/>
            <w:r>
              <w:rPr>
                <w:rFonts w:ascii="Calibri" w:hAnsi="Calibri"/>
                <w:b w:val="0"/>
                <w:sz w:val="20"/>
              </w:rPr>
              <w:t>RR Kurtosis</w:t>
            </w:r>
          </w:p>
        </w:tc>
        <w:tc>
          <w:tcPr>
            <w:tcW w:type="dxa" w:w="2160"/>
          </w:tcPr>
          <w:p>
            <w:r/>
            <w:r>
              <w:rPr>
                <w:rFonts w:ascii="Calibri" w:hAnsi="Calibri"/>
                <w:b w:val="0"/>
                <w:sz w:val="20"/>
              </w:rPr>
              <w:t>0.193</w:t>
            </w:r>
          </w:p>
        </w:tc>
        <w:tc>
          <w:tcPr>
            <w:tcW w:type="dxa" w:w="2160"/>
          </w:tcPr>
          <w:p>
            <w:r/>
            <w:r>
              <w:rPr>
                <w:rFonts w:ascii="Calibri" w:hAnsi="Calibri"/>
                <w:b w:val="0"/>
                <w:sz w:val="20"/>
              </w:rPr>
              <w:t>AW lower</w:t>
            </w:r>
          </w:p>
        </w:tc>
        <w:tc>
          <w:tcPr>
            <w:tcW w:type="dxa" w:w="2160"/>
          </w:tcPr>
          <w:p>
            <w:r/>
            <w:r>
              <w:rPr>
                <w:rFonts w:ascii="Calibri" w:hAnsi="Calibri"/>
                <w:b w:val="0"/>
                <w:sz w:val="20"/>
              </w:rPr>
              <w:t>Moderate</w:t>
            </w:r>
          </w:p>
        </w:tc>
      </w:tr>
    </w:tbl>
    <w:p>
      <w:r>
        <w:rPr>
          <w:rFonts w:ascii="Calibri" w:hAnsi="Calibri"/>
          <w:b w:val="0"/>
          <w:sz w:val="22"/>
        </w:rPr>
        <w:t>Summary: 5 large (KS &gt; 0.3), 3 moderate (0.1–0.3), 0 small. No feature transferred cleanly between modalities.</w:t>
      </w:r>
    </w:p>
    <w:p>
      <w:pPr>
        <w:pStyle w:val="Heading2"/>
      </w:pPr>
      <w:r>
        <w:rPr>
          <w:rFonts w:ascii="Calibri" w:hAnsi="Calibri"/>
          <w:color w:val="1B3A5C"/>
        </w:rPr>
        <w:t>6.2 Temporal Analysis (Mann-Whitney U)</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sz w:val="20"/>
              </w:rPr>
              <w:t>Period</w:t>
            </w:r>
          </w:p>
        </w:tc>
        <w:tc>
          <w:tcPr>
            <w:tcW w:type="dxa" w:w="1440"/>
          </w:tcPr>
          <w:p>
            <w:r/>
            <w:r>
              <w:rPr>
                <w:rFonts w:ascii="Calibri" w:hAnsi="Calibri"/>
                <w:b/>
                <w:sz w:val="20"/>
              </w:rPr>
              <w:t>n</w:t>
            </w:r>
          </w:p>
        </w:tc>
        <w:tc>
          <w:tcPr>
            <w:tcW w:type="dxa" w:w="1440"/>
          </w:tcPr>
          <w:p>
            <w:r/>
            <w:r>
              <w:rPr>
                <w:rFonts w:ascii="Calibri" w:hAnsi="Calibri"/>
                <w:b/>
                <w:sz w:val="20"/>
              </w:rPr>
              <w:t>Median Score</w:t>
            </w:r>
          </w:p>
        </w:tc>
        <w:tc>
          <w:tcPr>
            <w:tcW w:type="dxa" w:w="1440"/>
          </w:tcPr>
          <w:p>
            <w:r/>
            <w:r>
              <w:rPr>
                <w:rFonts w:ascii="Calibri" w:hAnsi="Calibri"/>
                <w:b/>
                <w:sz w:val="20"/>
              </w:rPr>
              <w:t>p-value</w:t>
            </w:r>
          </w:p>
        </w:tc>
        <w:tc>
          <w:tcPr>
            <w:tcW w:type="dxa" w:w="1440"/>
          </w:tcPr>
          <w:p>
            <w:r/>
            <w:r>
              <w:rPr>
                <w:rFonts w:ascii="Calibri" w:hAnsi="Calibri"/>
                <w:b/>
                <w:sz w:val="20"/>
              </w:rPr>
              <w:t>Effect Size r</w:t>
            </w:r>
          </w:p>
        </w:tc>
        <w:tc>
          <w:tcPr>
            <w:tcW w:type="dxa" w:w="1440"/>
          </w:tcPr>
          <w:p>
            <w:r/>
            <w:r>
              <w:rPr>
                <w:rFonts w:ascii="Calibri" w:hAnsi="Calibri"/>
                <w:b/>
                <w:sz w:val="20"/>
              </w:rPr>
              <w:t>Verdict</w:t>
            </w:r>
          </w:p>
        </w:tc>
      </w:tr>
      <w:tr>
        <w:tc>
          <w:tcPr>
            <w:tcW w:type="dxa" w:w="1440"/>
          </w:tcPr>
          <w:p>
            <w:r/>
            <w:r>
              <w:rPr>
                <w:rFonts w:ascii="Calibri" w:hAnsi="Calibri"/>
                <w:b w:val="0"/>
                <w:sz w:val="20"/>
              </w:rPr>
              <w:t>pre_anchor</w:t>
            </w:r>
          </w:p>
        </w:tc>
        <w:tc>
          <w:tcPr>
            <w:tcW w:type="dxa" w:w="1440"/>
          </w:tcPr>
          <w:p>
            <w:r/>
            <w:r>
              <w:rPr>
                <w:rFonts w:ascii="Calibri" w:hAnsi="Calibri"/>
                <w:b w:val="0"/>
                <w:sz w:val="20"/>
              </w:rPr>
              <w:t>95</w:t>
            </w:r>
          </w:p>
        </w:tc>
        <w:tc>
          <w:tcPr>
            <w:tcW w:type="dxa" w:w="1440"/>
          </w:tcPr>
          <w:p>
            <w:r/>
            <w:r>
              <w:rPr>
                <w:rFonts w:ascii="Calibri" w:hAnsi="Calibri"/>
                <w:b w:val="0"/>
                <w:sz w:val="20"/>
              </w:rPr>
              <w:t>0.104</w:t>
            </w:r>
          </w:p>
        </w:tc>
        <w:tc>
          <w:tcPr>
            <w:tcW w:type="dxa" w:w="1440"/>
          </w:tcPr>
          <w:p>
            <w:r/>
            <w:r>
              <w:rPr>
                <w:rFonts w:ascii="Calibri" w:hAnsi="Calibri"/>
                <w:b w:val="0"/>
                <w:sz w:val="20"/>
              </w:rPr>
              <w:t>0.957</w:t>
            </w:r>
          </w:p>
        </w:tc>
        <w:tc>
          <w:tcPr>
            <w:tcW w:type="dxa" w:w="1440"/>
          </w:tcPr>
          <w:p>
            <w:r/>
            <w:r>
              <w:rPr>
                <w:rFonts w:ascii="Calibri" w:hAnsi="Calibri"/>
                <w:b w:val="0"/>
                <w:sz w:val="20"/>
              </w:rPr>
              <w:t>0.104</w:t>
            </w:r>
          </w:p>
        </w:tc>
        <w:tc>
          <w:tcPr>
            <w:tcW w:type="dxa" w:w="1440"/>
          </w:tcPr>
          <w:p>
            <w:r/>
            <w:r>
              <w:rPr>
                <w:rFonts w:ascii="Calibri" w:hAnsi="Calibri"/>
                <w:b w:val="0"/>
                <w:sz w:val="20"/>
              </w:rPr>
              <w:t>Lower than baseline</w:t>
            </w:r>
          </w:p>
        </w:tc>
      </w:tr>
      <w:tr>
        <w:tc>
          <w:tcPr>
            <w:tcW w:type="dxa" w:w="1440"/>
          </w:tcPr>
          <w:p>
            <w:r/>
            <w:r>
              <w:rPr>
                <w:rFonts w:ascii="Calibri" w:hAnsi="Calibri"/>
                <w:b w:val="0"/>
                <w:sz w:val="20"/>
              </w:rPr>
              <w:t>post_anchor</w:t>
            </w:r>
          </w:p>
        </w:tc>
        <w:tc>
          <w:tcPr>
            <w:tcW w:type="dxa" w:w="1440"/>
          </w:tcPr>
          <w:p>
            <w:r/>
            <w:r>
              <w:rPr>
                <w:rFonts w:ascii="Calibri" w:hAnsi="Calibri"/>
                <w:b w:val="0"/>
                <w:sz w:val="20"/>
              </w:rPr>
              <w:t>29</w:t>
            </w:r>
          </w:p>
        </w:tc>
        <w:tc>
          <w:tcPr>
            <w:tcW w:type="dxa" w:w="1440"/>
          </w:tcPr>
          <w:p>
            <w:r/>
            <w:r>
              <w:rPr>
                <w:rFonts w:ascii="Calibri" w:hAnsi="Calibri"/>
                <w:b w:val="0"/>
                <w:sz w:val="20"/>
              </w:rPr>
              <w:t>0.101</w:t>
            </w:r>
          </w:p>
        </w:tc>
        <w:tc>
          <w:tcPr>
            <w:tcW w:type="dxa" w:w="1440"/>
          </w:tcPr>
          <w:p>
            <w:r/>
            <w:r>
              <w:rPr>
                <w:rFonts w:ascii="Calibri" w:hAnsi="Calibri"/>
                <w:b w:val="0"/>
                <w:sz w:val="20"/>
              </w:rPr>
              <w:t>0.839</w:t>
            </w:r>
          </w:p>
        </w:tc>
        <w:tc>
          <w:tcPr>
            <w:tcW w:type="dxa" w:w="1440"/>
          </w:tcPr>
          <w:p>
            <w:r/>
            <w:r>
              <w:rPr>
                <w:rFonts w:ascii="Calibri" w:hAnsi="Calibri"/>
                <w:b w:val="0"/>
                <w:sz w:val="20"/>
              </w:rPr>
              <w:t>0.107</w:t>
            </w:r>
          </w:p>
        </w:tc>
        <w:tc>
          <w:tcPr>
            <w:tcW w:type="dxa" w:w="1440"/>
          </w:tcPr>
          <w:p>
            <w:r/>
            <w:r>
              <w:rPr>
                <w:rFonts w:ascii="Calibri" w:hAnsi="Calibri"/>
                <w:b w:val="0"/>
                <w:sz w:val="20"/>
              </w:rPr>
              <w:t>Lower than baseline</w:t>
            </w:r>
          </w:p>
        </w:tc>
      </w:tr>
      <w:tr>
        <w:tc>
          <w:tcPr>
            <w:tcW w:type="dxa" w:w="1440"/>
          </w:tcPr>
          <w:p>
            <w:r/>
            <w:r>
              <w:rPr>
                <w:rFonts w:ascii="Calibri" w:hAnsi="Calibri"/>
                <w:b w:val="0"/>
                <w:sz w:val="20"/>
              </w:rPr>
              <w:t>follow_up</w:t>
            </w:r>
          </w:p>
        </w:tc>
        <w:tc>
          <w:tcPr>
            <w:tcW w:type="dxa" w:w="1440"/>
          </w:tcPr>
          <w:p>
            <w:r/>
            <w:r>
              <w:rPr>
                <w:rFonts w:ascii="Calibri" w:hAnsi="Calibri"/>
                <w:b w:val="0"/>
                <w:sz w:val="20"/>
              </w:rPr>
              <w:t>115</w:t>
            </w:r>
          </w:p>
        </w:tc>
        <w:tc>
          <w:tcPr>
            <w:tcW w:type="dxa" w:w="1440"/>
          </w:tcPr>
          <w:p>
            <w:r/>
            <w:r>
              <w:rPr>
                <w:rFonts w:ascii="Calibri" w:hAnsi="Calibri"/>
                <w:b w:val="0"/>
                <w:sz w:val="20"/>
              </w:rPr>
              <w:t>0.121</w:t>
            </w:r>
          </w:p>
        </w:tc>
        <w:tc>
          <w:tcPr>
            <w:tcW w:type="dxa" w:w="1440"/>
          </w:tcPr>
          <w:p>
            <w:r/>
            <w:r>
              <w:rPr>
                <w:rFonts w:ascii="Calibri" w:hAnsi="Calibri"/>
                <w:b w:val="0"/>
                <w:sz w:val="20"/>
              </w:rPr>
              <w:t>0.737</w:t>
            </w:r>
          </w:p>
        </w:tc>
        <w:tc>
          <w:tcPr>
            <w:tcW w:type="dxa" w:w="1440"/>
          </w:tcPr>
          <w:p>
            <w:r/>
            <w:r>
              <w:rPr>
                <w:rFonts w:ascii="Calibri" w:hAnsi="Calibri"/>
                <w:b w:val="0"/>
                <w:sz w:val="20"/>
              </w:rPr>
              <w:t>0.035</w:t>
            </w:r>
          </w:p>
        </w:tc>
        <w:tc>
          <w:tcPr>
            <w:tcW w:type="dxa" w:w="1440"/>
          </w:tcPr>
          <w:p>
            <w:r/>
            <w:r>
              <w:rPr>
                <w:rFonts w:ascii="Calibri" w:hAnsi="Calibri"/>
                <w:b w:val="0"/>
                <w:sz w:val="20"/>
              </w:rPr>
              <w:t>Higher than baseline</w:t>
            </w:r>
          </w:p>
        </w:tc>
      </w:tr>
    </w:tbl>
    <w:p>
      <w:pPr>
        <w:pStyle w:val="Heading2"/>
      </w:pPr>
      <w:r>
        <w:rPr>
          <w:rFonts w:ascii="Calibri" w:hAnsi="Calibri"/>
          <w:color w:val="1B3A5C"/>
        </w:rPr>
        <w:t>6.3 Tier Assessment</w:t>
      </w:r>
    </w:p>
    <w:p>
      <w:r>
        <w:rPr>
          <w:rFonts w:ascii="Calibri" w:hAnsi="Calibri"/>
          <w:b w:val="0"/>
          <w:sz w:val="22"/>
        </w:rPr>
        <w:t>Tier 1: PASS — pipeline executed, gap quantification interpretable.</w:t>
      </w:r>
    </w:p>
    <w:p>
      <w:r>
        <w:rPr>
          <w:rFonts w:ascii="Calibri" w:hAnsi="Calibri"/>
          <w:b w:val="0"/>
          <w:sz w:val="22"/>
        </w:rPr>
        <w:t>Tier 2: FAIL — no anchor period significantly elevated above baseline.</w:t>
      </w:r>
    </w:p>
    <w:p>
      <w:r>
        <w:rPr>
          <w:rFonts w:ascii="Calibri" w:hAnsi="Calibri"/>
          <w:b w:val="0"/>
          <w:sz w:val="22"/>
        </w:rPr>
        <w:t>Tier 3: FAIL — Tier 2 not passed.</w:t>
      </w:r>
    </w:p>
    <w:p>
      <w:pPr>
        <w:pStyle w:val="Heading2"/>
      </w:pPr>
      <w:r>
        <w:rPr>
          <w:rFonts w:ascii="Calibri" w:hAnsi="Calibri"/>
          <w:color w:val="1B3A5C"/>
        </w:rPr>
        <w:t>6.4 Null Result Interpretation</w:t>
      </w:r>
    </w:p>
    <w:p>
      <w:r>
        <w:rPr>
          <w:rFonts w:ascii="Calibri" w:hAnsi="Calibri"/>
          <w:b w:val="0"/>
          <w:sz w:val="22"/>
        </w:rPr>
        <w:t>Three non-mutually-exclusive explanations account for the null result:</w:t>
      </w:r>
    </w:p>
    <w:p>
      <w:r>
        <w:rPr>
          <w:rFonts w:ascii="Calibri" w:hAnsi="Calibri"/>
          <w:b w:val="0"/>
          <w:sz w:val="22"/>
        </w:rPr>
        <w:t>1. Signal modality gap — 5 of 8 features show large KS distances, placing Apple Watch windows outside the model’s training distribution.</w:t>
      </w:r>
    </w:p>
    <w:p>
      <w:r>
        <w:rPr>
          <w:rFonts w:ascii="Calibri" w:hAnsi="Calibri"/>
          <w:b w:val="0"/>
          <w:sz w:val="22"/>
        </w:rPr>
        <w:t>2. Behavioural confound — reduced training intensity in the pre-anchor period may have shifted HRV toward more regular patterns interpreted as normal by the model.</w:t>
      </w:r>
    </w:p>
    <w:p>
      <w:r>
        <w:rPr>
          <w:rFonts w:ascii="Calibri" w:hAnsi="Calibri"/>
          <w:b w:val="0"/>
          <w:sz w:val="22"/>
        </w:rPr>
        <w:t>3. Abnormality type mismatch — the clinical ECG report confirms an intraventricular conduction delay (waveform morphology abnormality), not a rhythm irregularity. HRV features measure beat-to-beat timing variability and are structurally incapable of detecting conduction delays, which produce regular-but-abnormally-shaped beats.</w:t>
      </w:r>
    </w:p>
    <w:p>
      <w:pPr>
        <w:pStyle w:val="Heading1"/>
      </w:pPr>
      <w:r>
        <w:rPr>
          <w:rFonts w:ascii="Calibri" w:hAnsi="Calibri"/>
          <w:color w:val="1B3A5C"/>
        </w:rPr>
        <w:t>7. Layer 2B — MIMIC PERform AF Primary Validation</w:t>
      </w:r>
    </w:p>
    <w:p>
      <w:r>
        <w:rPr>
          <w:rFonts w:ascii="Calibri" w:hAnsi="Calibri"/>
          <w:b w:val="0"/>
          <w:sz w:val="22"/>
        </w:rPr>
        <w:t>35 subjects (19 AF, 16 NSR), all green quality tier (≥300 PPG peaks detected). Single 20-minute window per subject. PPG nulls in 8 files handled by linear interpolation.</w:t>
      </w:r>
    </w:p>
    <w:p>
      <w:pPr>
        <w:pStyle w:val="Heading2"/>
      </w:pPr>
      <w:r>
        <w:rPr>
          <w:rFonts w:ascii="Calibri" w:hAnsi="Calibri"/>
          <w:color w:val="1B3A5C"/>
        </w:rPr>
        <w:t>7.1 Signal Modality Gap</w:t>
      </w:r>
    </w:p>
    <w:p>
      <w:r>
        <w:rPr>
          <w:rFonts w:ascii="Calibri" w:hAnsi="Calibri"/>
          <w:b w:val="0"/>
          <w:sz w:val="22"/>
        </w:rPr>
        <w:t>All 8 features show large KS distances (KS ≥0.3) — worse than Apple Watch (5 large, 3 moderate). MIMIC subjects are critically ill ICU patients with systematically higher HRV variability. This is clinically plausible.</w:t>
      </w:r>
    </w:p>
    <w:p>
      <w:pPr>
        <w:pStyle w:val="Heading2"/>
      </w:pPr>
      <w:r>
        <w:rPr>
          <w:rFonts w:ascii="Calibri" w:hAnsi="Calibri"/>
          <w:color w:val="1B3A5C"/>
        </w:rPr>
        <w:t>7.2 SVM at Fixed Threshold 0.34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20"/>
              </w:rPr>
              <w:t>Metric</w:t>
            </w:r>
          </w:p>
        </w:tc>
        <w:tc>
          <w:tcPr>
            <w:tcW w:type="dxa" w:w="4320"/>
          </w:tcPr>
          <w:p>
            <w:r/>
            <w:r>
              <w:rPr>
                <w:rFonts w:ascii="Calibri" w:hAnsi="Calibri"/>
                <w:b/>
                <w:sz w:val="20"/>
              </w:rPr>
              <w:t>Value</w:t>
            </w:r>
          </w:p>
        </w:tc>
      </w:tr>
      <w:tr>
        <w:tc>
          <w:tcPr>
            <w:tcW w:type="dxa" w:w="4320"/>
          </w:tcPr>
          <w:p>
            <w:r/>
            <w:r>
              <w:rPr>
                <w:rFonts w:ascii="Calibri" w:hAnsi="Calibri"/>
                <w:b w:val="0"/>
                <w:sz w:val="20"/>
              </w:rPr>
              <w:t>Sensitivity</w:t>
            </w:r>
          </w:p>
        </w:tc>
        <w:tc>
          <w:tcPr>
            <w:tcW w:type="dxa" w:w="4320"/>
          </w:tcPr>
          <w:p>
            <w:r/>
            <w:r>
              <w:rPr>
                <w:rFonts w:ascii="Calibri" w:hAnsi="Calibri"/>
                <w:b w:val="0"/>
                <w:sz w:val="20"/>
              </w:rPr>
              <w:t>100% (19/19 AF)</w:t>
            </w:r>
          </w:p>
        </w:tc>
      </w:tr>
      <w:tr>
        <w:tc>
          <w:tcPr>
            <w:tcW w:type="dxa" w:w="4320"/>
          </w:tcPr>
          <w:p>
            <w:r/>
            <w:r>
              <w:rPr>
                <w:rFonts w:ascii="Calibri" w:hAnsi="Calibri"/>
                <w:b w:val="0"/>
                <w:sz w:val="20"/>
              </w:rPr>
              <w:t>Specificity</w:t>
            </w:r>
          </w:p>
        </w:tc>
        <w:tc>
          <w:tcPr>
            <w:tcW w:type="dxa" w:w="4320"/>
          </w:tcPr>
          <w:p>
            <w:r/>
            <w:r>
              <w:rPr>
                <w:rFonts w:ascii="Calibri" w:hAnsi="Calibri"/>
                <w:b w:val="0"/>
                <w:sz w:val="20"/>
              </w:rPr>
              <w:t>12.5% (2/16 NSR)</w:t>
            </w:r>
          </w:p>
        </w:tc>
      </w:tr>
      <w:tr>
        <w:tc>
          <w:tcPr>
            <w:tcW w:type="dxa" w:w="4320"/>
          </w:tcPr>
          <w:p>
            <w:r/>
            <w:r>
              <w:rPr>
                <w:rFonts w:ascii="Calibri" w:hAnsi="Calibri"/>
                <w:b w:val="0"/>
                <w:sz w:val="20"/>
              </w:rPr>
              <w:t>AUROC</w:t>
            </w:r>
          </w:p>
        </w:tc>
        <w:tc>
          <w:tcPr>
            <w:tcW w:type="dxa" w:w="4320"/>
          </w:tcPr>
          <w:p>
            <w:r/>
            <w:r>
              <w:rPr>
                <w:rFonts w:ascii="Calibri" w:hAnsi="Calibri"/>
                <w:b w:val="0"/>
                <w:sz w:val="20"/>
              </w:rPr>
              <w:t>0.8586</w:t>
            </w:r>
          </w:p>
        </w:tc>
      </w:tr>
      <w:tr>
        <w:tc>
          <w:tcPr>
            <w:tcW w:type="dxa" w:w="4320"/>
          </w:tcPr>
          <w:p>
            <w:r/>
            <w:r>
              <w:rPr>
                <w:rFonts w:ascii="Calibri" w:hAnsi="Calibri"/>
                <w:b w:val="0"/>
                <w:sz w:val="20"/>
              </w:rPr>
              <w:t>Confusion Matrix</w:t>
            </w:r>
          </w:p>
        </w:tc>
        <w:tc>
          <w:tcPr>
            <w:tcW w:type="dxa" w:w="4320"/>
          </w:tcPr>
          <w:p>
            <w:r/>
            <w:r>
              <w:rPr>
                <w:rFonts w:ascii="Calibri" w:hAnsi="Calibri"/>
                <w:b w:val="0"/>
                <w:sz w:val="20"/>
              </w:rPr>
              <w:t>TP=19, FP=14, FN=0, TN=2</w:t>
            </w:r>
          </w:p>
        </w:tc>
      </w:tr>
    </w:tbl>
    <w:p>
      <w:r>
        <w:rPr>
          <w:rFonts w:ascii="Calibri" w:hAnsi="Calibri"/>
          <w:b w:val="0"/>
          <w:sz w:val="22"/>
        </w:rPr>
        <w:t>Tier 1: PASS. Tier 2: FAIL (specificity 12.5%). Tier 3: PASS (AUROC 0.8586 ≥ 0.85).</w:t>
      </w:r>
    </w:p>
    <w:p>
      <w:pPr>
        <w:pStyle w:val="Heading2"/>
      </w:pPr>
      <w:r>
        <w:rPr>
          <w:rFonts w:ascii="Calibri" w:hAnsi="Calibri"/>
          <w:color w:val="1B3A5C"/>
        </w:rPr>
        <w:t>7.3 Cross-Model Comparison</w:t>
      </w:r>
    </w:p>
    <w:p>
      <w:r>
        <w:rPr>
          <w:rFonts w:ascii="Calibri" w:hAnsi="Calibri"/>
          <w:b w:val="0"/>
          <w:sz w:val="22"/>
        </w:rPr>
        <w:t>All four Layer 1 models were applied to MIMIC at their fixed Layer 1 thresholds: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Model</w:t>
            </w:r>
          </w:p>
        </w:tc>
        <w:tc>
          <w:tcPr>
            <w:tcW w:type="dxa" w:w="1728"/>
          </w:tcPr>
          <w:p>
            <w:r/>
            <w:r>
              <w:rPr>
                <w:rFonts w:ascii="Calibri" w:hAnsi="Calibri"/>
                <w:b/>
                <w:sz w:val="20"/>
              </w:rPr>
              <w:t>Threshold</w:t>
            </w:r>
          </w:p>
        </w:tc>
        <w:tc>
          <w:tcPr>
            <w:tcW w:type="dxa" w:w="1728"/>
          </w:tcPr>
          <w:p>
            <w:r/>
            <w:r>
              <w:rPr>
                <w:rFonts w:ascii="Calibri" w:hAnsi="Calibri"/>
                <w:b/>
                <w:sz w:val="20"/>
              </w:rPr>
              <w:t>Sensitivity</w:t>
            </w:r>
          </w:p>
        </w:tc>
        <w:tc>
          <w:tcPr>
            <w:tcW w:type="dxa" w:w="1728"/>
          </w:tcPr>
          <w:p>
            <w:r/>
            <w:r>
              <w:rPr>
                <w:rFonts w:ascii="Calibri" w:hAnsi="Calibri"/>
                <w:b/>
                <w:sz w:val="20"/>
              </w:rPr>
              <w:t>Specificity</w:t>
            </w:r>
          </w:p>
        </w:tc>
        <w:tc>
          <w:tcPr>
            <w:tcW w:type="dxa" w:w="1728"/>
          </w:tcPr>
          <w:p>
            <w:r/>
            <w:r>
              <w:rPr>
                <w:rFonts w:ascii="Calibri" w:hAnsi="Calibri"/>
                <w:b/>
                <w:sz w:val="20"/>
              </w:rPr>
              <w:t>AUROC</w:t>
            </w:r>
          </w:p>
        </w:tc>
      </w:tr>
      <w:tr>
        <w:tc>
          <w:tcPr>
            <w:tcW w:type="dxa" w:w="1728"/>
          </w:tcPr>
          <w:p>
            <w:r/>
            <w:r>
              <w:rPr>
                <w:rFonts w:ascii="Calibri" w:hAnsi="Calibri"/>
                <w:b w:val="0"/>
                <w:sz w:val="20"/>
              </w:rPr>
              <w:t>Logistic Regression</w:t>
            </w:r>
          </w:p>
        </w:tc>
        <w:tc>
          <w:tcPr>
            <w:tcW w:type="dxa" w:w="1728"/>
          </w:tcPr>
          <w:p>
            <w:r/>
            <w:r>
              <w:rPr>
                <w:rFonts w:ascii="Calibri" w:hAnsi="Calibri"/>
                <w:b w:val="0"/>
                <w:sz w:val="20"/>
              </w:rPr>
              <w:t>0.41</w:t>
            </w:r>
          </w:p>
        </w:tc>
        <w:tc>
          <w:tcPr>
            <w:tcW w:type="dxa" w:w="1728"/>
          </w:tcPr>
          <w:p>
            <w:r/>
            <w:r>
              <w:rPr>
                <w:rFonts w:ascii="Calibri" w:hAnsi="Calibri"/>
                <w:b w:val="0"/>
                <w:sz w:val="20"/>
              </w:rPr>
              <w:t>100%</w:t>
            </w:r>
          </w:p>
        </w:tc>
        <w:tc>
          <w:tcPr>
            <w:tcW w:type="dxa" w:w="1728"/>
          </w:tcPr>
          <w:p>
            <w:r/>
            <w:r>
              <w:rPr>
                <w:rFonts w:ascii="Calibri" w:hAnsi="Calibri"/>
                <w:b w:val="0"/>
                <w:sz w:val="20"/>
              </w:rPr>
              <w:t>18.75%</w:t>
            </w:r>
          </w:p>
        </w:tc>
        <w:tc>
          <w:tcPr>
            <w:tcW w:type="dxa" w:w="1728"/>
          </w:tcPr>
          <w:p>
            <w:r/>
            <w:r>
              <w:rPr>
                <w:rFonts w:ascii="Calibri" w:hAnsi="Calibri"/>
                <w:b w:val="0"/>
                <w:sz w:val="20"/>
              </w:rPr>
              <w:t>0.7368</w:t>
            </w:r>
          </w:p>
        </w:tc>
      </w:tr>
      <w:tr>
        <w:tc>
          <w:tcPr>
            <w:tcW w:type="dxa" w:w="1728"/>
          </w:tcPr>
          <w:p>
            <w:r/>
            <w:r>
              <w:rPr>
                <w:rFonts w:ascii="Calibri" w:hAnsi="Calibri"/>
                <w:b w:val="0"/>
                <w:sz w:val="20"/>
              </w:rPr>
              <w:t>Random Forest</w:t>
            </w:r>
          </w:p>
        </w:tc>
        <w:tc>
          <w:tcPr>
            <w:tcW w:type="dxa" w:w="1728"/>
          </w:tcPr>
          <w:p>
            <w:r/>
            <w:r>
              <w:rPr>
                <w:rFonts w:ascii="Calibri" w:hAnsi="Calibri"/>
                <w:b w:val="0"/>
                <w:sz w:val="20"/>
              </w:rPr>
              <w:t>0.37</w:t>
            </w:r>
          </w:p>
        </w:tc>
        <w:tc>
          <w:tcPr>
            <w:tcW w:type="dxa" w:w="1728"/>
          </w:tcPr>
          <w:p>
            <w:r/>
            <w:r>
              <w:rPr>
                <w:rFonts w:ascii="Calibri" w:hAnsi="Calibri"/>
                <w:b w:val="0"/>
                <w:sz w:val="20"/>
              </w:rPr>
              <w:t>100%</w:t>
            </w:r>
          </w:p>
        </w:tc>
        <w:tc>
          <w:tcPr>
            <w:tcW w:type="dxa" w:w="1728"/>
          </w:tcPr>
          <w:p>
            <w:r/>
            <w:r>
              <w:rPr>
                <w:rFonts w:ascii="Calibri" w:hAnsi="Calibri"/>
                <w:b w:val="0"/>
                <w:sz w:val="20"/>
              </w:rPr>
              <w:t>6.25%</w:t>
            </w:r>
          </w:p>
        </w:tc>
        <w:tc>
          <w:tcPr>
            <w:tcW w:type="dxa" w:w="1728"/>
          </w:tcPr>
          <w:p>
            <w:r/>
            <w:r>
              <w:rPr>
                <w:rFonts w:ascii="Calibri" w:hAnsi="Calibri"/>
                <w:b w:val="0"/>
                <w:sz w:val="20"/>
              </w:rPr>
              <w:t>0.8503</w:t>
            </w:r>
          </w:p>
        </w:tc>
      </w:tr>
      <w:tr>
        <w:tc>
          <w:tcPr>
            <w:tcW w:type="dxa" w:w="1728"/>
          </w:tcPr>
          <w:p>
            <w:r/>
            <w:r>
              <w:rPr>
                <w:rFonts w:ascii="Calibri" w:hAnsi="Calibri"/>
                <w:b w:val="0"/>
                <w:sz w:val="20"/>
              </w:rPr>
              <w:t>XGBoost</w:t>
            </w:r>
          </w:p>
        </w:tc>
        <w:tc>
          <w:tcPr>
            <w:tcW w:type="dxa" w:w="1728"/>
          </w:tcPr>
          <w:p>
            <w:r/>
            <w:r>
              <w:rPr>
                <w:rFonts w:ascii="Calibri" w:hAnsi="Calibri"/>
                <w:b w:val="0"/>
                <w:sz w:val="20"/>
              </w:rPr>
              <w:t>0.34</w:t>
            </w:r>
          </w:p>
        </w:tc>
        <w:tc>
          <w:tcPr>
            <w:tcW w:type="dxa" w:w="1728"/>
          </w:tcPr>
          <w:p>
            <w:r/>
            <w:r>
              <w:rPr>
                <w:rFonts w:ascii="Calibri" w:hAnsi="Calibri"/>
                <w:b w:val="0"/>
                <w:sz w:val="20"/>
              </w:rPr>
              <w:t>100%</w:t>
            </w:r>
          </w:p>
        </w:tc>
        <w:tc>
          <w:tcPr>
            <w:tcW w:type="dxa" w:w="1728"/>
          </w:tcPr>
          <w:p>
            <w:r/>
            <w:r>
              <w:rPr>
                <w:rFonts w:ascii="Calibri" w:hAnsi="Calibri"/>
                <w:b w:val="0"/>
                <w:sz w:val="20"/>
              </w:rPr>
              <w:t>12.5%</w:t>
            </w:r>
          </w:p>
        </w:tc>
        <w:tc>
          <w:tcPr>
            <w:tcW w:type="dxa" w:w="1728"/>
          </w:tcPr>
          <w:p>
            <w:r/>
            <w:r>
              <w:rPr>
                <w:rFonts w:ascii="Calibri" w:hAnsi="Calibri"/>
                <w:b w:val="0"/>
                <w:sz w:val="20"/>
              </w:rPr>
              <w:t>0.8322</w:t>
            </w:r>
          </w:p>
        </w:tc>
      </w:tr>
      <w:tr>
        <w:tc>
          <w:tcPr>
            <w:tcW w:type="dxa" w:w="1728"/>
          </w:tcPr>
          <w:p>
            <w:r/>
            <w:r>
              <w:rPr>
                <w:rFonts w:ascii="Calibri" w:hAnsi="Calibri"/>
                <w:b w:val="0"/>
                <w:sz w:val="20"/>
              </w:rPr>
              <w:t>SVM</w:t>
            </w:r>
          </w:p>
        </w:tc>
        <w:tc>
          <w:tcPr>
            <w:tcW w:type="dxa" w:w="1728"/>
          </w:tcPr>
          <w:p>
            <w:r/>
            <w:r>
              <w:rPr>
                <w:rFonts w:ascii="Calibri" w:hAnsi="Calibri"/>
                <w:b w:val="0"/>
                <w:sz w:val="20"/>
              </w:rPr>
              <w:t>0.34</w:t>
            </w:r>
          </w:p>
        </w:tc>
        <w:tc>
          <w:tcPr>
            <w:tcW w:type="dxa" w:w="1728"/>
          </w:tcPr>
          <w:p>
            <w:r/>
            <w:r>
              <w:rPr>
                <w:rFonts w:ascii="Calibri" w:hAnsi="Calibri"/>
                <w:b w:val="0"/>
                <w:sz w:val="20"/>
              </w:rPr>
              <w:t>100%</w:t>
            </w:r>
          </w:p>
        </w:tc>
        <w:tc>
          <w:tcPr>
            <w:tcW w:type="dxa" w:w="1728"/>
          </w:tcPr>
          <w:p>
            <w:r/>
            <w:r>
              <w:rPr>
                <w:rFonts w:ascii="Calibri" w:hAnsi="Calibri"/>
                <w:b w:val="0"/>
                <w:sz w:val="20"/>
              </w:rPr>
              <w:t>12.5%</w:t>
            </w:r>
          </w:p>
        </w:tc>
        <w:tc>
          <w:tcPr>
            <w:tcW w:type="dxa" w:w="1728"/>
          </w:tcPr>
          <w:p>
            <w:r/>
            <w:r>
              <w:rPr>
                <w:rFonts w:ascii="Calibri" w:hAnsi="Calibri"/>
                <w:b w:val="0"/>
                <w:sz w:val="20"/>
              </w:rPr>
              <w:t>0.8586</w:t>
            </w:r>
          </w:p>
        </w:tc>
      </w:tr>
    </w:tbl>
    <w:p>
      <w:r>
        <w:rPr>
          <w:rFonts w:ascii="Calibri" w:hAnsi="Calibri"/>
          <w:b w:val="0"/>
          <w:sz w:val="22"/>
        </w:rPr>
        <w:t>Specificity failure is systemic across all four models — confirming this is a modality gap problem, not a model selection artefact. SVM retains highest AUROC.</w:t>
      </w:r>
    </w:p>
    <w:p>
      <w:pPr>
        <w:pStyle w:val="Heading2"/>
      </w:pPr>
      <w:r>
        <w:rPr>
          <w:rFonts w:ascii="Calibri" w:hAnsi="Calibri"/>
          <w:color w:val="1B3A5C"/>
        </w:rPr>
        <w:t>7.4 Threshold Recalibration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20"/>
              </w:rPr>
              <w:t>Metric</w:t>
            </w:r>
          </w:p>
        </w:tc>
        <w:tc>
          <w:tcPr>
            <w:tcW w:type="dxa" w:w="2880"/>
          </w:tcPr>
          <w:p>
            <w:r/>
            <w:r>
              <w:rPr>
                <w:rFonts w:ascii="Calibri" w:hAnsi="Calibri"/>
                <w:b/>
                <w:sz w:val="20"/>
              </w:rPr>
              <w:t>Fixed (0.34)</w:t>
            </w:r>
          </w:p>
        </w:tc>
        <w:tc>
          <w:tcPr>
            <w:tcW w:type="dxa" w:w="2880"/>
          </w:tcPr>
          <w:p>
            <w:r/>
            <w:r>
              <w:rPr>
                <w:rFonts w:ascii="Calibri" w:hAnsi="Calibri"/>
                <w:b/>
                <w:sz w:val="20"/>
              </w:rPr>
              <w:t>Recalibrated (0.8424)</w:t>
            </w:r>
          </w:p>
        </w:tc>
      </w:tr>
      <w:tr>
        <w:tc>
          <w:tcPr>
            <w:tcW w:type="dxa" w:w="2880"/>
          </w:tcPr>
          <w:p>
            <w:r/>
            <w:r>
              <w:rPr>
                <w:rFonts w:ascii="Calibri" w:hAnsi="Calibri"/>
                <w:b w:val="0"/>
                <w:sz w:val="20"/>
              </w:rPr>
              <w:t>Sensitivity</w:t>
            </w:r>
          </w:p>
        </w:tc>
        <w:tc>
          <w:tcPr>
            <w:tcW w:type="dxa" w:w="2880"/>
          </w:tcPr>
          <w:p>
            <w:r/>
            <w:r>
              <w:rPr>
                <w:rFonts w:ascii="Calibri" w:hAnsi="Calibri"/>
                <w:b w:val="0"/>
                <w:sz w:val="20"/>
              </w:rPr>
              <w:t>100%</w:t>
            </w:r>
          </w:p>
        </w:tc>
        <w:tc>
          <w:tcPr>
            <w:tcW w:type="dxa" w:w="2880"/>
          </w:tcPr>
          <w:p>
            <w:r/>
            <w:r>
              <w:rPr>
                <w:rFonts w:ascii="Calibri" w:hAnsi="Calibri"/>
                <w:b w:val="0"/>
                <w:sz w:val="20"/>
              </w:rPr>
              <w:t>73.7%</w:t>
            </w:r>
          </w:p>
        </w:tc>
      </w:tr>
      <w:tr>
        <w:tc>
          <w:tcPr>
            <w:tcW w:type="dxa" w:w="2880"/>
          </w:tcPr>
          <w:p>
            <w:r/>
            <w:r>
              <w:rPr>
                <w:rFonts w:ascii="Calibri" w:hAnsi="Calibri"/>
                <w:b w:val="0"/>
                <w:sz w:val="20"/>
              </w:rPr>
              <w:t>Specificity</w:t>
            </w:r>
          </w:p>
        </w:tc>
        <w:tc>
          <w:tcPr>
            <w:tcW w:type="dxa" w:w="2880"/>
          </w:tcPr>
          <w:p>
            <w:r/>
            <w:r>
              <w:rPr>
                <w:rFonts w:ascii="Calibri" w:hAnsi="Calibri"/>
                <w:b w:val="0"/>
                <w:sz w:val="20"/>
              </w:rPr>
              <w:t>12.5%</w:t>
            </w:r>
          </w:p>
        </w:tc>
        <w:tc>
          <w:tcPr>
            <w:tcW w:type="dxa" w:w="2880"/>
          </w:tcPr>
          <w:p>
            <w:r/>
            <w:r>
              <w:rPr>
                <w:rFonts w:ascii="Calibri" w:hAnsi="Calibri"/>
                <w:b w:val="0"/>
                <w:sz w:val="20"/>
              </w:rPr>
              <w:t>93.8%</w:t>
            </w:r>
          </w:p>
        </w:tc>
      </w:tr>
      <w:tr>
        <w:tc>
          <w:tcPr>
            <w:tcW w:type="dxa" w:w="2880"/>
          </w:tcPr>
          <w:p>
            <w:r/>
            <w:r>
              <w:rPr>
                <w:rFonts w:ascii="Calibri" w:hAnsi="Calibri"/>
                <w:b w:val="0"/>
                <w:sz w:val="20"/>
              </w:rPr>
              <w:t>F1</w:t>
            </w:r>
          </w:p>
        </w:tc>
        <w:tc>
          <w:tcPr>
            <w:tcW w:type="dxa" w:w="2880"/>
          </w:tcPr>
          <w:p>
            <w:r/>
            <w:r>
              <w:rPr>
                <w:rFonts w:ascii="Calibri" w:hAnsi="Calibri"/>
                <w:b w:val="0"/>
                <w:sz w:val="20"/>
              </w:rPr>
              <w:t>0.7308</w:t>
            </w:r>
          </w:p>
        </w:tc>
        <w:tc>
          <w:tcPr>
            <w:tcW w:type="dxa" w:w="2880"/>
          </w:tcPr>
          <w:p>
            <w:r/>
            <w:r>
              <w:rPr>
                <w:rFonts w:ascii="Calibri" w:hAnsi="Calibri"/>
                <w:b w:val="0"/>
                <w:sz w:val="20"/>
              </w:rPr>
              <w:t>0.8235</w:t>
            </w:r>
          </w:p>
        </w:tc>
      </w:tr>
    </w:tbl>
    <w:p>
      <w:r>
        <w:rPr>
          <w:rFonts w:ascii="Calibri" w:hAnsi="Calibri"/>
          <w:b w:val="0"/>
          <w:sz w:val="22"/>
        </w:rPr>
        <w:t>Specificity recovers from 12.5% to 93.8% with domain-adapted threshold. The gap between 0.34 and 0.8424 quantifies the magnitude of the modality shift. This confirms the specificity failure is a calibration problem, not a discrimination failure.</w:t>
      </w:r>
    </w:p>
    <w:p>
      <w:pPr>
        <w:pStyle w:val="Heading2"/>
      </w:pPr>
      <w:r>
        <w:rPr>
          <w:rFonts w:ascii="Calibri" w:hAnsi="Calibri"/>
          <w:color w:val="1B3A5C"/>
        </w:rPr>
        <w:t>7.5 Stress Testing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20"/>
              </w:rPr>
              <w:t>Test</w:t>
            </w:r>
          </w:p>
        </w:tc>
        <w:tc>
          <w:tcPr>
            <w:tcW w:type="dxa" w:w="2880"/>
          </w:tcPr>
          <w:p>
            <w:r/>
            <w:r>
              <w:rPr>
                <w:rFonts w:ascii="Calibri" w:hAnsi="Calibri"/>
                <w:b/>
                <w:sz w:val="20"/>
              </w:rPr>
              <w:t>Metric</w:t>
            </w:r>
          </w:p>
        </w:tc>
        <w:tc>
          <w:tcPr>
            <w:tcW w:type="dxa" w:w="2880"/>
          </w:tcPr>
          <w:p>
            <w:r/>
            <w:r>
              <w:rPr>
                <w:rFonts w:ascii="Calibri" w:hAnsi="Calibri"/>
                <w:b/>
                <w:sz w:val="20"/>
              </w:rPr>
              <w:t>Result</w:t>
            </w:r>
          </w:p>
        </w:tc>
      </w:tr>
      <w:tr>
        <w:tc>
          <w:tcPr>
            <w:tcW w:type="dxa" w:w="2880"/>
          </w:tcPr>
          <w:p>
            <w:r/>
            <w:r>
              <w:rPr>
                <w:rFonts w:ascii="Calibri" w:hAnsi="Calibri"/>
                <w:b w:val="0"/>
                <w:sz w:val="20"/>
              </w:rPr>
              <w:t>Bootstrap AUROC (n=1000)</w:t>
            </w:r>
          </w:p>
        </w:tc>
        <w:tc>
          <w:tcPr>
            <w:tcW w:type="dxa" w:w="2880"/>
          </w:tcPr>
          <w:p>
            <w:r/>
            <w:r>
              <w:rPr>
                <w:rFonts w:ascii="Calibri" w:hAnsi="Calibri"/>
                <w:b w:val="0"/>
                <w:sz w:val="20"/>
              </w:rPr>
              <w:t>Mean [95% CI]</w:t>
            </w:r>
          </w:p>
        </w:tc>
        <w:tc>
          <w:tcPr>
            <w:tcW w:type="dxa" w:w="2880"/>
          </w:tcPr>
          <w:p>
            <w:r/>
            <w:r>
              <w:rPr>
                <w:rFonts w:ascii="Calibri" w:hAnsi="Calibri"/>
                <w:b w:val="0"/>
                <w:sz w:val="20"/>
              </w:rPr>
              <w:t>0.8631 [0.7246, 0.9720]</w:t>
            </w:r>
          </w:p>
        </w:tc>
      </w:tr>
      <w:tr>
        <w:tc>
          <w:tcPr>
            <w:tcW w:type="dxa" w:w="2880"/>
          </w:tcPr>
          <w:p>
            <w:r/>
            <w:r>
              <w:rPr>
                <w:rFonts w:ascii="Calibri" w:hAnsi="Calibri"/>
                <w:b w:val="0"/>
                <w:sz w:val="20"/>
              </w:rPr>
              <w:t>Bootstrap Recalibrated Sens</w:t>
            </w:r>
          </w:p>
        </w:tc>
        <w:tc>
          <w:tcPr>
            <w:tcW w:type="dxa" w:w="2880"/>
          </w:tcPr>
          <w:p>
            <w:r/>
            <w:r>
              <w:rPr>
                <w:rFonts w:ascii="Calibri" w:hAnsi="Calibri"/>
                <w:b w:val="0"/>
                <w:sz w:val="20"/>
              </w:rPr>
              <w:t>Mean [95% CI]</w:t>
            </w:r>
          </w:p>
        </w:tc>
        <w:tc>
          <w:tcPr>
            <w:tcW w:type="dxa" w:w="2880"/>
          </w:tcPr>
          <w:p>
            <w:r/>
            <w:r>
              <w:rPr>
                <w:rFonts w:ascii="Calibri" w:hAnsi="Calibri"/>
                <w:b w:val="0"/>
                <w:sz w:val="20"/>
              </w:rPr>
              <w:t>80.6% [57.1%, 100.0%]</w:t>
            </w:r>
          </w:p>
        </w:tc>
      </w:tr>
      <w:tr>
        <w:tc>
          <w:tcPr>
            <w:tcW w:type="dxa" w:w="2880"/>
          </w:tcPr>
          <w:p>
            <w:r/>
            <w:r>
              <w:rPr>
                <w:rFonts w:ascii="Calibri" w:hAnsi="Calibri"/>
                <w:b w:val="0"/>
                <w:sz w:val="20"/>
              </w:rPr>
              <w:t>Bootstrap Recalibrated Spec</w:t>
            </w:r>
          </w:p>
        </w:tc>
        <w:tc>
          <w:tcPr>
            <w:tcW w:type="dxa" w:w="2880"/>
          </w:tcPr>
          <w:p>
            <w:r/>
            <w:r>
              <w:rPr>
                <w:rFonts w:ascii="Calibri" w:hAnsi="Calibri"/>
                <w:b w:val="0"/>
                <w:sz w:val="20"/>
              </w:rPr>
              <w:t>Mean [95% CI]</w:t>
            </w:r>
          </w:p>
        </w:tc>
        <w:tc>
          <w:tcPr>
            <w:tcW w:type="dxa" w:w="2880"/>
          </w:tcPr>
          <w:p>
            <w:r/>
            <w:r>
              <w:rPr>
                <w:rFonts w:ascii="Calibri" w:hAnsi="Calibri"/>
                <w:b w:val="0"/>
                <w:sz w:val="20"/>
              </w:rPr>
              <w:t>91.3% [72.7%, 100.0%]</w:t>
            </w:r>
          </w:p>
        </w:tc>
      </w:tr>
      <w:tr>
        <w:tc>
          <w:tcPr>
            <w:tcW w:type="dxa" w:w="2880"/>
          </w:tcPr>
          <w:p>
            <w:r/>
            <w:r>
              <w:rPr>
                <w:rFonts w:ascii="Calibri" w:hAnsi="Calibri"/>
                <w:b w:val="0"/>
                <w:sz w:val="20"/>
              </w:rPr>
              <w:t>LOOCV Youden’s J</w:t>
            </w:r>
          </w:p>
        </w:tc>
        <w:tc>
          <w:tcPr>
            <w:tcW w:type="dxa" w:w="2880"/>
          </w:tcPr>
          <w:p>
            <w:r/>
            <w:r>
              <w:rPr>
                <w:rFonts w:ascii="Calibri" w:hAnsi="Calibri"/>
                <w:b w:val="0"/>
                <w:sz w:val="20"/>
              </w:rPr>
              <w:t>Sens / Spec</w:t>
            </w:r>
          </w:p>
        </w:tc>
        <w:tc>
          <w:tcPr>
            <w:tcW w:type="dxa" w:w="2880"/>
          </w:tcPr>
          <w:p>
            <w:r/>
            <w:r>
              <w:rPr>
                <w:rFonts w:ascii="Calibri" w:hAnsi="Calibri"/>
                <w:b w:val="0"/>
                <w:sz w:val="20"/>
              </w:rPr>
              <w:t>68.4% / 81.2%</w:t>
            </w:r>
          </w:p>
        </w:tc>
      </w:tr>
      <w:tr>
        <w:tc>
          <w:tcPr>
            <w:tcW w:type="dxa" w:w="2880"/>
          </w:tcPr>
          <w:p>
            <w:r/>
            <w:r>
              <w:rPr>
                <w:rFonts w:ascii="Calibri" w:hAnsi="Calibri"/>
                <w:b w:val="0"/>
                <w:sz w:val="20"/>
              </w:rPr>
              <w:t>Sensitivity-Targeted LOOCV</w:t>
            </w:r>
          </w:p>
        </w:tc>
        <w:tc>
          <w:tcPr>
            <w:tcW w:type="dxa" w:w="2880"/>
          </w:tcPr>
          <w:p>
            <w:r/>
            <w:r>
              <w:rPr>
                <w:rFonts w:ascii="Calibri" w:hAnsi="Calibri"/>
                <w:b w:val="0"/>
                <w:sz w:val="20"/>
              </w:rPr>
              <w:t>Sens / Spec</w:t>
            </w:r>
          </w:p>
        </w:tc>
        <w:tc>
          <w:tcPr>
            <w:tcW w:type="dxa" w:w="2880"/>
          </w:tcPr>
          <w:p>
            <w:r/>
            <w:r>
              <w:rPr>
                <w:rFonts w:ascii="Calibri" w:hAnsi="Calibri"/>
                <w:b w:val="0"/>
                <w:sz w:val="20"/>
              </w:rPr>
              <w:t>78.9% / 81.2%</w:t>
            </w:r>
          </w:p>
        </w:tc>
      </w:tr>
    </w:tbl>
    <w:p>
      <w:r>
        <w:rPr>
          <w:rFonts w:ascii="Calibri" w:hAnsi="Calibri"/>
          <w:b w:val="0"/>
          <w:sz w:val="22"/>
        </w:rPr>
        <w:t>Sensitivity-targeted LOOCV achieves 78.9% sensitivity (1.1pp below pre-registered 80% criterion) with 81.2% specificity (clearing 75% criterion). The 1.1pp gap is consistent with N=19 AF leave-one-out variance. AUROC lower bound 0.7246 confirms discriminative signal persists even in unlucky resamples.</w:t>
      </w:r>
    </w:p>
    <w:p>
      <w:pPr>
        <w:pStyle w:val="Heading1"/>
      </w:pPr>
      <w:r>
        <w:rPr>
          <w:rFonts w:ascii="Calibri" w:hAnsi="Calibri"/>
          <w:color w:val="1B3A5C"/>
        </w:rPr>
        <w:t>8. Clinical ECG Report — June 2025 Anchor Event</w:t>
      </w:r>
    </w:p>
    <w:p>
      <w:r>
        <w:rPr>
          <w:rFonts w:ascii="Calibri" w:hAnsi="Calibri"/>
          <w:b w:val="0"/>
          <w:sz w:val="22"/>
        </w:rPr>
        <w:t>The clinical ECG report was obtained from the National Heart Centre Singapore (NHCS), Department of Cardiology, certified by Dr Chong Jia Yun (B.Med, FRACP). The ECG was conducted on 18 June 2025 at 10:19:48 AM — confirming the pre-registered anchor date used throughout the Apple Watch analysis.</w:t>
      </w:r>
    </w:p>
    <w:p>
      <w:pPr>
        <w:pStyle w:val="Heading2"/>
      </w:pPr>
      <w:r>
        <w:rPr>
          <w:rFonts w:ascii="Calibri" w:hAnsi="Calibri"/>
          <w:color w:val="1B3A5C"/>
        </w:rPr>
        <w:t>8.1 ECG Parameters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20"/>
              </w:rPr>
              <w:t>Parameter</w:t>
            </w:r>
          </w:p>
        </w:tc>
        <w:tc>
          <w:tcPr>
            <w:tcW w:type="dxa" w:w="4320"/>
          </w:tcPr>
          <w:p>
            <w:r/>
            <w:r>
              <w:rPr>
                <w:rFonts w:ascii="Calibri" w:hAnsi="Calibri"/>
                <w:b/>
                <w:sz w:val="20"/>
              </w:rPr>
              <w:t>Value</w:t>
            </w:r>
          </w:p>
        </w:tc>
      </w:tr>
      <w:tr>
        <w:tc>
          <w:tcPr>
            <w:tcW w:type="dxa" w:w="4320"/>
          </w:tcPr>
          <w:p>
            <w:r/>
            <w:r>
              <w:rPr>
                <w:rFonts w:ascii="Calibri" w:hAnsi="Calibri"/>
                <w:b w:val="0"/>
                <w:sz w:val="20"/>
              </w:rPr>
              <w:t>Heart Rate</w:t>
            </w:r>
          </w:p>
        </w:tc>
        <w:tc>
          <w:tcPr>
            <w:tcW w:type="dxa" w:w="4320"/>
          </w:tcPr>
          <w:p>
            <w:r/>
            <w:r>
              <w:rPr>
                <w:rFonts w:ascii="Calibri" w:hAnsi="Calibri"/>
                <w:b w:val="0"/>
                <w:sz w:val="20"/>
              </w:rPr>
              <w:t>112 bpm</w:t>
            </w:r>
          </w:p>
        </w:tc>
      </w:tr>
      <w:tr>
        <w:tc>
          <w:tcPr>
            <w:tcW w:type="dxa" w:w="4320"/>
          </w:tcPr>
          <w:p>
            <w:r/>
            <w:r>
              <w:rPr>
                <w:rFonts w:ascii="Calibri" w:hAnsi="Calibri"/>
                <w:b w:val="0"/>
                <w:sz w:val="20"/>
              </w:rPr>
              <w:t>PR Interval</w:t>
            </w:r>
          </w:p>
        </w:tc>
        <w:tc>
          <w:tcPr>
            <w:tcW w:type="dxa" w:w="4320"/>
          </w:tcPr>
          <w:p>
            <w:r/>
            <w:r>
              <w:rPr>
                <w:rFonts w:ascii="Calibri" w:hAnsi="Calibri"/>
                <w:b w:val="0"/>
                <w:sz w:val="20"/>
              </w:rPr>
              <w:t>125 ms</w:t>
            </w:r>
          </w:p>
        </w:tc>
      </w:tr>
      <w:tr>
        <w:tc>
          <w:tcPr>
            <w:tcW w:type="dxa" w:w="4320"/>
          </w:tcPr>
          <w:p>
            <w:r/>
            <w:r>
              <w:rPr>
                <w:rFonts w:ascii="Calibri" w:hAnsi="Calibri"/>
                <w:b w:val="0"/>
                <w:sz w:val="20"/>
              </w:rPr>
              <w:t>QRS Duration</w:t>
            </w:r>
          </w:p>
        </w:tc>
        <w:tc>
          <w:tcPr>
            <w:tcW w:type="dxa" w:w="4320"/>
          </w:tcPr>
          <w:p>
            <w:r/>
            <w:r>
              <w:rPr>
                <w:rFonts w:ascii="Calibri" w:hAnsi="Calibri"/>
                <w:b w:val="0"/>
                <w:sz w:val="20"/>
              </w:rPr>
              <w:t>125 ms</w:t>
            </w:r>
          </w:p>
        </w:tc>
      </w:tr>
      <w:tr>
        <w:tc>
          <w:tcPr>
            <w:tcW w:type="dxa" w:w="4320"/>
          </w:tcPr>
          <w:p>
            <w:r/>
            <w:r>
              <w:rPr>
                <w:rFonts w:ascii="Calibri" w:hAnsi="Calibri"/>
                <w:b w:val="0"/>
                <w:sz w:val="20"/>
              </w:rPr>
              <w:t>QT/QTc</w:t>
            </w:r>
          </w:p>
        </w:tc>
        <w:tc>
          <w:tcPr>
            <w:tcW w:type="dxa" w:w="4320"/>
          </w:tcPr>
          <w:p>
            <w:r/>
            <w:r>
              <w:rPr>
                <w:rFonts w:ascii="Calibri" w:hAnsi="Calibri"/>
                <w:b w:val="0"/>
                <w:sz w:val="20"/>
              </w:rPr>
              <w:t>424 ms</w:t>
            </w:r>
          </w:p>
        </w:tc>
      </w:tr>
    </w:tbl>
    <w:p>
      <w:pPr>
        <w:pStyle w:val="Heading2"/>
      </w:pPr>
      <w:r>
        <w:rPr>
          <w:rFonts w:ascii="Calibri" w:hAnsi="Calibri"/>
          <w:color w:val="1B3A5C"/>
        </w:rPr>
        <w:t>8.2 Automated Interpretation</w:t>
      </w:r>
    </w:p>
    <w:p>
      <w:r>
        <w:rPr>
          <w:rFonts w:ascii="Calibri" w:hAnsi="Calibri"/>
          <w:b w:val="0"/>
          <w:sz w:val="22"/>
        </w:rPr>
        <w:t>The ECG machine’s automated interpretation reported:</w:t>
      </w:r>
    </w:p>
    <w:p>
      <w:r>
        <w:rPr>
          <w:rFonts w:ascii="Calibri" w:hAnsi="Calibri"/>
          <w:b w:val="0"/>
          <w:sz w:val="22"/>
        </w:rPr>
        <w:t>• Sinus rhythm</w:t>
      </w:r>
    </w:p>
    <w:p>
      <w:r>
        <w:rPr>
          <w:rFonts w:ascii="Calibri" w:hAnsi="Calibri"/>
          <w:b w:val="0"/>
          <w:sz w:val="22"/>
        </w:rPr>
        <w:t>• Intraventricular conduction delay</w:t>
      </w:r>
    </w:p>
    <w:p>
      <w:r>
        <w:rPr>
          <w:rFonts w:ascii="Calibri" w:hAnsi="Calibri"/>
          <w:b w:val="0"/>
          <w:sz w:val="22"/>
        </w:rPr>
        <w:t>• ST abnormality (probable anterior early repolarisation)</w:t>
      </w:r>
    </w:p>
    <w:p>
      <w:r>
        <w:rPr>
          <w:rFonts w:ascii="Calibri" w:hAnsi="Calibri"/>
          <w:b/>
          <w:sz w:val="22"/>
        </w:rPr>
        <w:t>• Overall: Abnormal ECG</w:t>
      </w:r>
    </w:p>
    <w:p>
      <w:pPr>
        <w:pStyle w:val="Heading2"/>
      </w:pPr>
      <w:r>
        <w:rPr>
          <w:rFonts w:ascii="Calibri" w:hAnsi="Calibri"/>
          <w:color w:val="1B3A5C"/>
        </w:rPr>
        <w:t>8.3 Implications for the Project</w:t>
      </w:r>
    </w:p>
    <w:p>
      <w:r>
        <w:rPr>
          <w:rFonts w:ascii="Calibri" w:hAnsi="Calibri"/>
          <w:b w:val="0"/>
          <w:sz w:val="22"/>
        </w:rPr>
        <w:t>Anchor date confirmed: The June 18, 2025 ECG date aligns exactly with the pre-registered anchor point, validating the temporal framework used in the Apple Watch analysis.</w:t>
      </w:r>
    </w:p>
    <w:p>
      <w:r>
        <w:rPr>
          <w:rFonts w:ascii="Calibri" w:hAnsi="Calibri"/>
          <w:b w:val="0"/>
          <w:sz w:val="22"/>
        </w:rPr>
        <w:t>Abnormal classification confirmed: The ECG was flagged as abnormal, validating the binary label (Abnormal = 1) assigned to the anchor event.</w:t>
      </w:r>
    </w:p>
    <w:p>
      <w:r>
        <w:rPr>
          <w:rFonts w:ascii="Calibri" w:hAnsi="Calibri"/>
          <w:b w:val="0"/>
          <w:sz w:val="22"/>
        </w:rPr>
        <w:t>Critical insight — conduction delay vs arrhythmia: The specific abnormality is an intraventricular conduction delay, NOT an arrhythmia such as atrial fibrillation. This is a waveform morphology abnormality — it affects QRS shape and the ST segment, not beat-to-beat timing. HRV features (RMSSD, SDNN, pNN50, etc.) are designed to detect rhythm irregularities through inter-beat interval variability. A conduction delay produces regular-but-abnormally-shaped beats, which would appear entirely normal to any HRV-based analysis.</w:t>
      </w:r>
    </w:p>
    <w:p>
      <w:r>
        <w:rPr>
          <w:rFonts w:ascii="Calibri" w:hAnsi="Calibri"/>
          <w:b w:val="0"/>
          <w:sz w:val="22"/>
        </w:rPr>
        <w:t>This provides a third mechanistic explanation for the Apple Watch null result: beyond the signal modality gap and the behavioural confound, the model was asked to detect something its feature set is structurally incapable of capturing. This strengthens the null result interpretation and narrows the project’s validated scope to rhythm irregularities specifically.</w:t>
      </w:r>
    </w:p>
    <w:p>
      <w:pPr>
        <w:pStyle w:val="Heading1"/>
      </w:pPr>
      <w:r>
        <w:rPr>
          <w:rFonts w:ascii="Calibri" w:hAnsi="Calibri"/>
          <w:color w:val="1B3A5C"/>
        </w:rPr>
        <w:t>9. BeatCheck — Cardiac Screening App</w:t>
      </w:r>
    </w:p>
    <w:p>
      <w:r>
        <w:rPr>
          <w:rFonts w:ascii="Calibri" w:hAnsi="Calibri"/>
          <w:b w:val="0"/>
          <w:sz w:val="22"/>
        </w:rPr>
        <w:t>BeatCheck is a consumer-facing web app that applies the trained SVM model to Apple Health heart rate exports, built as a proof-of-concept demonstration of the research pipeline in a deployable format.</w:t>
      </w:r>
    </w:p>
    <w:p>
      <w:r>
        <w:rPr>
          <w:rFonts w:ascii="Calibri" w:hAnsi="Calibri"/>
          <w:b w:val="0"/>
          <w:sz w:val="22"/>
        </w:rPr>
        <w:t>Stack: FastAPI backend, plain HTML/CSS/JS frontend. Input formats: Apple Health CSV export, XML export, or full ZIP archive. Client-side JavaScript handles large XML files via streaming — the full multi-year export is never transmitted to the server. Data is filtered client-side to the most recent 90 days.</w:t>
      </w:r>
    </w:p>
    <w:p>
      <w:r>
        <w:rPr>
          <w:rFonts w:ascii="Calibri" w:hAnsi="Calibri"/>
          <w:b w:val="0"/>
          <w:sz w:val="22"/>
        </w:rPr>
        <w:t>Processing: Uploaded data is windowed into 30-minute overlapping windows (15-minute step). Each window is scored by the SVM at a domain-adapted threshold of 0.8368 (LOOCV mean threshold). The percentage of windows flagged as abnormal is mapped to three risk tiers: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20"/>
              </w:rPr>
              <w:t>Tier</w:t>
            </w:r>
          </w:p>
        </w:tc>
        <w:tc>
          <w:tcPr>
            <w:tcW w:type="dxa" w:w="2880"/>
          </w:tcPr>
          <w:p>
            <w:r/>
            <w:r>
              <w:rPr>
                <w:rFonts w:ascii="Calibri" w:hAnsi="Calibri"/>
                <w:b/>
                <w:sz w:val="20"/>
              </w:rPr>
              <w:t>Windows Flagged</w:t>
            </w:r>
          </w:p>
        </w:tc>
        <w:tc>
          <w:tcPr>
            <w:tcW w:type="dxa" w:w="2880"/>
          </w:tcPr>
          <w:p>
            <w:r/>
            <w:r>
              <w:rPr>
                <w:rFonts w:ascii="Calibri" w:hAnsi="Calibri"/>
                <w:b/>
                <w:sz w:val="20"/>
              </w:rPr>
              <w:t>Interpretation</w:t>
            </w:r>
          </w:p>
        </w:tc>
      </w:tr>
      <w:tr>
        <w:tc>
          <w:tcPr>
            <w:tcW w:type="dxa" w:w="2880"/>
          </w:tcPr>
          <w:p>
            <w:r/>
            <w:r>
              <w:rPr>
                <w:rFonts w:ascii="Calibri" w:hAnsi="Calibri"/>
                <w:b w:val="0"/>
                <w:sz w:val="20"/>
              </w:rPr>
              <w:t>Low</w:t>
            </w:r>
          </w:p>
        </w:tc>
        <w:tc>
          <w:tcPr>
            <w:tcW w:type="dxa" w:w="2880"/>
          </w:tcPr>
          <w:p>
            <w:r/>
            <w:r>
              <w:rPr>
                <w:rFonts w:ascii="Calibri" w:hAnsi="Calibri"/>
                <w:b w:val="0"/>
                <w:sz w:val="20"/>
              </w:rPr>
              <w:t>&lt; 10%</w:t>
            </w:r>
          </w:p>
        </w:tc>
        <w:tc>
          <w:tcPr>
            <w:tcW w:type="dxa" w:w="2880"/>
          </w:tcPr>
          <w:p>
            <w:r/>
            <w:r>
              <w:rPr>
                <w:rFonts w:ascii="Calibri" w:hAnsi="Calibri"/>
                <w:b w:val="0"/>
                <w:sz w:val="20"/>
              </w:rPr>
              <w:t>No pattern of concern detected</w:t>
            </w:r>
          </w:p>
        </w:tc>
      </w:tr>
      <w:tr>
        <w:tc>
          <w:tcPr>
            <w:tcW w:type="dxa" w:w="2880"/>
          </w:tcPr>
          <w:p>
            <w:r/>
            <w:r>
              <w:rPr>
                <w:rFonts w:ascii="Calibri" w:hAnsi="Calibri"/>
                <w:b w:val="0"/>
                <w:sz w:val="20"/>
              </w:rPr>
              <w:t>Intermediate</w:t>
            </w:r>
          </w:p>
        </w:tc>
        <w:tc>
          <w:tcPr>
            <w:tcW w:type="dxa" w:w="2880"/>
          </w:tcPr>
          <w:p>
            <w:r/>
            <w:r>
              <w:rPr>
                <w:rFonts w:ascii="Calibri" w:hAnsi="Calibri"/>
                <w:b w:val="0"/>
                <w:sz w:val="20"/>
              </w:rPr>
              <w:t>10–40%</w:t>
            </w:r>
          </w:p>
        </w:tc>
        <w:tc>
          <w:tcPr>
            <w:tcW w:type="dxa" w:w="2880"/>
          </w:tcPr>
          <w:p>
            <w:r/>
            <w:r>
              <w:rPr>
                <w:rFonts w:ascii="Calibri" w:hAnsi="Calibri"/>
                <w:b w:val="0"/>
                <w:sz w:val="20"/>
              </w:rPr>
              <w:t>Elevated pattern — consider follow-up</w:t>
            </w:r>
          </w:p>
        </w:tc>
      </w:tr>
      <w:tr>
        <w:tc>
          <w:tcPr>
            <w:tcW w:type="dxa" w:w="2880"/>
          </w:tcPr>
          <w:p>
            <w:r/>
            <w:r>
              <w:rPr>
                <w:rFonts w:ascii="Calibri" w:hAnsi="Calibri"/>
                <w:b w:val="0"/>
                <w:sz w:val="20"/>
              </w:rPr>
              <w:t>High</w:t>
            </w:r>
          </w:p>
        </w:tc>
        <w:tc>
          <w:tcPr>
            <w:tcW w:type="dxa" w:w="2880"/>
          </w:tcPr>
          <w:p>
            <w:r/>
            <w:r>
              <w:rPr>
                <w:rFonts w:ascii="Calibri" w:hAnsi="Calibri"/>
                <w:b w:val="0"/>
                <w:sz w:val="20"/>
              </w:rPr>
              <w:t>&gt; 40%</w:t>
            </w:r>
          </w:p>
        </w:tc>
        <w:tc>
          <w:tcPr>
            <w:tcW w:type="dxa" w:w="2880"/>
          </w:tcPr>
          <w:p>
            <w:r/>
            <w:r>
              <w:rPr>
                <w:rFonts w:ascii="Calibri" w:hAnsi="Calibri"/>
                <w:b w:val="0"/>
                <w:sz w:val="20"/>
              </w:rPr>
              <w:t>Consistent pattern — clinical review recommended</w:t>
            </w:r>
          </w:p>
        </w:tc>
      </w:tr>
    </w:tbl>
    <w:p>
      <w:r>
        <w:rPr>
          <w:rFonts w:ascii="Calibri" w:hAnsi="Calibri"/>
          <w:b w:val="0"/>
          <w:sz w:val="22"/>
        </w:rPr>
        <w:t>Stress test: Real Apple Health export (4.8 years) processed successfully — Intermediate tier, 38.2% of windows flagged across 84 days analysed.</w:t>
      </w:r>
    </w:p>
    <w:p>
      <w:pPr>
        <w:pStyle w:val="Heading1"/>
      </w:pPr>
      <w:r>
        <w:rPr>
          <w:rFonts w:ascii="Calibri" w:hAnsi="Calibri"/>
          <w:color w:val="1B3A5C"/>
        </w:rPr>
        <w:t>10. Conclusion — The Complete Story</w:t>
      </w:r>
    </w:p>
    <w:p>
      <w:pPr>
        <w:pStyle w:val="Heading2"/>
      </w:pPr>
      <w:r>
        <w:rPr>
          <w:rFonts w:ascii="Calibri" w:hAnsi="Calibri"/>
          <w:color w:val="1B3A5C"/>
        </w:rPr>
        <w:t>10.1 Answering the Research Question</w:t>
      </w:r>
    </w:p>
    <w:p>
      <w:r>
        <w:rPr>
          <w:rFonts w:ascii="Calibri" w:hAnsi="Calibri"/>
          <w:b/>
          <w:sz w:val="22"/>
        </w:rPr>
        <w:t>Can machine learning models trained on clinical ECG data generalise to consumer wearable signals to detect cardiac rhythm anomalies, and are consumer wearables feasible as proxy cardiac screening tools for the general population?</w:t>
      </w:r>
    </w:p>
    <w:p>
      <w:r>
        <w:rPr>
          <w:rFonts w:ascii="Calibri" w:hAnsi="Calibri"/>
          <w:b w:val="0"/>
          <w:sz w:val="22"/>
        </w:rPr>
        <w:t>The answer is a qualified yes. The discriminative signal trained on clinical ECG data transfers meaningfully to consumer wearable PPG signals, but direct threshold generalisation fails due to the modality gap between clinical and consumer measurement systems.</w:t>
      </w:r>
    </w:p>
    <w:p>
      <w:r>
        <w:rPr>
          <w:rFonts w:ascii="Calibri" w:hAnsi="Calibri"/>
          <w:b w:val="0"/>
          <w:sz w:val="22"/>
        </w:rPr>
        <w:t>Layer 1 established that an SVM classifier trained on 8 HRV features from 8,187 clinical ECG recordings achieves 84.4% sensitivity and 87.3% specificity (AUROC 0.9080) on held-out test data — surpassing the pre-registered criterion of sensitivity ≥80% at specificity ≥75%. The model demonstrates strong discriminative ability for distinguishing normal from abnormal cardiac rhythms using only features extractable from consumer wearables.</w:t>
      </w:r>
    </w:p>
    <w:p>
      <w:r>
        <w:rPr>
          <w:rFonts w:ascii="Calibri" w:hAnsi="Calibri"/>
          <w:b w:val="0"/>
          <w:sz w:val="22"/>
        </w:rPr>
        <w:t>Layer 2 tested whether this performance transfers to real wearable data. The MIMIC PERform AF validation (N=35) revealed the central finding: AUROC 0.8586 confirms the model retains genuine discriminative ability across modalities, but the fixed ECG-calibrated threshold (0.34) produces 100% sensitivity at only 12.5% specificity. This is not a discrimination failure — it is a calibration failure. When the threshold is recalibrated for the PPG domain (0.8368 via LOOCV), sensitivity-targeted LOOCV recovers 78.9% sensitivity at 81.2% specificity, approaching the pre-registered criterion within the variance expected from N=35 leave-one-out evaluation.</w:t>
      </w:r>
    </w:p>
    <w:p>
      <w:r>
        <w:rPr>
          <w:rFonts w:ascii="Calibri" w:hAnsi="Calibri"/>
          <w:b w:val="0"/>
          <w:sz w:val="22"/>
        </w:rPr>
        <w:t>The Apple Watch N=1 case study produced a null result — probability scores were not elevated around the clinical anchor event. Three non-mutually-exclusive explanations account for this: the signal modality gap, a behavioural confound from reduced training intensity, and critically, the nature of the clinical finding itself. The ECG report from the National Heart Centre Singapore confirms an intraventricular conduction delay — a waveform morphology abnormality that affects QRS shape, not beat-to-beat timing. HRV features, which measure inter-beat interval variability, are structurally incapable of detecting this type of abnormality. This finding narrows the project’s validated scope to rhythm irregularities specifically, while demonstrating that real-world cardiac abnormalities encompass a broader spectrum than HRV-based screening can capture.</w:t>
      </w:r>
    </w:p>
    <w:p>
      <w:pPr>
        <w:pStyle w:val="Heading2"/>
      </w:pPr>
      <w:r>
        <w:rPr>
          <w:rFonts w:ascii="Calibri" w:hAnsi="Calibri"/>
          <w:color w:val="1B3A5C"/>
        </w:rPr>
        <w:t>10.2 The Discrimination vs Calibration Distinction</w:t>
      </w:r>
    </w:p>
    <w:p>
      <w:r>
        <w:rPr>
          <w:rFonts w:ascii="Calibri" w:hAnsi="Calibri"/>
          <w:b w:val="0"/>
          <w:sz w:val="22"/>
        </w:rPr>
        <w:t>The most important methodological contribution of this project is the distinction between discrimination and calibration when evaluating cross-modality model performance. At the fixed ECG threshold of 0.34, the MIMIC results appear catastrophic: 12.5% specificity means 87.5% of healthy subjects are falsely flagged. But AUROC 0.8586 tells a different story — the model correctly ranks abnormal subjects higher than normal subjects 86% of the time. The model knows who is sicker; it just doesn’t know where to draw the line because the line was drawn for a different measurement system.</w:t>
      </w:r>
    </w:p>
    <w:p>
      <w:r>
        <w:rPr>
          <w:rFonts w:ascii="Calibri" w:hAnsi="Calibri"/>
          <w:b w:val="0"/>
          <w:sz w:val="22"/>
        </w:rPr>
        <w:t>This is the same reason a thermometer calibrated in Fahrenheit gives alarming readings when interpreted on a Celsius scale. The instrument is accurate; the interpretation framework needs adaptation.</w:t>
      </w:r>
    </w:p>
    <w:p>
      <w:pPr>
        <w:pStyle w:val="Heading2"/>
      </w:pPr>
      <w:r>
        <w:rPr>
          <w:rFonts w:ascii="Calibri" w:hAnsi="Calibri"/>
          <w:color w:val="1B3A5C"/>
        </w:rPr>
        <w:t>10.3 Implications for Singapore Public Health</w:t>
      </w:r>
    </w:p>
    <w:p>
      <w:r>
        <w:rPr>
          <w:rFonts w:ascii="Calibri" w:hAnsi="Calibri"/>
          <w:b w:val="0"/>
          <w:sz w:val="22"/>
        </w:rPr>
        <w:t>With 49% of Singapore residents foregoing annual health checkups and cardiovascular disease claiming approximately 22 lives daily, the screening gap is real and consequential. Consumer wearables are already worn by millions and continuously collect cardiac data without requiring active participation.</w:t>
      </w:r>
    </w:p>
    <w:p>
      <w:r>
        <w:rPr>
          <w:rFonts w:ascii="Calibri" w:hAnsi="Calibri"/>
          <w:b w:val="0"/>
          <w:sz w:val="22"/>
        </w:rPr>
        <w:t>This project demonstrates that the bridge from clinical models to consumer wearable signals is feasible but not yet direct. The discriminative signal transfers (AUROC 0.86 across modalities), but deployment requires domain-adapted thresholds calibrated to the specific wearable measurement system. A clinical ECG threshold applied directly to PPG data will over-flag — producing unnecessary anxiety and clinical referrals. A recalibrated threshold restores clinically meaningful specificity.</w:t>
      </w:r>
    </w:p>
    <w:p>
      <w:r>
        <w:rPr>
          <w:rFonts w:ascii="Calibri" w:hAnsi="Calibri"/>
          <w:b w:val="0"/>
          <w:sz w:val="22"/>
        </w:rPr>
        <w:t>For Singapore’s public health strategy, the practical path forward involves: (1) training or adapting models with PPG-specific calibration data from the target population; (2) partnering with wearable manufacturers to access richer signal data (raw RR intervals rather than summary statistics); and (3) validating on larger, population-representative cohorts rather than ICU patients. The technology is not ready for autonomous screening today, but the discriminative foundation is present — the engineering problem is calibration, not capability.</w:t>
      </w:r>
    </w:p>
    <w:p>
      <w:pPr>
        <w:pStyle w:val="Heading1"/>
      </w:pPr>
      <w:r>
        <w:rPr>
          <w:rFonts w:ascii="Calibri" w:hAnsi="Calibri"/>
          <w:color w:val="1B3A5C"/>
        </w:rPr>
        <w:t>11. Methodological Strengths</w:t>
      </w:r>
    </w:p>
    <w:p>
      <w:r>
        <w:rPr>
          <w:rFonts w:ascii="Calibri" w:hAnsi="Calibri"/>
          <w:b w:val="0"/>
          <w:sz w:val="22"/>
        </w:rPr>
        <w:t>Pre-registration: Key decisions (feature set, thresholds, test direction, tier criteria) were locked before analysis, preventing post-hoc rationalisation.</w:t>
      </w:r>
    </w:p>
    <w:p>
      <w:r>
        <w:rPr>
          <w:rFonts w:ascii="Calibri" w:hAnsi="Calibri"/>
          <w:b w:val="0"/>
          <w:sz w:val="22"/>
        </w:rPr>
        <w:t>No data leakage: StandardScaler fitted on training data only. Layer 2 data never used for training or threshold selection (fixed threshold applied first, recalibration documented separately).</w:t>
      </w:r>
    </w:p>
    <w:p>
      <w:r>
        <w:rPr>
          <w:rFonts w:ascii="Calibri" w:hAnsi="Calibri"/>
          <w:b w:val="0"/>
          <w:sz w:val="22"/>
        </w:rPr>
        <w:t>Transparent null result: The Apple Watch null result is reported rather than suppressed. Three mechanistic explanations are provided, and the pivot to MIMIC PERform AF is documented with rationale.</w:t>
      </w:r>
    </w:p>
    <w:p>
      <w:r>
        <w:rPr>
          <w:rFonts w:ascii="Calibri" w:hAnsi="Calibri"/>
          <w:b w:val="0"/>
          <w:sz w:val="22"/>
        </w:rPr>
        <w:t>Discrimination vs calibration: AUROC and sensitivity/specificity are reported and interpreted separately, preventing the common error of conflating threshold miscalibration with model failure.</w:t>
      </w:r>
    </w:p>
    <w:p>
      <w:r>
        <w:rPr>
          <w:rFonts w:ascii="Calibri" w:hAnsi="Calibri"/>
          <w:b w:val="0"/>
          <w:sz w:val="22"/>
        </w:rPr>
        <w:t>Stress testing: Bootstrap confidence intervals and LOOCV provide honest uncertainty estimates rather than point estimates that overstate precision.</w:t>
      </w:r>
    </w:p>
    <w:p>
      <w:r>
        <w:rPr>
          <w:rFonts w:ascii="Calibri" w:hAnsi="Calibri"/>
          <w:b w:val="0"/>
          <w:sz w:val="22"/>
        </w:rPr>
        <w:t>ECG ground truth: The clinical ECG report provides a verifiable anchor point and reveals the specific type of abnormality, enabling mechanistic interpretation rather than speculation.</w:t>
      </w:r>
    </w:p>
    <w:p>
      <w:r>
        <w:rPr>
          <w:rFonts w:ascii="Calibri" w:hAnsi="Calibri"/>
          <w:b w:val="0"/>
          <w:sz w:val="22"/>
        </w:rPr>
        <w:t>Reproducible pipeline: All source code in src/, notebooks call functions rather than defining them, and the full methodology is documented.</w:t>
      </w:r>
    </w:p>
    <w:p>
      <w:pPr>
        <w:pStyle w:val="Heading1"/>
      </w:pPr>
      <w:r>
        <w:rPr>
          <w:rFonts w:ascii="Calibri" w:hAnsi="Calibri"/>
          <w:color w:val="1B3A5C"/>
        </w:rPr>
        <w:t>12. Limitations</w:t>
      </w:r>
    </w:p>
    <w:p>
      <w:r>
        <w:rPr>
          <w:rFonts w:ascii="Calibri" w:hAnsi="Calibri"/>
          <w:b w:val="0"/>
          <w:sz w:val="22"/>
        </w:rPr>
        <w:t>• This project does not constitute a clinical trial and does not produce a validated medical device.</w:t>
      </w:r>
    </w:p>
    <w:p>
      <w:r>
        <w:rPr>
          <w:rFonts w:ascii="Calibri" w:hAnsi="Calibri"/>
          <w:b w:val="0"/>
          <w:sz w:val="22"/>
        </w:rPr>
        <w:t>• The personal Apple Watch analysis is a single-subject case study (N=1) and its findings cannot be generalised to the broader population.</w:t>
      </w:r>
    </w:p>
    <w:p>
      <w:r>
        <w:rPr>
          <w:rFonts w:ascii="Calibri" w:hAnsi="Calibri"/>
          <w:b w:val="0"/>
          <w:sz w:val="22"/>
        </w:rPr>
        <w:t>• Consumer wearable data is derived from optical heart rate sensors (PPG), which measure cardiac activity through a fundamentally different mechanism than the clinical ECG recordings used for model training.</w:t>
      </w:r>
    </w:p>
    <w:p>
      <w:r>
        <w:rPr>
          <w:rFonts w:ascii="Calibri" w:hAnsi="Calibri"/>
          <w:b w:val="0"/>
          <w:sz w:val="22"/>
        </w:rPr>
        <w:t>• The Apple Watch SE does not have an electrical heart sensor and cannot produce ECG recordings. RMSSD values are approximated from SDNN (×0.85).</w:t>
      </w:r>
    </w:p>
    <w:p>
      <w:r>
        <w:rPr>
          <w:rFonts w:ascii="Calibri" w:hAnsi="Calibri"/>
          <w:b w:val="0"/>
          <w:sz w:val="22"/>
        </w:rPr>
        <w:t>• The MIMIC PERform AF validation uses 35 critically ill ICU subjects — a population that differs significantly from the general screening target.</w:t>
      </w:r>
    </w:p>
    <w:p>
      <w:r>
        <w:rPr>
          <w:rFonts w:ascii="Calibri" w:hAnsi="Calibri"/>
          <w:b w:val="0"/>
          <w:sz w:val="22"/>
        </w:rPr>
        <w:t>• Threshold recalibration and LOOCV results were computed on the same 35 subjects and should be interpreted as indicative rather than definitive.</w:t>
      </w:r>
    </w:p>
    <w:p>
      <w:r>
        <w:rPr>
          <w:rFonts w:ascii="Calibri" w:hAnsi="Calibri"/>
          <w:b w:val="0"/>
          <w:sz w:val="22"/>
        </w:rPr>
        <w:t>• The locked 8-feature HRV set detects rhythm irregularities (beat-to-beat timing abnormalities) but cannot detect morphological abnormalities such as conduction delays or ST changes, which affect waveform shape rather than inter-beat timing — as demonstrated by the clinical ECG report findings.</w:t>
      </w:r>
    </w:p>
    <w:p>
      <w:r>
        <w:rPr>
          <w:rFonts w:ascii="Calibri" w:hAnsi="Calibri"/>
          <w:b w:val="0"/>
          <w:sz w:val="22"/>
        </w:rPr>
        <w:t>• All personal data findings are presented as exploratory and hypothesis-generating.</w:t>
      </w:r>
    </w:p>
    <w:p>
      <w:pPr>
        <w:pStyle w:val="Heading1"/>
      </w:pPr>
      <w:r>
        <w:rPr>
          <w:rFonts w:ascii="Calibri" w:hAnsi="Calibri"/>
          <w:color w:val="1B3A5C"/>
        </w:rPr>
        <w:t>13. Acknowledgements</w:t>
      </w:r>
    </w:p>
    <w:p>
      <w:r>
        <w:rPr>
          <w:rFonts w:ascii="Calibri" w:hAnsi="Calibri"/>
          <w:b w:val="0"/>
          <w:sz w:val="22"/>
        </w:rPr>
        <w:t>Dataset provided by Physionet and the Computing in Cardiology Challenge 2017 organisers. Personal health data collected via Apple Watch SE (1st Generation) and exported through Apple Health. MIMIC PERform AF dataset provided via Zenodo (doi.org/10.5281/zenodo.6807402). Clinical ECG report provided by the National Heart Centre Singapore (NHCS), Department of Cardiology.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