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Medição de temperatura e umidade em áreas de proteção ambiental</w:t>
      </w:r>
      <w:r>
        <w:rPr>
          <w:rFonts w:ascii="Arial" w:hAnsi="Arial" w:cs="Arial"/>
          <w:b/>
          <w:bCs/>
          <w:sz w:val="36"/>
          <w:szCs w:val="36"/>
        </w:rPr>
      </w:r>
    </w:p>
    <w:p>
      <w:pPr>
        <w:pBdr/>
        <w:spacing w:after="80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8646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936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2986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35.1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Grupo 02</w:t>
      </w:r>
      <w:r>
        <w:rPr>
          <w:rFonts w:ascii="Arial" w:hAnsi="Arial" w:cs="Arial"/>
          <w:b/>
          <w:bCs/>
          <w:sz w:val="32"/>
          <w:szCs w:val="32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André Ferreira Lacerda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Diogo </w:t>
      </w:r>
      <w:r>
        <w:rPr>
          <w:rFonts w:ascii="Arial" w:hAnsi="Arial" w:cs="Arial"/>
        </w:rPr>
        <w:t xml:space="preserve">Gabriell</w:t>
      </w:r>
      <w:r>
        <w:rPr>
          <w:rFonts w:ascii="Arial" w:hAnsi="Arial" w:cs="Arial"/>
        </w:rPr>
        <w:t xml:space="preserve"> Procópio da Silva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Guilherme Marques Cardoso dos Santos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Juan Vieira dos Reis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Lucas Sousa Santos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São Paulo</w:t>
      </w:r>
      <w:r>
        <w:rPr>
          <w:rFonts w:ascii="Arial" w:hAnsi="Arial" w:cs="Arial"/>
          <w:b/>
          <w:bCs/>
          <w:sz w:val="32"/>
          <w:szCs w:val="32"/>
        </w:rPr>
      </w:r>
    </w:p>
    <w:p>
      <w:pPr>
        <w:pBdr/>
        <w:tabs>
          <w:tab w:val="left" w:leader="none" w:pos="3387"/>
        </w:tabs>
        <w:spacing w:after="80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</w:r>
    </w:p>
    <w:p>
      <w:pPr>
        <w:pBdr/>
        <w:tabs>
          <w:tab w:val="left" w:leader="none" w:pos="3387"/>
        </w:tabs>
        <w:spacing w:after="80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3387"/>
        </w:tabs>
        <w:spacing w:after="80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3387"/>
        </w:tabs>
        <w:spacing w:after="80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2025</w:t>
      </w:r>
      <w:r>
        <w:rPr>
          <w:rFonts w:ascii="Arial" w:hAnsi="Arial" w:cs="Arial"/>
          <w:b/>
          <w:bCs/>
          <w:sz w:val="32"/>
          <w:szCs w:val="32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SUmário</w:t>
      </w:r>
      <w:r>
        <w:rPr>
          <w:rFonts w:ascii="Arial" w:hAnsi="Arial" w:cs="Arial"/>
          <w:sz w:val="28"/>
          <w:szCs w:val="28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"Estilo 1;1;Estilo 2;2" </w:instrText>
      </w:r>
      <w:r>
        <w:rPr>
          <w:rFonts w:ascii="Arial" w:hAnsi="Arial" w:cs="Arial"/>
        </w:rPr>
        <w:fldChar w:fldCharType="separate"/>
      </w:r>
      <w:hyperlink w:tooltip="#_Toc196150422" w:anchor="_Toc196150422" w:history="1">
        <w:r>
          <w:rPr>
            <w:rStyle w:val="921"/>
          </w:rPr>
          <w:t xml:space="preserve">Contexto</w:t>
        </w:r>
        <w:r>
          <w:tab/>
        </w:r>
        <w:r>
          <w:fldChar w:fldCharType="begin"/>
        </w:r>
        <w:r>
          <w:instrText xml:space="preserve"> PAGEREF _Toc196150422 \h </w:instrText>
        </w:r>
        <w:r/>
        <w:r>
          <w:fldChar w:fldCharType="separate"/>
        </w:r>
        <w:r>
          <w:t xml:space="preserve">3</w:t>
        </w:r>
        <w:r>
          <w:fldChar w:fldCharType="end"/>
        </w:r>
      </w:hyperlink>
      <w:r/>
      <w:r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r/>
      <w:hyperlink w:tooltip="#_Toc196150423" w:anchor="_Toc196150423" w:history="1">
        <w:r>
          <w:rPr>
            <w:rStyle w:val="921"/>
          </w:rPr>
          <w:t xml:space="preserve">Responsáveis</w:t>
        </w:r>
        <w:r>
          <w:tab/>
        </w:r>
        <w:r>
          <w:fldChar w:fldCharType="begin"/>
        </w:r>
        <w:r>
          <w:instrText xml:space="preserve"> PAGEREF _Toc196150423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24" w:anchor="_Toc196150424" w:history="1">
        <w:r>
          <w:rPr>
            <w:rStyle w:val="921"/>
          </w:rPr>
          <w:t xml:space="preserve">Atividades humanas</w:t>
        </w:r>
        <w:r>
          <w:tab/>
        </w:r>
        <w:r>
          <w:fldChar w:fldCharType="begin"/>
        </w:r>
        <w:r>
          <w:instrText xml:space="preserve"> PAGEREF _Toc196150424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25" w:anchor="_Toc196150425" w:history="1">
        <w:r>
          <w:rPr>
            <w:rStyle w:val="921"/>
          </w:rPr>
          <w:t xml:space="preserve">Causas naturais</w:t>
        </w:r>
        <w:r>
          <w:tab/>
        </w:r>
        <w:r>
          <w:fldChar w:fldCharType="begin"/>
        </w:r>
        <w:r>
          <w:instrText xml:space="preserve"> PAGEREF _Toc196150425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26" w:anchor="_Toc196150426" w:history="1">
        <w:r>
          <w:rPr>
            <w:rStyle w:val="921"/>
          </w:rPr>
          <w:t xml:space="preserve">Fatores climáticos e ambientais</w:t>
        </w:r>
        <w:r>
          <w:tab/>
        </w:r>
        <w:r>
          <w:fldChar w:fldCharType="begin"/>
        </w:r>
        <w:r>
          <w:instrText xml:space="preserve"> PAGEREF _Toc196150426 \h </w:instrText>
        </w:r>
        <w:r/>
        <w:r>
          <w:fldChar w:fldCharType="separate"/>
        </w:r>
        <w:r>
          <w:t xml:space="preserve">5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27" w:anchor="_Toc196150427" w:history="1">
        <w:r>
          <w:rPr>
            <w:rStyle w:val="921"/>
          </w:rPr>
          <w:t xml:space="preserve">Falta de fiscalização e políticas públicas</w:t>
        </w:r>
        <w:r>
          <w:tab/>
        </w:r>
        <w:r>
          <w:fldChar w:fldCharType="begin"/>
        </w:r>
        <w:r>
          <w:instrText xml:space="preserve"> PAGEREF _Toc196150427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r/>
      <w:hyperlink w:tooltip="#_Toc196150428" w:anchor="_Toc196150428" w:history="1">
        <w:r>
          <w:rPr>
            <w:rStyle w:val="921"/>
          </w:rPr>
          <w:t xml:space="preserve">Custos</w:t>
        </w:r>
        <w:r>
          <w:tab/>
        </w:r>
        <w:r>
          <w:fldChar w:fldCharType="begin"/>
        </w:r>
        <w:r>
          <w:instrText xml:space="preserve"> PAGEREF _Toc196150428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29" w:anchor="_Toc196150429" w:history="1">
        <w:r>
          <w:rPr>
            <w:rStyle w:val="921"/>
          </w:rPr>
          <w:t xml:space="preserve">Impactos Econômicos</w:t>
        </w:r>
        <w:r>
          <w:tab/>
        </w:r>
        <w:r>
          <w:fldChar w:fldCharType="begin"/>
        </w:r>
        <w:r>
          <w:instrText xml:space="preserve"> PAGEREF _Toc196150429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30" w:anchor="_Toc196150430" w:history="1">
        <w:r>
          <w:rPr>
            <w:rStyle w:val="921"/>
          </w:rPr>
          <w:t xml:space="preserve">Custos para o Meio Ambiente</w:t>
        </w:r>
        <w:r>
          <w:tab/>
        </w:r>
        <w:r>
          <w:fldChar w:fldCharType="begin"/>
        </w:r>
        <w:r>
          <w:instrText xml:space="preserve"> PAGEREF _Toc196150430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31" w:anchor="_Toc196150431" w:history="1">
        <w:r>
          <w:rPr>
            <w:rStyle w:val="921"/>
          </w:rPr>
          <w:t xml:space="preserve">Custos com Combate e Prevenção</w:t>
        </w:r>
        <w:r>
          <w:tab/>
        </w:r>
        <w:r>
          <w:fldChar w:fldCharType="begin"/>
        </w:r>
        <w:r>
          <w:instrText xml:space="preserve"> PAGEREF _Toc196150431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32" w:anchor="_Toc196150432" w:history="1">
        <w:r>
          <w:rPr>
            <w:rStyle w:val="921"/>
          </w:rPr>
          <w:t xml:space="preserve">Estimativas de Custos:</w:t>
        </w:r>
        <w:r>
          <w:tab/>
        </w:r>
        <w:r>
          <w:fldChar w:fldCharType="begin"/>
        </w:r>
        <w:r>
          <w:instrText xml:space="preserve"> PAGEREF _Toc196150432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r/>
      <w:hyperlink w:tooltip="#_Toc196150433" w:anchor="_Toc196150433" w:history="1">
        <w:r>
          <w:rPr>
            <w:rStyle w:val="921"/>
          </w:rPr>
          <w:t xml:space="preserve">Objetivos</w:t>
        </w:r>
        <w:r>
          <w:tab/>
        </w:r>
        <w:r>
          <w:fldChar w:fldCharType="begin"/>
        </w:r>
        <w:r>
          <w:instrText xml:space="preserve"> PAGEREF _Toc196150433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34" w:anchor="_Toc196150434" w:history="1">
        <w:r>
          <w:rPr>
            <w:rStyle w:val="921"/>
          </w:rPr>
          <w:t xml:space="preserve">Objetivo geral</w:t>
        </w:r>
        <w:r>
          <w:tab/>
        </w:r>
        <w:r>
          <w:fldChar w:fldCharType="begin"/>
        </w:r>
        <w:r>
          <w:instrText xml:space="preserve"> PAGEREF _Toc196150434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35" w:anchor="_Toc196150435" w:history="1">
        <w:r>
          <w:rPr>
            <w:rStyle w:val="921"/>
          </w:rPr>
          <w:t xml:space="preserve">Objetivos específicos</w:t>
        </w:r>
        <w:r>
          <w:tab/>
        </w:r>
        <w:r>
          <w:fldChar w:fldCharType="begin"/>
        </w:r>
        <w:r>
          <w:instrText xml:space="preserve"> PAGEREF _Toc196150435 \h </w:instrText>
        </w:r>
        <w:r/>
        <w:r>
          <w:fldChar w:fldCharType="separate"/>
        </w:r>
        <w:r>
          <w:t xml:space="preserve">7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r/>
      <w:hyperlink w:tooltip="#_Toc196150436" w:anchor="_Toc196150436" w:history="1">
        <w:r>
          <w:rPr>
            <w:rStyle w:val="921"/>
          </w:rPr>
          <w:t xml:space="preserve">Justificativa</w:t>
        </w:r>
        <w:r>
          <w:tab/>
        </w:r>
        <w:r>
          <w:fldChar w:fldCharType="begin"/>
        </w:r>
        <w:r>
          <w:instrText xml:space="preserve"> PAGEREF _Toc196150436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r/>
      <w:hyperlink w:tooltip="#_Toc196150437" w:anchor="_Toc196150437" w:history="1">
        <w:r>
          <w:rPr>
            <w:rStyle w:val="921"/>
          </w:rPr>
          <w:t xml:space="preserve">Escopo</w:t>
        </w:r>
        <w:r>
          <w:tab/>
        </w:r>
        <w:r>
          <w:fldChar w:fldCharType="begin"/>
        </w:r>
        <w:r>
          <w:instrText xml:space="preserve"> PAGEREF _Toc196150437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38" w:anchor="_Toc196150438" w:history="1">
        <w:r>
          <w:rPr>
            <w:rStyle w:val="921"/>
          </w:rPr>
          <w:t xml:space="preserve">Descrição resumida do projeto</w:t>
        </w:r>
        <w:r>
          <w:tab/>
        </w:r>
        <w:r>
          <w:fldChar w:fldCharType="begin"/>
        </w:r>
        <w:r>
          <w:instrText xml:space="preserve"> PAGEREF _Toc196150438 \h </w:instrText>
        </w:r>
        <w:r/>
        <w:r>
          <w:fldChar w:fldCharType="separate"/>
        </w:r>
        <w:r>
          <w:t xml:space="preserve">8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39" w:anchor="_Toc196150439" w:history="1">
        <w:r>
          <w:rPr>
            <w:rStyle w:val="921"/>
          </w:rPr>
          <w:t xml:space="preserve">Resultados esperados</w:t>
        </w:r>
        <w:r>
          <w:tab/>
        </w:r>
        <w:r>
          <w:fldChar w:fldCharType="begin"/>
        </w:r>
        <w:r>
          <w:instrText xml:space="preserve"> PAGEREF _Toc196150439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40" w:anchor="_Toc196150440" w:history="1">
        <w:r>
          <w:rPr>
            <w:rStyle w:val="921"/>
          </w:rPr>
          <w:t xml:space="preserve">Equipamentos</w:t>
        </w:r>
        <w:r>
          <w:tab/>
        </w:r>
        <w:r>
          <w:fldChar w:fldCharType="begin"/>
        </w:r>
        <w:r>
          <w:instrText xml:space="preserve"> PAGEREF _Toc196150440 \h </w:instrText>
        </w:r>
        <w:r/>
        <w:r>
          <w:fldChar w:fldCharType="separate"/>
        </w:r>
        <w:r>
          <w:t xml:space="preserve">9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41" w:anchor="_Toc196150441" w:history="1">
        <w:r>
          <w:rPr>
            <w:rStyle w:val="921"/>
          </w:rPr>
          <w:t xml:space="preserve">Programas e sites que serão utilizados</w:t>
        </w:r>
        <w:r>
          <w:tab/>
        </w:r>
        <w:r>
          <w:fldChar w:fldCharType="begin"/>
        </w:r>
        <w:r>
          <w:instrText xml:space="preserve"> PAGEREF _Toc196150441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42" w:anchor="_Toc196150442" w:history="1">
        <w:r>
          <w:rPr>
            <w:rStyle w:val="921"/>
          </w:rPr>
          <w:t xml:space="preserve">Requisitos</w:t>
        </w:r>
        <w:r>
          <w:tab/>
        </w:r>
        <w:r>
          <w:fldChar w:fldCharType="begin"/>
        </w:r>
        <w:r>
          <w:instrText xml:space="preserve"> PAGEREF _Toc196150442 \h </w:instrText>
        </w:r>
        <w:r/>
        <w:r>
          <w:fldChar w:fldCharType="separate"/>
        </w:r>
        <w:r>
          <w:t xml:space="preserve">10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43" w:anchor="_Toc196150443" w:history="1">
        <w:r>
          <w:rPr>
            <w:rStyle w:val="921"/>
          </w:rPr>
          <w:t xml:space="preserve">Limites e exclusões</w:t>
        </w:r>
        <w:r>
          <w:tab/>
        </w:r>
        <w:r>
          <w:fldChar w:fldCharType="begin"/>
        </w:r>
        <w:r>
          <w:instrText xml:space="preserve"> PAGEREF _Toc196150443 \h </w:instrText>
        </w:r>
        <w:r/>
        <w:r>
          <w:fldChar w:fldCharType="separate"/>
        </w:r>
        <w:r>
          <w:t xml:space="preserve">11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44" w:anchor="_Toc196150444" w:history="1">
        <w:r>
          <w:rPr>
            <w:rStyle w:val="921"/>
          </w:rPr>
          <w:t xml:space="preserve">Macro Cronograma</w:t>
        </w:r>
        <w:r>
          <w:tab/>
        </w:r>
        <w:r>
          <w:fldChar w:fldCharType="begin"/>
        </w:r>
        <w:r>
          <w:instrText xml:space="preserve"> PAGEREF _Toc196150444 \h </w:instrText>
        </w:r>
        <w:r/>
        <w:r>
          <w:fldChar w:fldCharType="separate"/>
        </w:r>
        <w:r>
          <w:t xml:space="preserve">12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45" w:anchor="_Toc196150445" w:history="1">
        <w:r>
          <w:rPr>
            <w:rStyle w:val="921"/>
          </w:rPr>
          <w:t xml:space="preserve">Stakeholders</w:t>
        </w:r>
        <w:r>
          <w:tab/>
        </w:r>
        <w:r>
          <w:fldChar w:fldCharType="begin"/>
        </w:r>
        <w:r>
          <w:instrText xml:space="preserve"> PAGEREF _Toc196150445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46" w:anchor="_Toc196150446" w:history="1">
        <w:r>
          <w:rPr>
            <w:rStyle w:val="921"/>
          </w:rPr>
          <w:t xml:space="preserve">Premissas</w:t>
        </w:r>
        <w:r>
          <w:tab/>
        </w:r>
        <w:r>
          <w:fldChar w:fldCharType="begin"/>
        </w:r>
        <w:r>
          <w:instrText xml:space="preserve"> PAGEREF _Toc196150446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4"/>
        <w:pBdr/>
        <w:tabs>
          <w:tab w:val="right" w:leader="dot" w:pos="9016"/>
        </w:tabs>
        <w:spacing/>
        <w:ind/>
        <w:rPr>
          <w:rFonts w:eastAsiaTheme="minorEastAsia"/>
          <w:smallCaps w:val="0"/>
          <w:sz w:val="22"/>
          <w:szCs w:val="22"/>
          <w:lang w:eastAsia="pt-BR"/>
        </w:rPr>
      </w:pPr>
      <w:r/>
      <w:hyperlink w:tooltip="#_Toc196150447" w:anchor="_Toc196150447" w:history="1">
        <w:r>
          <w:rPr>
            <w:rStyle w:val="921"/>
          </w:rPr>
          <w:t xml:space="preserve">Riscos e restrições</w:t>
        </w:r>
        <w:r>
          <w:tab/>
        </w:r>
        <w:r>
          <w:fldChar w:fldCharType="begin"/>
        </w:r>
        <w:r>
          <w:instrText xml:space="preserve"> PAGEREF _Toc196150447 \h </w:instrText>
        </w:r>
        <w:r/>
        <w:r>
          <w:fldChar w:fldCharType="separate"/>
        </w:r>
        <w:r>
          <w:t xml:space="preserve">13</w:t>
        </w:r>
        <w:r>
          <w:fldChar w:fldCharType="end"/>
        </w:r>
      </w:hyperlink>
      <w:r/>
      <w:r>
        <w:rPr>
          <w:rFonts w:eastAsiaTheme="minorEastAsia"/>
          <w:smallCaps w:val="0"/>
          <w:sz w:val="22"/>
          <w:szCs w:val="22"/>
          <w:lang w:eastAsia="pt-BR"/>
        </w:rPr>
      </w:r>
    </w:p>
    <w:p>
      <w:pPr>
        <w:pStyle w:val="923"/>
        <w:pBdr/>
        <w:tabs>
          <w:tab w:val="right" w:leader="dot" w:pos="9016"/>
        </w:tabs>
        <w:spacing/>
        <w:ind/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r/>
      <w:hyperlink w:tooltip="#_Toc196150448" w:anchor="_Toc196150448" w:history="1">
        <w:r>
          <w:rPr>
            <w:rStyle w:val="921"/>
          </w:rPr>
          <w:t xml:space="preserve">Conclusão</w:t>
        </w:r>
        <w:r>
          <w:tab/>
        </w:r>
        <w:r>
          <w:fldChar w:fldCharType="begin"/>
        </w:r>
        <w:r>
          <w:instrText xml:space="preserve"> PAGEREF _Toc196150448 \h </w:instrText>
        </w:r>
        <w:r/>
        <w:r>
          <w:fldChar w:fldCharType="separate"/>
        </w:r>
        <w:r>
          <w:t xml:space="preserve">14</w:t>
        </w:r>
        <w:r>
          <w:fldChar w:fldCharType="end"/>
        </w:r>
      </w:hyperlink>
      <w:r/>
      <w:r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8"/>
        <w:pBdr/>
        <w:spacing/>
        <w:ind/>
        <w:rPr/>
      </w:pPr>
      <w:r/>
      <w:bookmarkStart w:id="0" w:name="_Toc196147006"/>
      <w:r/>
      <w:r/>
    </w:p>
    <w:p>
      <w:pPr>
        <w:pStyle w:val="938"/>
        <w:pBdr/>
        <w:spacing/>
        <w:ind/>
        <w:rPr/>
      </w:pPr>
      <w:r/>
      <w:r/>
    </w:p>
    <w:p>
      <w:pPr>
        <w:pStyle w:val="938"/>
        <w:pBdr/>
        <w:spacing/>
        <w:ind/>
        <w:rPr/>
      </w:pPr>
      <w:r/>
      <w:r/>
    </w:p>
    <w:p>
      <w:pPr>
        <w:pStyle w:val="938"/>
        <w:pBdr/>
        <w:spacing/>
        <w:ind/>
        <w:rPr/>
      </w:pPr>
      <w:r/>
      <w:bookmarkStart w:id="1" w:name="_Toc196150422"/>
      <w:r>
        <w:t xml:space="preserve">Contexto</w:t>
      </w:r>
      <w:bookmarkEnd w:id="0"/>
      <w:r/>
      <w:bookmarkEnd w:id="1"/>
      <w:r>
        <w:t xml:space="preserve"> </w:t>
      </w:r>
      <w:r/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estado de São Paulo possuí uma vasta urba</w:t>
      </w:r>
      <w:r>
        <w:rPr>
          <w:rFonts w:ascii="Arial" w:hAnsi="Arial" w:cs="Arial"/>
        </w:rPr>
        <w:t xml:space="preserve">nização e abriga importantes áreas de proteção ambiental (APAs), que desempenham um papel fundamental na manutenção do equilíbrio ecológico, regulação do clima e da proteção da biodiversidade local. Além disso, algumas destas APAs como a Capivari-Mono e a </w:t>
      </w:r>
      <w:r>
        <w:rPr>
          <w:rFonts w:ascii="Arial" w:hAnsi="Arial" w:cs="Arial"/>
        </w:rPr>
        <w:t xml:space="preserve">Bororé</w:t>
      </w:r>
      <w:r>
        <w:rPr>
          <w:rFonts w:ascii="Arial" w:hAnsi="Arial" w:cs="Arial"/>
        </w:rPr>
        <w:t xml:space="preserve">-Colônia protegem as nascentes da Represa Billings, responsável pelo abastecimento de água de grande parte da Região Metropolitana de São Paulo. 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Contudo, devido às consequências do aqueci</w:t>
      </w:r>
      <w:r>
        <w:rPr>
          <w:rFonts w:ascii="Arial" w:hAnsi="Arial" w:cs="Arial"/>
        </w:rPr>
        <w:t xml:space="preserve">mento global, com o passar do tempo, o crescimento do risco de incêndios florestais vem sendo constante e exponencial. Estes incêndios são causados, em sua grande maioria, por fatores humanos, tais como queimadas ilegais e descarte inadequado de resíduos i</w:t>
      </w:r>
      <w:r>
        <w:rPr>
          <w:rFonts w:ascii="Arial" w:hAnsi="Arial" w:cs="Arial"/>
        </w:rPr>
        <w:t xml:space="preserve">nflamáveis (como por exemplo: bitucas de cigarro). Este problema não apenas devasta a fauna e a flora, como também agrava os problemas já existentes, como a degradação do solo, poluição do ar, e o aumento das mudanças climáticas. A umidade relativa do ar, </w:t>
      </w:r>
      <w:r>
        <w:rPr>
          <w:rFonts w:ascii="Arial" w:hAnsi="Arial" w:cs="Arial"/>
        </w:rPr>
        <w:t xml:space="preserve">especialmente nos períodos de estiagem, pode cair para níveis críticos (abaixo de 40%), o que aumenta significativamente a propensão a incêndios, pois a vegetação fica mais seca e inflamável. Além disso, a combinação entre baixa umidade e altas temperatura</w:t>
      </w:r>
      <w:r>
        <w:rPr>
          <w:rFonts w:ascii="Arial" w:hAnsi="Arial" w:cs="Arial"/>
        </w:rPr>
        <w:t xml:space="preserve">s cria um ambiente propício para a rápida propagação do fogo, desta forma dificultando o controle e o combate às chamas.  Estes fatores naturais, somados às ações humanas, tornam a prevenção e o monitoramento ainda mais essenciais para a proteção das APAs.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Atualmente, a Secretaria do Meio Ambient</w:t>
      </w:r>
      <w:r>
        <w:rPr>
          <w:rFonts w:ascii="Arial" w:hAnsi="Arial" w:cs="Arial"/>
        </w:rPr>
        <w:t xml:space="preserve">e, bombeiros e por consequência o Governo do Estado de S</w:t>
      </w:r>
      <w:r>
        <w:rPr>
          <w:rFonts w:ascii="Arial" w:hAnsi="Arial" w:cs="Arial"/>
        </w:rPr>
        <w:t xml:space="preserve">ão Paulo </w:t>
      </w:r>
      <w:r>
        <w:rPr>
          <w:rFonts w:ascii="Arial" w:hAnsi="Arial" w:cs="Arial"/>
        </w:rPr>
        <w:t xml:space="preserve">enfrentam desafios significativos quando se trata de monitorar e combater os incêndios. Esse fato se deve principalmente pela dificuldade de detectar focos de calor em estágios i</w:t>
      </w:r>
      <w:r>
        <w:rPr>
          <w:rFonts w:ascii="Arial" w:hAnsi="Arial" w:cs="Arial"/>
        </w:rPr>
        <w:t xml:space="preserve">niciais. Esse problema ocorre devido à falta de um sistema eficiente que alerte as autoridades competentes precocemente, o que resulta em respostas tardias, facilita a proliferação dos incêndios, e aumenta os estragos, que em muitas vezes são irreparáveis.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Diante desse problema, surge a necessidade de um </w:t>
      </w:r>
      <w:r>
        <w:rPr>
          <w:rFonts w:ascii="Arial" w:hAnsi="Arial" w:cs="Arial"/>
        </w:rPr>
        <w:t xml:space="preserve">sistema</w:t>
      </w:r>
      <w:r>
        <w:rPr>
          <w:rFonts w:ascii="Arial" w:hAnsi="Arial" w:cs="Arial"/>
        </w:rPr>
        <w:t xml:space="preserve"> que utilize a tecnologia para aprimorar o monitoramento em tempo real das APAs, identificando possíveis riscos de incêndio antes que se tornem algo incontrolável.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Atualmente, já há uma f</w:t>
      </w:r>
      <w:r>
        <w:rPr>
          <w:rFonts w:ascii="Arial" w:hAnsi="Arial" w:cs="Arial"/>
        </w:rPr>
        <w:t xml:space="preserve">erramenta do INPE que, através de satélites, identifica potenciais focos de incêndio através do Brasil, mas ela possui diversos empecilhos que atrasam a detecção e comprometem o combate às chamas. Abaixo estão alguns cenários em que o fogo não é detectado: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Frentes de incêndio com menos de 30m de extensão;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Fogo em matas densas que ainda não atingiu a copa das árvores;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Fogo em áreas nubladas;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Fogo em encostas de montanhas;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disso, também há uma imprecisão na localização das queimadas, que vai de 375m a 6km, o que atrasa ainda mais o combate.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os satélites utilizados pelo INPE produzem apenas 6 imagens por hora, o que, mais uma vez, dificulta a ação imediata dos bombeiros e brigadistas, e diminui a eficiência no uso da solução. 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ab/>
        <w:t xml:space="preserve">O que nos traz ao cerne da solução proposta por nossa empresa: preencher as lacunas deixadas pela tecnologia atual de prevenção do fogo, e aumentar a velocidade de resposta aos riscos associados aos incêndios nas áreas de proteção dentro das APAs estaduais, que se encontram espalhadas por todas regi</w:t>
      </w:r>
      <w:r>
        <w:rPr>
          <w:rFonts w:ascii="Arial" w:hAnsi="Arial" w:cs="Arial"/>
        </w:rPr>
        <w:t xml:space="preserve">ões do estado de S</w:t>
      </w:r>
      <w:r>
        <w:rPr>
          <w:rFonts w:ascii="Arial" w:hAnsi="Arial" w:cs="Arial"/>
        </w:rPr>
        <w:t xml:space="preserve">ão Paulo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center"/>
        <w:rPr>
          <w:rFonts w:ascii="Arial" w:hAnsi="Arial" w:cs="Arial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0788" cy="245339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840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40786" cy="2453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57.54pt;height:193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 w:after="80" w:line="360" w:lineRule="auto"/>
        <w:ind w:firstLine="708"/>
        <w:jc w:val="center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sz w:val="22"/>
          <w:szCs w:val="22"/>
        </w:rPr>
        <w:t xml:space="preserve">faixas de risco para ocorrência de incêndios (INPE)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Bdr/>
        <w:spacing w:after="80" w:line="360" w:lineRule="auto"/>
        <w:ind w:firstLine="708"/>
        <w:jc w:val="both"/>
        <w:rPr>
          <w:rFonts w:ascii="Arial" w:hAnsi="Arial" w:cs="Arial"/>
          <w:highlight w:val="none"/>
        </w:rPr>
      </w:pPr>
      <w:r>
        <w:rPr>
          <w:rFonts w:ascii="Arial" w:hAnsi="Arial" w:cs="Arial"/>
        </w:rPr>
        <w:t xml:space="preserve">Quando forem identificadas temperaturas acima dos limites, isto é, acima das marcas de </w:t>
      </w:r>
      <w:r>
        <w:rPr>
          <w:rFonts w:ascii="Arial" w:hAnsi="Arial" w:cs="Arial"/>
        </w:rPr>
        <w:t xml:space="preserve">35</w:t>
      </w:r>
      <w:r>
        <w:rPr>
          <w:rFonts w:ascii="Arial" w:hAnsi="Arial" w:cs="Arial"/>
        </w:rPr>
        <w:t xml:space="preserve">°C, alertas informando as m</w:t>
      </w:r>
      <w:r>
        <w:rPr>
          <w:rFonts w:ascii="Arial" w:hAnsi="Arial" w:cs="Arial"/>
        </w:rPr>
        <w:t xml:space="preserve">é</w:t>
      </w:r>
      <w:r>
        <w:rPr>
          <w:rFonts w:ascii="Arial" w:hAnsi="Arial" w:cs="Arial"/>
        </w:rPr>
        <w:t xml:space="preserve">tricas e situaç</w:t>
      </w:r>
      <w:r>
        <w:rPr>
          <w:rFonts w:ascii="Arial" w:hAnsi="Arial" w:cs="Arial"/>
        </w:rPr>
        <w:t xml:space="preserve">ão atual, ser</w:t>
      </w:r>
      <w:r>
        <w:rPr>
          <w:rFonts w:ascii="Arial" w:hAnsi="Arial" w:cs="Arial"/>
        </w:rPr>
        <w:t xml:space="preserve">ão enviados para nossa plataforma e que ajudar</w:t>
      </w:r>
      <w:r>
        <w:rPr>
          <w:rFonts w:ascii="Arial" w:hAnsi="Arial" w:cs="Arial"/>
        </w:rPr>
        <w:t xml:space="preserve">á na tomada de decis</w:t>
      </w:r>
      <w:r>
        <w:rPr>
          <w:rFonts w:ascii="Arial" w:hAnsi="Arial" w:cs="Arial"/>
        </w:rPr>
        <w:t xml:space="preserve">ão e diminuiç</w:t>
      </w:r>
      <w:r>
        <w:rPr>
          <w:rFonts w:ascii="Arial" w:hAnsi="Arial" w:cs="Arial"/>
        </w:rPr>
        <w:t xml:space="preserve">ão no tempo de resposta</w:t>
      </w:r>
      <w:r>
        <w:rPr>
          <w:rFonts w:ascii="Arial" w:hAnsi="Arial" w:cs="Arial"/>
        </w:rPr>
        <w:t xml:space="preserve">. Simultaneamente, também será feita a coleta de dados históricos para serem utilizados no desenvolvimento de estratégias preventivas mais eficazes, e em análises futuras. 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não irá apenas fortalecer a capacidade de resposta do estado de São Paulo na proteção de suas áreas verdes, mas também servirá de modelo para outras regiões que enfrentam problemas semelhantes. </w:t>
      </w:r>
      <w:r>
        <w:rPr>
          <w:rFonts w:ascii="Arial" w:hAnsi="Arial" w:cs="Arial"/>
        </w:rPr>
        <w:t xml:space="preserve">Unindo tecnologia e gestão ambiental, nós contribuiremos com a integridade e a preservação do meio ambiente, com a proteção da biodiversidade, e a melhoria da qualidade de vida da população, garantindo assim que as APAs continuem a cumprir seu papel vital.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/>
      <w:bookmarkStart w:id="2" w:name="_Toc196150423"/>
      <w:r>
        <w:rPr>
          <w:rStyle w:val="940"/>
        </w:rPr>
        <w:t xml:space="preserve">Responsáveis</w:t>
      </w:r>
      <w:bookmarkEnd w:id="2"/>
      <w:r>
        <w:rPr>
          <w:rFonts w:ascii="Arial" w:hAnsi="Arial" w:cs="Arial"/>
        </w:rPr>
        <w:br/>
        <w:t xml:space="preserve">Quando se quer </w:t>
      </w:r>
      <w:r>
        <w:t xml:space="preserve">saber</w:t>
      </w:r>
      <w:r>
        <w:rPr>
          <w:rFonts w:ascii="Arial" w:hAnsi="Arial" w:cs="Arial"/>
        </w:rPr>
        <w:t xml:space="preserve"> quais são os responsáveis desse problema, muitas vezes as causas são complexas e podem envolver múltiplos fatores como: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3" w:name="_Toc196150424"/>
      <w:r>
        <w:t xml:space="preserve">Atividades humanas</w:t>
      </w:r>
      <w:bookmarkEnd w:id="3"/>
      <w:r/>
      <w:r/>
    </w:p>
    <w:p>
      <w:pPr>
        <w:pStyle w:val="934"/>
        <w:numPr>
          <w:ilvl w:val="0"/>
          <w:numId w:val="11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Desmatamento ilegal: Em algumas regiões, o desmatamento ilegal pode envolver o uso de fogo para derrubar árvores, o que pode facilmente resultar em incêndios fora de controle.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11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Indústria e infraestrutura: Linhas de transmissão de energia elétrica, por exemplo, podem gerar faíscas que causam incêndios florestais. Além disso, a construção de rodovias e urbanização também pode aumentar o risco de incêndios.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11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Lixo e resíduos: Focos de incêndio podem começar quando pessoas descartam resíduos de forma inadequada, como cigarros acesos ou garrafas de vidro, que refletem a luz do sol e geram calor.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11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Turismo e lazer: Fogueiras em áreas de camping ou atividades recreativas podem gerar incêndios acidentais.</w:t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4" w:name="_Toc196150425"/>
      <w:r>
        <w:t xml:space="preserve">Causas naturais</w:t>
      </w:r>
      <w:bookmarkEnd w:id="4"/>
      <w:r/>
      <w:r/>
    </w:p>
    <w:p>
      <w:pPr>
        <w:pStyle w:val="934"/>
        <w:numPr>
          <w:ilvl w:val="0"/>
          <w:numId w:val="12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Raios: Embora mais raros, os raios podem causar incêndios florestais em regiões mais secas ou em épocas de altas temperaturas.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12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Seca e altas temperaturas: Uma combinação de calor intenso e falta de chuvas pode criar condições ideais para a propagação de incêndios, tornando as florestas mais vulneráveis.</w:t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5" w:name="_Toc196150426"/>
      <w:r>
        <w:t xml:space="preserve">Fatores climáticos e ambientais</w:t>
      </w:r>
      <w:bookmarkEnd w:id="5"/>
      <w:r/>
      <w:r/>
    </w:p>
    <w:p>
      <w:pPr>
        <w:pStyle w:val="934"/>
        <w:numPr>
          <w:ilvl w:val="0"/>
          <w:numId w:val="1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1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Vegetação seca: A vegetação ressecada após períodos de seca pode se tornar um combustível altamente inflamável.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6" w:name="_Toc196150427"/>
      <w:r>
        <w:t xml:space="preserve">Falta de fiscalização e políticas públicas</w:t>
      </w:r>
      <w:bookmarkEnd w:id="6"/>
      <w:r/>
      <w:r/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falta de fiscalização adequada das atividades humanas contribui para o aumento dos incêndios florestais. Além disso, políticas públicas ineficazes para a preservação ambiental e o combate a incêndios também desempenham um papel importante.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resumo, a responsabilidade pelos i</w:t>
      </w:r>
      <w:r>
        <w:rPr>
          <w:rFonts w:ascii="Arial" w:hAnsi="Arial" w:cs="Arial"/>
        </w:rPr>
        <w:t xml:space="preserve">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8"/>
        <w:pBdr/>
        <w:spacing/>
        <w:ind/>
        <w:rPr/>
      </w:pPr>
      <w:r/>
      <w:bookmarkStart w:id="7" w:name="_Toc196150428"/>
      <w:r>
        <w:t xml:space="preserve">Custos</w:t>
      </w:r>
      <w:bookmarkEnd w:id="7"/>
      <w:r/>
      <w:r/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Os custos dos incêndios florestais são imensos e afetam diversos aspectos, tanto econômicos quanto sociais e ambientais.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</w:r>
    </w:p>
    <w:p>
      <w:pPr>
        <w:pStyle w:val="939"/>
        <w:pBdr/>
        <w:spacing/>
        <w:ind/>
        <w:jc w:val="left"/>
        <w:rPr/>
      </w:pPr>
      <w:r/>
      <w:bookmarkStart w:id="8" w:name="_Toc196150429"/>
      <w:r>
        <w:t xml:space="preserve">Impactos Econômicos</w:t>
      </w:r>
      <w:bookmarkEnd w:id="8"/>
      <w:r/>
      <w:r/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Os incêndios podem destruir propriedades privadas, fazendas, rodovias, linhas de energia e outras infraestruturas essenciais. A reconstrução e reparação dessas estruturas podem custar bilhões de reais.</w:t>
      </w:r>
      <w:r>
        <w:rPr>
          <w:rFonts w:ascii="Arial" w:hAnsi="Arial" w:cs="Arial"/>
        </w:rPr>
        <w:br/>
        <w:t xml:space="preserve">Muitas vezes, as florestas que</w:t>
      </w:r>
      <w:r>
        <w:rPr>
          <w:rFonts w:ascii="Arial" w:hAnsi="Arial" w:cs="Arial"/>
        </w:rPr>
        <w:t xml:space="preserve">imadas estão localizadas em áreas próximas a fazendas ou áreas agrícolas. Incêndios podem destruir culturas, plantações e pastagens, prejudicando o abastecimento de alimentos e afetando a economia local, especialmente em áreas que dependem desses alimentos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jc w:val="left"/>
        <w:rPr/>
      </w:pPr>
      <w:r/>
      <w:bookmarkStart w:id="9" w:name="_Toc196150430"/>
      <w:r>
        <w:t xml:space="preserve">Custos para o Meio Ambiente</w:t>
      </w:r>
      <w:bookmarkEnd w:id="9"/>
      <w:r/>
      <w:r/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Florestas</w:t>
      </w:r>
      <w:r>
        <w:rPr>
          <w:rFonts w:ascii="Arial" w:hAnsi="Arial" w:cs="Arial"/>
        </w:rPr>
        <w:t xml:space="preserve">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>
        <w:rPr>
          <w:rFonts w:ascii="Arial" w:hAnsi="Arial" w:cs="Arial"/>
        </w:rPr>
        <w:br/>
        <w:t xml:space="preserve">Incêndios florestais liberam grandes quantidades de dióxido de carbono (CO2) e outros gases de efeito estufa na atmosfera, exacerbando o aquecimento global. Isso </w:t>
      </w:r>
      <w:r>
        <w:rPr>
          <w:rFonts w:ascii="Arial" w:hAnsi="Arial" w:cs="Arial"/>
        </w:rPr>
        <w:t xml:space="preserve">contribui para as mudanças climáticas, que podem aumentar a frequência e a intensidade de futuros incêndios.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10" w:name="_Toc196150431"/>
      <w:r>
        <w:t xml:space="preserve">Custos com Combate e Prevenção</w:t>
      </w:r>
      <w:bookmarkEnd w:id="10"/>
      <w:r/>
      <w:r/>
    </w:p>
    <w:p>
      <w:pPr>
        <w:pBdr/>
        <w:spacing w:after="80" w:line="360" w:lineRule="auto"/>
        <w:ind/>
        <w:jc w:val="both"/>
        <w:rPr>
          <w:rFonts w:ascii="Noto Sans Armenian" w:hAnsi="Noto Sans Armenian" w:cs="Noto Sans Armenian"/>
        </w:rPr>
      </w:pPr>
      <w:r>
        <w:rPr>
          <w:rFonts w:ascii="Arial" w:hAnsi="Arial" w:cs="Arial"/>
        </w:rPr>
        <w:t xml:space="preserve">O custo de mobilizar equipes de bombeiros, aeronaves para o lançamento de água, caminhões e outros equipamentos de combate a incêndios é altíssimo. O esforço para conter um incêndio pode durar dias ou semanas, exigindo vastos recursos </w:t>
      </w:r>
      <w:r>
        <w:rPr>
          <w:rFonts w:ascii="Noto Sans Armenian" w:hAnsi="Noto Sans Armenian" w:eastAsia="Noto Sans Armenian" w:cs="Noto Sans Armenian"/>
        </w:rPr>
        <w:t xml:space="preserve">financeiros.</w:t>
      </w:r>
      <w:r>
        <w:rPr>
          <w:rFonts w:ascii="Noto Sans Armenian" w:hAnsi="Noto Sans Armenian" w:eastAsia="Noto Sans Armenian" w:cs="Noto Sans Armenian"/>
        </w:rPr>
      </w:r>
      <w:r>
        <w:rPr>
          <w:rFonts w:ascii="Noto Sans Armenian" w:hAnsi="Noto Sans Armenian" w:eastAsia="Noto Sans Armenian" w:cs="Noto Sans Armeni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450" w:before="0" w:line="378" w:lineRule="auto"/>
        <w:ind w:right="0" w:firstLine="0" w:left="0"/>
        <w:rPr/>
      </w:pPr>
      <w:r>
        <w:rPr>
          <w:rFonts w:ascii="Noto Sans Armenian" w:hAnsi="Noto Sans Armenian" w:eastAsia="Noto Sans Armenian" w:cs="Noto Sans Armenian"/>
          <w:color w:val="231f20"/>
          <w:sz w:val="24"/>
          <w:szCs w:val="24"/>
        </w:rPr>
      </w:r>
      <w:hyperlink r:id="rId13" w:tooltip="https://semil.sp.gov.br/2021/06/governo-de-sao-paulo-investe-mais-de-r-7-milhoes-para-combater-incendios-florestais/#:~:text=O Governo do Estado de,ser investido em %C3%A1reas protegidas." w:history="1">
        <w:r>
          <w:rPr>
            <w:rStyle w:val="921"/>
            <w:rFonts w:ascii="Noto Sans Armenian" w:hAnsi="Noto Sans Armenian" w:eastAsia="Noto Sans Armenian" w:cs="Noto Sans Armenian"/>
            <w:sz w:val="24"/>
            <w:szCs w:val="24"/>
          </w:rPr>
          <w:t xml:space="preserve">O Governo do Estado de São Paulo está investindo mais de R$8 milhões</w:t>
        </w:r>
      </w:hyperlink>
      <w:r>
        <w:rPr>
          <w:rFonts w:ascii="Noto Sans Armenian" w:hAnsi="Noto Sans Armenian" w:eastAsia="Noto Sans Armenian" w:cs="Noto Sans Armenian"/>
          <w:color w:val="231f20"/>
          <w:sz w:val="24"/>
          <w:szCs w:val="24"/>
        </w:rPr>
        <w:t xml:space="preserve"> para prevenir e combater os incêndios florestais por meio da Operação Corta-Fogo 2021. O valor é proveniente da Câmara de Compensação – que vem de contrapartidas ambientais e que deve se</w:t>
      </w:r>
      <w:r>
        <w:rPr>
          <w:rFonts w:ascii="Noto Sans Armenian" w:hAnsi="Noto Sans Armenian" w:eastAsia="Noto Sans Armenian" w:cs="Noto Sans Armenian"/>
          <w:color w:val="231f20"/>
          <w:sz w:val="24"/>
          <w:szCs w:val="24"/>
        </w:rPr>
        <w:t xml:space="preserve">r investido em áreas protegidas.</w:t>
      </w:r>
      <w:r>
        <w:rPr>
          <w:rFonts w:ascii="Noto Sans Armenian" w:hAnsi="Noto Sans Armenian" w:eastAsia="Noto Sans Armenian" w:cs="Noto Sans Armenian"/>
          <w:sz w:val="24"/>
          <w:szCs w:val="24"/>
        </w:rPr>
        <w:br/>
      </w:r>
      <w:r>
        <w:rPr>
          <w:rFonts w:ascii="Arial" w:hAnsi="Arial" w:cs="Arial"/>
        </w:rPr>
        <w:t xml:space="preserve">A prevenção de incêndios florestais, como campanhas educa</w:t>
      </w:r>
      <w:r>
        <w:rPr>
          <w:rFonts w:ascii="Arial" w:hAnsi="Arial" w:cs="Arial"/>
        </w:rPr>
        <w:t xml:space="preserve">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  <w:r/>
      <w:r>
        <w:rPr>
          <w:rFonts w:ascii="Liberation Sans" w:hAnsi="Liberation Sans" w:eastAsia="Liberation Sans" w:cs="Liberation San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afafa" w:fill="fafafa"/>
        <w:spacing w:after="240" w:before="240" w:line="390" w:lineRule="atLeast"/>
        <w:ind w:right="0" w:firstLine="0" w:left="0"/>
        <w:rPr>
          <w:rFonts w:ascii="Liberation Sans" w:hAnsi="Liberation Sans" w:eastAsia="Liberation Sans" w:cs="Liberation Sans"/>
          <w:color w:val="282828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  <w:highlight w:val="white"/>
        </w:rPr>
        <w:t xml:space="preserve">Segundo o </w:t>
      </w:r>
      <w:hyperlink r:id="rId14" w:tooltip="https://www.cnnbrasil.com.br/politica/custo-das-forcas-de-seguranca-para-combate-a-incendios-aumenta-400/#:~:text=Segundo o comunicado%2C o valor,Manoel Carlos de Almeida Neto." w:history="1">
        <w:r>
          <w:rPr>
            <w:rStyle w:val="921"/>
            <w:rFonts w:ascii="Arial" w:hAnsi="Arial" w:cs="Arial"/>
            <w:sz w:val="22"/>
            <w:szCs w:val="22"/>
            <w:highlight w:val="white"/>
          </w:rPr>
          <w:t xml:space="preserve">portal</w:t>
        </w:r>
        <w:r>
          <w:rPr>
            <w:rStyle w:val="921"/>
            <w:rFonts w:ascii="Arial" w:hAnsi="Arial" w:cs="Arial"/>
            <w:sz w:val="22"/>
            <w:szCs w:val="22"/>
            <w:highlight w:val="white"/>
          </w:rPr>
          <w:t xml:space="preserve"> da CNN</w:t>
        </w:r>
      </w:hyperlink>
      <w:r>
        <w:rPr>
          <w:rFonts w:ascii="Arial" w:hAnsi="Arial" w:cs="Arial"/>
          <w:sz w:val="22"/>
          <w:szCs w:val="22"/>
          <w:highlight w:val="white"/>
        </w:rPr>
        <w:t xml:space="preserve">“</w:t>
      </w:r>
      <w:r>
        <w:rPr>
          <w:rFonts w:ascii="Liberation Sans" w:hAnsi="Liberation Sans" w:eastAsia="Liberation Sans" w:cs="Liberation Sans"/>
          <w:color w:val="282828"/>
          <w:sz w:val="22"/>
          <w:szCs w:val="22"/>
          <w:highlight w:val="white"/>
        </w:rPr>
        <w:t xml:space="preserve">O Ministério da Justiça e Segurança Pública informou que destinou R$ 38,6 milhões para custeio das forças de segurança dos e</w:t>
      </w:r>
      <w:r>
        <w:rPr>
          <w:rFonts w:ascii="Liberation Sans" w:hAnsi="Liberation Sans" w:eastAsia="Liberation Sans" w:cs="Liberation Sans"/>
          <w:color w:val="282828"/>
          <w:sz w:val="22"/>
          <w:szCs w:val="22"/>
          <w:highlight w:val="white"/>
        </w:rPr>
        <w:t xml:space="preserve">´</w:t>
      </w:r>
      <w:r>
        <w:rPr>
          <w:rFonts w:ascii="Liberation Sans" w:hAnsi="Liberation Sans" w:eastAsia="Liberation Sans" w:cs="Liberation Sans"/>
          <w:color w:val="282828"/>
          <w:sz w:val="22"/>
          <w:szCs w:val="22"/>
          <w:highlight w:val="white"/>
        </w:rPr>
        <w:t xml:space="preserve">stados e do Distrito Federal nas operações de combate a incêndios, de janeiro a agosto. Segundo o comunicado, o valor corresponde a </w:t>
      </w:r>
      <w:r>
        <w:rPr>
          <w:rFonts w:ascii="Liberation Sans" w:hAnsi="Liberation Sans" w:eastAsia="Liberation Sans" w:cs="Liberation Sans"/>
          <w:color w:val="282828"/>
          <w:sz w:val="22"/>
          <w:szCs w:val="22"/>
          <w:highlight w:val="white"/>
        </w:rPr>
        <w:t xml:space="preserve">um aumento de mais de 400% em relação a 2022, quando foram pagos aproximadamente R$ 9,4 milhões.”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afafa" w:fill="fafafa"/>
        <w:spacing w:after="240" w:before="240" w:line="390" w:lineRule="atLeast"/>
        <w:ind w:right="0" w:firstLine="0" w:left="0"/>
        <w:rPr>
          <w:highlight w:val="none"/>
        </w:rPr>
      </w:pPr>
      <w:r>
        <w:rPr>
          <w:rFonts w:ascii="Liberation Sans" w:hAnsi="Liberation Sans" w:eastAsia="Liberation Sans" w:cs="Liberation Sans"/>
          <w:color w:val="282828"/>
          <w:sz w:val="22"/>
          <w:szCs w:val="22"/>
          <w:highlight w:val="none"/>
        </w:rPr>
        <w:t xml:space="preserve">CNN</w:t>
      </w:r>
      <w:r>
        <w:rPr>
          <w:rFonts w:ascii="Liberation Sans" w:hAnsi="Liberation Sans" w:eastAsia="Liberation Sans" w:cs="Liberation Sans"/>
          <w:color w:val="282828"/>
          <w:sz w:val="22"/>
          <w:szCs w:val="22"/>
          <w:highlight w:val="none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11" w:name="_Toc196150432"/>
      <w:r>
        <w:t xml:space="preserve">Estimativas de Custos:</w:t>
      </w:r>
      <w:bookmarkEnd w:id="11"/>
      <w:r/>
      <w:r/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Brasil, por exemplo, os incêndios florestais de 2019 na Amazônia geraram prejuízos estimados em milhões de reais, considerando danos diretos e indiretos (como perdas de biodiversidade e impactos nas populações locais).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países como os Estados Unidos, os incêndios podem causar custos de até 10 bilhões de dólares anuais, considerando gastos com combate, danos à infraestrutura e perdas econômicas no setor agrícola e no turismo.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8"/>
        <w:pBdr/>
        <w:spacing w:after="80" w:line="360" w:lineRule="auto"/>
        <w:ind/>
        <w:rPr/>
      </w:pPr>
      <w:r/>
      <w:bookmarkStart w:id="12" w:name="_Toc196150433"/>
      <w:r>
        <w:t xml:space="preserve">Objetivo</w:t>
      </w:r>
      <w:r>
        <w:t xml:space="preserve">s</w:t>
      </w:r>
      <w:bookmarkEnd w:id="12"/>
      <w:r/>
      <w:r/>
    </w:p>
    <w:p>
      <w:pPr>
        <w:pStyle w:val="939"/>
        <w:pBdr/>
        <w:spacing/>
        <w:ind/>
        <w:rPr/>
      </w:pPr>
      <w:r/>
      <w:bookmarkStart w:id="13" w:name="_Toc196150434"/>
      <w:r>
        <w:t xml:space="preserve">Objetivo geral</w:t>
      </w:r>
      <w:bookmarkEnd w:id="13"/>
      <w:r/>
      <w:r/>
    </w:p>
    <w:p>
      <w:pPr>
        <w:pStyle w:val="937"/>
        <w:pBdr/>
        <w:spacing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Desenvolver um sistema de monitoramento ambiental para medir e registrar, em tempo real, os níveis de temperatura e umidade nas APAs que cont</w:t>
      </w:r>
      <w:r>
        <w:rPr>
          <w:rFonts w:ascii="Arial" w:hAnsi="Arial" w:cs="Arial"/>
        </w:rPr>
        <w:t xml:space="preserve">ém a soluç</w:t>
      </w:r>
      <w:r>
        <w:rPr>
          <w:rFonts w:ascii="Arial" w:hAnsi="Arial" w:cs="Arial"/>
        </w:rPr>
        <w:t xml:space="preserve">ão</w:t>
      </w:r>
      <w:r>
        <w:rPr>
          <w:rFonts w:ascii="Arial" w:hAnsi="Arial" w:cs="Arial"/>
        </w:rPr>
        <w:t xml:space="preserve">, a fim de contribuir para a prevenção de incêndios florestais e a preservação do mseio ambiente.</w:t>
      </w:r>
      <w:r>
        <w:rPr>
          <w:rFonts w:ascii="Arial" w:hAnsi="Arial" w:cs="Arial"/>
        </w:rPr>
      </w:r>
    </w:p>
    <w:p>
      <w:pPr>
        <w:pStyle w:val="937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14" w:name="_Toc196150435"/>
      <w:r>
        <w:t xml:space="preserve">Objetivos específicos</w:t>
      </w:r>
      <w:bookmarkEnd w:id="14"/>
      <w:r/>
      <w:r/>
    </w:p>
    <w:p>
      <w:pPr>
        <w:pStyle w:val="937"/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Style w:val="907"/>
          <w:rFonts w:ascii="Arial" w:hAnsi="Arial" w:cs="Arial"/>
          <w:b w:val="0"/>
          <w:bCs w:val="0"/>
        </w:rPr>
        <w:t xml:space="preserve">Instalar sensores DHT11</w:t>
      </w:r>
      <w:r>
        <w:rPr>
          <w:rFonts w:ascii="Arial" w:hAnsi="Arial" w:cs="Arial"/>
        </w:rPr>
        <w:t xml:space="preserve"> em pontos estratégicos na </w:t>
      </w:r>
      <w:r>
        <w:rPr>
          <w:rFonts w:ascii="Arial" w:hAnsi="Arial" w:cs="Arial"/>
        </w:rPr>
        <w:t xml:space="preserve">área de proteç</w:t>
      </w:r>
      <w:r>
        <w:rPr>
          <w:rFonts w:ascii="Arial" w:hAnsi="Arial" w:cs="Arial"/>
        </w:rPr>
        <w:t xml:space="preserve">ão ambiental</w:t>
      </w:r>
      <w:r>
        <w:rPr>
          <w:rFonts w:ascii="Arial" w:hAnsi="Arial" w:cs="Arial"/>
        </w:rPr>
        <w:t xml:space="preserve"> para coleta contínua de dados de temperatura e umidade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7"/>
        <w:pBdr/>
        <w:spacing w:after="100" w:afterAutospacing="1" w:before="100" w:beforeAutospacing="1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7"/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Style w:val="907"/>
          <w:rFonts w:ascii="Arial" w:hAnsi="Arial" w:cs="Arial"/>
          <w:b w:val="0"/>
          <w:bCs w:val="0"/>
        </w:rPr>
        <w:t xml:space="preserve">Estruturar um sistema com o uso do</w:t>
      </w:r>
      <w:r>
        <w:rPr>
          <w:rStyle w:val="907"/>
          <w:rFonts w:ascii="Arial" w:hAnsi="Arial" w:cs="Arial"/>
          <w:b w:val="0"/>
          <w:bCs w:val="0"/>
        </w:rPr>
        <w:t xml:space="preserve"> Arduino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sensor </w:t>
      </w:r>
      <w:r>
        <w:rPr>
          <w:rFonts w:ascii="Arial" w:hAnsi="Arial" w:cs="Arial"/>
        </w:rPr>
        <w:t xml:space="preserve">para capturar e transmitir os dados ambientais de forma confiável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7"/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7"/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Style w:val="907"/>
          <w:rFonts w:ascii="Arial" w:hAnsi="Arial" w:cs="Arial"/>
          <w:b w:val="0"/>
          <w:bCs w:val="0"/>
        </w:rPr>
        <w:t xml:space="preserve">Armazenar os dados coletados</w:t>
      </w:r>
      <w:r>
        <w:rPr>
          <w:rFonts w:ascii="Arial" w:hAnsi="Arial" w:cs="Arial"/>
        </w:rPr>
        <w:t xml:space="preserve"> em um banco de dados estruturado, garantindo o acesso seguro às informações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7"/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7"/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Style w:val="907"/>
          <w:rFonts w:ascii="Arial" w:hAnsi="Arial" w:cs="Arial"/>
          <w:b w:val="0"/>
          <w:bCs w:val="0"/>
        </w:rPr>
      </w:pPr>
      <w:r>
        <w:rPr>
          <w:rStyle w:val="907"/>
          <w:rFonts w:ascii="Arial" w:hAnsi="Arial" w:cs="Arial"/>
          <w:b w:val="0"/>
          <w:bCs w:val="0"/>
        </w:rPr>
        <w:t xml:space="preserve">Desenvolver um site </w:t>
      </w:r>
      <w:r>
        <w:rPr>
          <w:rStyle w:val="907"/>
          <w:rFonts w:ascii="Arial" w:hAnsi="Arial" w:cs="Arial"/>
          <w:b w:val="0"/>
          <w:bCs w:val="0"/>
        </w:rPr>
        <w:t xml:space="preserve">institucional, contendo as informações referentes a empresa;</w:t>
      </w:r>
      <w:r>
        <w:rPr>
          <w:rStyle w:val="907"/>
          <w:rFonts w:ascii="Arial" w:hAnsi="Arial" w:cs="Arial"/>
          <w:b w:val="0"/>
          <w:bCs w:val="0"/>
        </w:rPr>
      </w:r>
    </w:p>
    <w:p>
      <w:pPr>
        <w:pStyle w:val="934"/>
        <w:pBdr/>
        <w:spacing/>
        <w:ind/>
        <w:rPr>
          <w:rStyle w:val="907"/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</w:r>
      <w:r>
        <w:rPr>
          <w:rStyle w:val="907"/>
          <w:rFonts w:ascii="Arial" w:hAnsi="Arial" w:cs="Arial"/>
          <w:b w:val="0"/>
          <w:bCs w:val="0"/>
        </w:rPr>
      </w:r>
    </w:p>
    <w:p>
      <w:pPr>
        <w:pStyle w:val="937"/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Style w:val="907"/>
          <w:rFonts w:ascii="Arial" w:hAnsi="Arial" w:cs="Arial"/>
          <w:b w:val="0"/>
          <w:bCs w:val="0"/>
        </w:rPr>
        <w:t xml:space="preserve">Desenvolver </w:t>
      </w:r>
      <w:r>
        <w:rPr>
          <w:rStyle w:val="907"/>
          <w:rFonts w:ascii="Arial" w:hAnsi="Arial" w:cs="Arial"/>
          <w:b w:val="0"/>
          <w:bCs w:val="0"/>
        </w:rPr>
        <w:t xml:space="preserve">páginas no site referentes a</w:t>
      </w:r>
      <w:r>
        <w:rPr>
          <w:rStyle w:val="907"/>
          <w:rFonts w:ascii="Arial" w:hAnsi="Arial" w:cs="Arial"/>
          <w:b w:val="0"/>
          <w:bCs w:val="0"/>
        </w:rPr>
        <w:t xml:space="preserve"> dashboard </w:t>
      </w:r>
      <w:r>
        <w:rPr>
          <w:rFonts w:ascii="Arial" w:hAnsi="Arial" w:cs="Arial"/>
        </w:rPr>
        <w:t xml:space="preserve">para exibir os dados em tempo real, com gráficos, tabelas e alertas visuais intuitivos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7"/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Style w:val="907"/>
          <w:rFonts w:ascii="Arial" w:hAnsi="Arial" w:cs="Arial"/>
          <w:b w:val="0"/>
          <w:bCs w:val="0"/>
        </w:rPr>
        <w:t xml:space="preserve">Fortalecer a comunicação entre desenvolvedores e usuários finais</w:t>
      </w:r>
      <w:r>
        <w:rPr>
          <w:rFonts w:ascii="Arial" w:hAnsi="Arial" w:cs="Arial"/>
        </w:rPr>
        <w:t xml:space="preserve">, garantindo que as soluções desenvolvidas atendam às reais necessidades das áreas de preservação ambiental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7"/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Style w:val="907"/>
          <w:rFonts w:ascii="Arial" w:hAnsi="Arial" w:cs="Arial"/>
          <w:b w:val="0"/>
          <w:bCs w:val="0"/>
        </w:rPr>
        <w:t xml:space="preserve">Estabelecer uma ponte entre dados técnicos e tomada de decisão</w:t>
      </w:r>
      <w:r>
        <w:rPr>
          <w:rFonts w:ascii="Arial" w:hAnsi="Arial" w:cs="Arial"/>
        </w:rPr>
        <w:t xml:space="preserve">, facilitando que órgãos ambientais, ONGs ou moradores locais usem informações confiáveis para agir preventivamente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7"/>
        <w:numPr>
          <w:ilvl w:val="0"/>
          <w:numId w:val="15"/>
        </w:numPr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Style w:val="907"/>
          <w:rFonts w:ascii="Arial" w:hAnsi="Arial" w:cs="Arial"/>
          <w:b w:val="0"/>
          <w:bCs w:val="0"/>
        </w:rPr>
        <w:t xml:space="preserve">Melhorar a experiência do usuário na interface do sistema</w:t>
      </w:r>
      <w:r>
        <w:rPr>
          <w:rFonts w:ascii="Arial" w:hAnsi="Arial" w:cs="Arial"/>
        </w:rPr>
        <w:t xml:space="preserve">, garantindo acessibilidade, usabilidade e visualização clara das informações ambientais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Style w:val="937"/>
        <w:pBdr/>
        <w:spacing w:after="100" w:afterAutospacing="1" w:before="100" w:beforeAutospacing="1" w:line="24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8"/>
        <w:pBdr/>
        <w:spacing w:after="80" w:line="360" w:lineRule="auto"/>
        <w:ind/>
        <w:rPr/>
      </w:pPr>
      <w:r/>
      <w:bookmarkStart w:id="15" w:name="_Toc196150436"/>
      <w:r>
        <w:t xml:space="preserve">Justificativa</w:t>
      </w:r>
      <w:bookmarkEnd w:id="15"/>
      <w:r>
        <w:t xml:space="preserve"> </w:t>
      </w:r>
      <w:r/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t xml:space="preserve">O projeto busca reduzir o tempo de enfrentamento aos incêndios nas diversas Áreas de Proteção Ambiental (APAs) do estado de São Paulo, permitindo às autoridades competentes responderem a situações de potenciais incêndios antes que os mesmos ocorram.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eastAsia="Aptos" w:cs="Arial"/>
          <w:b/>
          <w:bCs/>
          <w:color w:val="000000" w:themeColor="text1"/>
          <w:sz w:val="32"/>
          <w:szCs w:val="32"/>
          <w:u w:val="single"/>
        </w:rPr>
      </w:pPr>
      <w:r/>
      <w:bookmarkStart w:id="16" w:name="_Toc196150437"/>
      <w:r>
        <w:br w:type="page" w:clear="all"/>
      </w:r>
      <w:r>
        <w:rPr>
          <w:rFonts w:ascii="Arial" w:hAnsi="Arial" w:eastAsia="Aptos" w:cs="Arial"/>
          <w:b/>
          <w:bCs/>
          <w:color w:val="000000" w:themeColor="text1"/>
          <w:sz w:val="32"/>
          <w:szCs w:val="32"/>
          <w:u w:val="single"/>
        </w:rPr>
      </w:r>
    </w:p>
    <w:p>
      <w:pPr>
        <w:pStyle w:val="938"/>
        <w:pBdr/>
        <w:spacing w:after="80" w:line="360" w:lineRule="auto"/>
        <w:ind/>
        <w:rPr/>
      </w:pPr>
      <w:r>
        <w:t xml:space="preserve">Escopo</w:t>
      </w:r>
      <w:bookmarkEnd w:id="16"/>
      <w:r/>
      <w:r/>
    </w:p>
    <w:p>
      <w:pPr>
        <w:pStyle w:val="939"/>
        <w:pBdr/>
        <w:spacing w:after="80" w:line="360" w:lineRule="auto"/>
        <w:ind/>
        <w:rPr/>
      </w:pPr>
      <w:r/>
      <w:bookmarkStart w:id="17" w:name="_Toc196150438"/>
      <w:r>
        <w:t xml:space="preserve">Descrição resumida do projet</w:t>
      </w:r>
      <w:r>
        <w:t xml:space="preserve">o</w:t>
      </w:r>
      <w:bookmarkEnd w:id="17"/>
      <w:r/>
      <w:r/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propõe a implementação de um sistema de monitoramento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incêndios nas áreas da APA (Área de Proteção Ambiental) </w:t>
      </w:r>
      <w:r>
        <w:rPr>
          <w:rFonts w:ascii="Arial" w:hAnsi="Arial" w:cs="Arial"/>
        </w:rPr>
        <w:t xml:space="preserve"> localizada na região do estado de São Paulo. Através do uso de sensores de temperatura e umidade (</w:t>
      </w:r>
      <w:r>
        <w:rPr>
          <w:rFonts w:ascii="Arial" w:hAnsi="Arial" w:cs="Arial"/>
        </w:rPr>
        <w:t xml:space="preserve">DHT11) distribuídos estrategicamente dentro da área monitorada,</w:t>
      </w:r>
      <w:r>
        <w:rPr>
          <w:rFonts w:ascii="Arial" w:hAnsi="Arial" w:cs="Arial"/>
        </w:rPr>
        <w:t xml:space="preserve"> o projeto visa mitigar ou até mesmo evitar os danos ambientais causados por esses incêndios. Nosso sistema será fornecido ao Governo</w:t>
      </w:r>
      <w:r>
        <w:rPr>
          <w:rFonts w:ascii="Arial" w:hAnsi="Arial" w:cs="Arial"/>
        </w:rPr>
        <w:t xml:space="preserve"> do estado de São Paulo, que terá a possibilidade de utilizar nossa ferramenta para auxiliar no combate desses desastres.</w:t>
      </w:r>
      <w:r/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 w:after="80" w:line="360" w:lineRule="auto"/>
        <w:ind/>
        <w:rPr/>
      </w:pPr>
      <w:r/>
      <w:bookmarkStart w:id="18" w:name="_Toc196150439"/>
      <w:r>
        <w:t xml:space="preserve">Resultados esperado</w:t>
      </w:r>
      <w:r>
        <w:t xml:space="preserve">s</w:t>
      </w:r>
      <w:bookmarkEnd w:id="18"/>
      <w:r/>
      <w:r/>
    </w:p>
    <w:p>
      <w:pPr>
        <w:pStyle w:val="934"/>
        <w:numPr>
          <w:ilvl w:val="0"/>
          <w:numId w:val="5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Entregar um s</w:t>
      </w:r>
      <w:r>
        <w:rPr>
          <w:rFonts w:ascii="Arial" w:hAnsi="Arial" w:cs="Arial"/>
        </w:rPr>
        <w:t xml:space="preserve">ite</w:t>
      </w:r>
      <w:r>
        <w:rPr>
          <w:rFonts w:ascii="Arial" w:hAnsi="Arial" w:cs="Arial"/>
        </w:rPr>
        <w:t xml:space="preserve"> com uma dashboard dinâmica para exibição em tempo real das informações do sistema, incluindo métricas e gráficos </w:t>
      </w:r>
      <w:r>
        <w:rPr>
          <w:rFonts w:ascii="Arial" w:hAnsi="Arial" w:cs="Arial"/>
        </w:rPr>
        <w:t xml:space="preserve">dinâmicos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5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Entregar o sistema funcionando de acordo com a demanda do cliente;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5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Captar os dados referentes a temperatura e umidade nas áreas da APA;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5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Armazenar os dados captados pelo sensor em um banco de dados, que posteriormente será acessado pelo site;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5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Armazenar as informações dos usuários e da APA em um banco de dados, que posteriormente será acessado pelo site;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5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Entregar função de alerta no sistema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eastAsia="Aptos" w:cs="Arial"/>
          <w:b/>
          <w:bCs/>
          <w:color w:val="000000" w:themeColor="text1"/>
          <w:sz w:val="28"/>
          <w:szCs w:val="32"/>
        </w:rPr>
      </w:pPr>
      <w:r/>
      <w:bookmarkStart w:id="19" w:name="_Toc196150440"/>
      <w:r/>
      <w:r>
        <w:rPr>
          <w:rFonts w:ascii="Arial" w:hAnsi="Arial" w:eastAsia="Aptos" w:cs="Arial"/>
          <w:b/>
          <w:bCs/>
          <w:color w:val="000000" w:themeColor="text1"/>
          <w:sz w:val="28"/>
          <w:szCs w:val="32"/>
        </w:rPr>
      </w:r>
    </w:p>
    <w:p>
      <w:pPr>
        <w:pStyle w:val="939"/>
        <w:pBdr/>
        <w:spacing w:after="80" w:line="360" w:lineRule="auto"/>
        <w:ind/>
        <w:rPr/>
      </w:pPr>
      <w:r>
        <w:t xml:space="preserve">Equipamentos</w:t>
      </w:r>
      <w:bookmarkEnd w:id="19"/>
      <w:r/>
      <w:r/>
    </w:p>
    <w:p>
      <w:pPr>
        <w:pStyle w:val="934"/>
        <w:numPr>
          <w:ilvl w:val="0"/>
          <w:numId w:val="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Computadores com armazenamento e capacidade de rodar os programas Visual Studio </w:t>
      </w:r>
      <w:r>
        <w:rPr>
          <w:rFonts w:ascii="Arial" w:hAnsi="Arial" w:cs="Arial"/>
        </w:rPr>
        <w:t xml:space="preserve">Code</w:t>
      </w:r>
      <w:r>
        <w:rPr>
          <w:rFonts w:ascii="Arial" w:hAnsi="Arial" w:cs="Arial"/>
        </w:rPr>
        <w:t xml:space="preserve">, Chrome, MySQL Workbench, Oracle Virtual Box e Arduíno IDE;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Conexão Wi-Fi;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Arduíno Uno R3 para prototipagem;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Sensor DHT11 para prototipagem;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Placa Protoboard Mini;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Jumpers para conexões do Arduino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3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Cabo USB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 w:after="80" w:line="360" w:lineRule="auto"/>
        <w:ind/>
        <w:rPr/>
      </w:pPr>
      <w:r/>
      <w:bookmarkStart w:id="20" w:name="_Toc196150441"/>
      <w:r>
        <w:t xml:space="preserve">Programas e sites que serão utilizados</w:t>
      </w:r>
      <w:bookmarkEnd w:id="20"/>
      <w:r/>
      <w:r/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Chrome, Opera e Edge como navegadores;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Figma</w:t>
      </w:r>
      <w:r>
        <w:rPr>
          <w:rFonts w:ascii="Arial" w:hAnsi="Arial" w:cs="Arial"/>
        </w:rPr>
        <w:t xml:space="preserve"> para a prototipação do site;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 Studio </w:t>
      </w:r>
      <w:r>
        <w:rPr>
          <w:rFonts w:ascii="Arial" w:hAnsi="Arial" w:cs="Arial"/>
        </w:rPr>
        <w:t xml:space="preserve">Code</w:t>
      </w:r>
      <w:r>
        <w:rPr>
          <w:rFonts w:ascii="Arial" w:hAnsi="Arial" w:cs="Arial"/>
        </w:rPr>
        <w:t xml:space="preserve"> para a criação do site;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MySQL Workbench para a criação do </w:t>
      </w:r>
      <w:r>
        <w:rPr>
          <w:rFonts w:ascii="Arial" w:hAnsi="Arial" w:cs="Arial"/>
        </w:rPr>
        <w:t xml:space="preserve">script do </w:t>
      </w:r>
      <w:r>
        <w:rPr>
          <w:rFonts w:ascii="Arial" w:hAnsi="Arial" w:cs="Arial"/>
        </w:rPr>
        <w:t xml:space="preserve">banco de dados;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Oracle Virtual Box para a criação de máquinas virtuais e testes da aplicação;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Arduíno IDE para a programação do sensor;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</w:t>
      </w:r>
      <w:r>
        <w:rPr>
          <w:rFonts w:ascii="Arial" w:hAnsi="Arial" w:cs="Arial"/>
        </w:rPr>
        <w:t xml:space="preserve"> para repositório e versionamento de arquivos do projeto;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Github para a compartilhar o projeto entre a equipe;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Trello</w:t>
      </w:r>
      <w:r>
        <w:rPr>
          <w:rFonts w:ascii="Arial" w:hAnsi="Arial" w:cs="Arial"/>
        </w:rPr>
        <w:t xml:space="preserve"> para gerenciamento e organização de entregáveis do projeto;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Word para a documentação do projeto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4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Excel para criação das planilhas do projeto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eastAsia="Aptos" w:cs="Arial"/>
          <w:b/>
          <w:bCs/>
          <w:color w:val="000000" w:themeColor="text1"/>
          <w:sz w:val="28"/>
          <w:szCs w:val="32"/>
        </w:rPr>
      </w:pPr>
      <w:r/>
      <w:bookmarkStart w:id="21" w:name="_Toc196150442"/>
      <w:r/>
      <w:r>
        <w:rPr>
          <w:rFonts w:ascii="Arial" w:hAnsi="Arial" w:eastAsia="Aptos" w:cs="Arial"/>
          <w:b/>
          <w:bCs/>
          <w:color w:val="000000" w:themeColor="text1"/>
          <w:sz w:val="28"/>
          <w:szCs w:val="32"/>
        </w:rPr>
      </w:r>
    </w:p>
    <w:p>
      <w:pPr>
        <w:pStyle w:val="939"/>
        <w:pBdr/>
        <w:spacing/>
        <w:ind/>
        <w:rPr/>
      </w:pPr>
      <w:r>
        <w:t xml:space="preserve">Requisitos</w:t>
      </w:r>
      <w:bookmarkEnd w:id="21"/>
      <w:r/>
      <w:r/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35605"/>
                <wp:effectExtent l="0" t="0" r="2540" b="0"/>
                <wp:docPr id="4" name="Imagem 1" descr="Tabe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781885" name="Imagem 1" descr="Tabel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10" cy="2935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231.1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2840355</wp:posOffset>
                </wp:positionV>
                <wp:extent cx="5731510" cy="168910"/>
                <wp:effectExtent l="0" t="0" r="2540" b="2540"/>
                <wp:wrapTight wrapText="bothSides">
                  <wp:wrapPolygon edited="1">
                    <wp:start x="0" y="0"/>
                    <wp:lineTo x="0" y="19489"/>
                    <wp:lineTo x="21538" y="19489"/>
                    <wp:lineTo x="21538" y="0"/>
                    <wp:lineTo x="0" y="0"/>
                  </wp:wrapPolygon>
                </wp:wrapTight>
                <wp:docPr id="5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251658240;o:allowoverlap:true;o:allowincell:true;mso-position-horizontal-relative:margin;margin-left:-0.20pt;mso-position-horizontal:absolute;mso-position-vertical-relative:text;margin-top:223.65pt;mso-position-vertical:absolute;width:451.30pt;height:13.30pt;mso-wrap-distance-left:9.00pt;mso-wrap-distance-top:0.00pt;mso-wrap-distance-right:9.00pt;mso-wrap-distance-bottom:0.00pt;z-index:1;" wrapcoords="0 0 0 90227 99713 90227 99713 0 0 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839085"/>
                <wp:effectExtent l="0" t="0" r="2540" b="0"/>
                <wp:docPr id="6" name="Imagem 1" descr="Tabe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290399" name="Imagem 1" descr="Tabel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10" cy="2839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30pt;height:223.5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22" w:name="_Toc196150443"/>
      <w:r>
        <w:t xml:space="preserve">Limites e exclusões</w:t>
      </w:r>
      <w:bookmarkEnd w:id="22"/>
      <w:r/>
      <w:r/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Limites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9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vamos comunicar nenhuma autoridade, deve ser feito pelos usuários do site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9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ensor </w:t>
      </w:r>
      <w:r>
        <w:rPr>
          <w:rFonts w:ascii="Arial" w:hAnsi="Arial" w:cs="Arial"/>
        </w:rPr>
        <w:t xml:space="preserve">só</w:t>
      </w:r>
      <w:r>
        <w:rPr>
          <w:rFonts w:ascii="Arial" w:hAnsi="Arial" w:cs="Arial"/>
        </w:rPr>
        <w:t xml:space="preserve"> consegue medir </w:t>
      </w:r>
      <w:r>
        <w:rPr>
          <w:rFonts w:ascii="Arial" w:hAnsi="Arial" w:cs="Arial"/>
        </w:rPr>
        <w:t xml:space="preserve">entre</w:t>
      </w:r>
      <w:r>
        <w:rPr>
          <w:rFonts w:ascii="Arial" w:hAnsi="Arial" w:cs="Arial"/>
        </w:rPr>
        <w:t xml:space="preserve"> 0ºC </w:t>
      </w:r>
      <w:r>
        <w:rPr>
          <w:rFonts w:ascii="Arial" w:hAnsi="Arial" w:cs="Arial"/>
        </w:rPr>
        <w:t xml:space="preserve">e</w:t>
      </w:r>
      <w:r>
        <w:rPr>
          <w:rFonts w:ascii="Arial" w:hAnsi="Arial" w:cs="Arial"/>
        </w:rPr>
        <w:t xml:space="preserve"> 50ºC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9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Sensor só consegue</w:t>
      </w:r>
      <w:r>
        <w:rPr>
          <w:rFonts w:ascii="Arial" w:hAnsi="Arial" w:cs="Arial"/>
        </w:rPr>
        <w:t xml:space="preserve"> capta</w:t>
      </w:r>
      <w:r>
        <w:rPr>
          <w:rFonts w:ascii="Arial" w:hAnsi="Arial" w:cs="Arial"/>
        </w:rPr>
        <w:t xml:space="preserve">r o nível da umidade </w:t>
      </w:r>
      <w:r>
        <w:rPr>
          <w:rFonts w:ascii="Arial" w:hAnsi="Arial" w:cs="Arial"/>
        </w:rPr>
        <w:t xml:space="preserve">entre 20% e 90%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9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obrigatório uma máquina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(desktop ou notebook) para acessar o sistema</w:t>
      </w:r>
      <w:r>
        <w:rPr>
          <w:rFonts w:ascii="Arial" w:hAnsi="Arial" w:cs="Arial"/>
        </w:rPr>
        <w:t xml:space="preserve">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Exclusões</w:t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Emissão de alertas a</w:t>
      </w:r>
      <w:r>
        <w:rPr>
          <w:rFonts w:ascii="Arial" w:hAnsi="Arial" w:cs="Arial"/>
        </w:rPr>
        <w:t xml:space="preserve">utomáticos para autoridades responsáveis identificando situações críticas (temperatura acima de 35°C e umidade abaixo de 40%) e situações de potenciais incêndios (temperatura acima de 50°C e umidade abaixo de 20%) – conforme detalhamento de riscos do INPE;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Implementação de medidas diretas de combate ao fogo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Expansão para outras áreas </w:t>
      </w:r>
      <w:r>
        <w:rPr>
          <w:rFonts w:ascii="Arial" w:hAnsi="Arial" w:cs="Arial"/>
        </w:rPr>
        <w:t xml:space="preserve">de proteção ambiental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Responsabilidade sobre a manutenção contínua dos equipamentos após a fase inicial do projeto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Fornecimento de energia para os sensores instalados no perímetro das áreas de proteção</w:t>
      </w:r>
      <w:r>
        <w:rPr>
          <w:rFonts w:ascii="Arial" w:hAnsi="Arial" w:cs="Arial"/>
        </w:rPr>
        <w:t xml:space="preserve"> ambiental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• Treinamento de equipes para a interpretação e resposta aos alertas.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23" w:name="_Toc196150444"/>
      <w:r>
        <w:t xml:space="preserve">Macro Cronograma</w:t>
      </w:r>
      <w:bookmarkEnd w:id="23"/>
      <w:r/>
      <w:r/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Sprint 1 (27/01 até 21/03):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27/01 até 14/02: Definição do grupo;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14/02 até 21/02: Definição do tema/problema;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21/02 até 12/03: Prototipação da calculadora financeira;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21/02 até 14/03: Prototipação do Site Institucional;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21/02 até 15/03: Realização da documentação;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21/03: Apresentação dos entregáveis.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Sprint 2 (22/03 até 26/04):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24/03: Troca de grupo;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28/03 até 03/04: KT do grupo antigo;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28/03 até 03/04: Planilha de Riscos;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29/03 até 15/04: Mudanças e realização do Site institucional;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05/04 até 06/04: Estilização da Calculadora Financeira;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07/04 até 14/04: </w:t>
      </w:r>
      <w:r>
        <w:rPr>
          <w:rFonts w:ascii="Arial" w:hAnsi="Arial" w:cs="Arial"/>
        </w:rPr>
        <w:t xml:space="preserve">Product</w:t>
      </w:r>
      <w:r>
        <w:rPr>
          <w:rFonts w:ascii="Arial" w:hAnsi="Arial" w:cs="Arial"/>
        </w:rPr>
        <w:t xml:space="preserve"> Backlog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10/04 até 15/04: Atualização da Documentação;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Sprint 3 (27/04 até 30/05):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24" w:name="_Toc196150445"/>
      <w:r>
        <w:t xml:space="preserve">Stakeholders</w:t>
      </w:r>
      <w:bookmarkEnd w:id="24"/>
      <w:r/>
      <w:r/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Equipe responsável, órgãos ambientais</w:t>
      </w:r>
      <w:r>
        <w:rPr>
          <w:rFonts w:ascii="Arial" w:hAnsi="Arial" w:cs="Arial"/>
        </w:rPr>
        <w:t xml:space="preserve">, prefeitura e</w:t>
      </w:r>
      <w:r>
        <w:rPr>
          <w:rFonts w:ascii="Arial" w:hAnsi="Arial" w:cs="Arial"/>
        </w:rPr>
        <w:t xml:space="preserve"> autoridades respons</w:t>
      </w:r>
      <w:r>
        <w:rPr>
          <w:rFonts w:ascii="Arial" w:hAnsi="Arial" w:cs="Arial"/>
        </w:rPr>
        <w:t xml:space="preserve">áveis pela preservaç</w:t>
      </w:r>
      <w:r>
        <w:rPr>
          <w:rFonts w:ascii="Arial" w:hAnsi="Arial" w:cs="Arial"/>
        </w:rPr>
        <w:t xml:space="preserve">ão das </w:t>
      </w:r>
      <w:r>
        <w:rPr>
          <w:rFonts w:ascii="Arial" w:hAnsi="Arial" w:cs="Arial"/>
        </w:rPr>
        <w:t xml:space="preserve">áreas ambientais</w:t>
      </w:r>
      <w:r>
        <w:rPr>
          <w:rFonts w:ascii="Arial" w:hAnsi="Arial" w:cs="Arial"/>
        </w:rPr>
        <w:t xml:space="preserve">,Comunidades locais, universidades e institutos de pesquisa, Claúdio </w:t>
      </w:r>
      <w:r>
        <w:rPr>
          <w:rFonts w:ascii="Arial" w:hAnsi="Arial" w:cs="Arial"/>
        </w:rPr>
        <w:t xml:space="preserve">Frizzarini</w:t>
      </w:r>
      <w:r>
        <w:rPr>
          <w:rFonts w:ascii="Arial" w:hAnsi="Arial" w:cs="Arial"/>
        </w:rPr>
        <w:t xml:space="preserve"> e Júlia Lima.</w:t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r/>
    </w:p>
    <w:p>
      <w:pPr>
        <w:pStyle w:val="939"/>
        <w:pBdr/>
        <w:spacing/>
        <w:ind/>
        <w:rPr/>
      </w:pPr>
      <w:r/>
      <w:bookmarkStart w:id="25" w:name="_Toc196150446"/>
      <w:r>
        <w:t xml:space="preserve">Premissas</w:t>
      </w:r>
      <w:bookmarkEnd w:id="25"/>
      <w:r/>
      <w:r/>
    </w:p>
    <w:p>
      <w:pPr>
        <w:pStyle w:val="934"/>
        <w:keepNext w:val="true"/>
        <w:keepLines w:val="true"/>
        <w:numPr>
          <w:ilvl w:val="0"/>
          <w:numId w:val="10"/>
        </w:numPr>
        <w:pBdr/>
        <w:spacing w:after="80" w:line="360" w:lineRule="auto"/>
        <w:ind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A</w:t>
      </w:r>
      <w:r>
        <w:rPr>
          <w:rFonts w:ascii="Arial" w:hAnsi="Arial" w:cs="Arial"/>
        </w:rPr>
        <w:t xml:space="preserve">s equipes da Secretaria do Meio Ambiente e dos Bombeiros disponibilizarão </w:t>
      </w:r>
      <w:r>
        <w:rPr>
          <w:rFonts w:ascii="Arial" w:hAnsi="Arial" w:cs="Arial"/>
        </w:rPr>
        <w:t xml:space="preserve">tempo e </w:t>
      </w:r>
      <w:r>
        <w:rPr>
          <w:rFonts w:ascii="Arial" w:hAnsi="Arial" w:cs="Arial"/>
        </w:rPr>
        <w:t xml:space="preserve">pessoas para participar do treinamento necessário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7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</w:t>
      </w:r>
      <w:r>
        <w:rPr>
          <w:rFonts w:ascii="Arial" w:hAnsi="Arial" w:cs="Arial"/>
        </w:rPr>
        <w:t xml:space="preserve"> prefeitura colaborará indicando os pontos mais críticos nas regiões de proteção onde os sensores deverão ser instalado</w:t>
      </w: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7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</w:t>
      </w:r>
      <w:r>
        <w:rPr>
          <w:rFonts w:ascii="Arial" w:hAnsi="Arial" w:cs="Arial"/>
        </w:rPr>
        <w:t xml:space="preserve">verá recursos humanos disponíveis para a instalação e manutenção dos sensores, além da infraestrutura necessária </w:t>
      </w:r>
      <w:r>
        <w:rPr>
          <w:rFonts w:ascii="Arial" w:hAnsi="Arial" w:cs="Arial"/>
        </w:rPr>
        <w:t xml:space="preserve">nos </w:t>
      </w:r>
      <w:r>
        <w:rPr>
          <w:rFonts w:ascii="Arial" w:hAnsi="Arial" w:cs="Arial"/>
        </w:rPr>
        <w:t xml:space="preserve">locais selecionados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7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Assumiremos que o cliente terá infraestrutura de hardware para utilização do Website institucional;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7"/>
        </w:num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 equipe terá disponibilidade e participara do projeto como um todo.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9"/>
        <w:pBdr/>
        <w:spacing/>
        <w:ind/>
        <w:rPr/>
      </w:pPr>
      <w:r/>
      <w:bookmarkStart w:id="26" w:name="_Hlk195351110"/>
      <w:r/>
      <w:bookmarkStart w:id="27" w:name="_Toc196150447"/>
      <w:r>
        <w:t xml:space="preserve">Riscos e restrições</w:t>
      </w:r>
      <w:bookmarkEnd w:id="26"/>
      <w:r/>
      <w:bookmarkEnd w:id="27"/>
      <w:r/>
      <w:r/>
    </w:p>
    <w:p>
      <w:pPr>
        <w:pStyle w:val="934"/>
        <w:numPr>
          <w:ilvl w:val="0"/>
          <w:numId w:val="6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prazo da entrega do projeto será de 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 meses;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6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projeto não terá plataforma mobile para acessar remotamente o software;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6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Arduino necessita sempre estar ligado para capturar os dados continuamente;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6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A placa Arduino precisa de alimentação constante de energia;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6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projeto não se responsabiliza pela instalação dos sensores;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6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projeto não se responsabiliza com a manutenção dos equipamentos fornecidos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6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DHT11 pode errar até 2 °C na temperatura e 5% na umidade, o que pode prejudicar ações rápidas da defesa civil e bombeiros</w:t>
      </w:r>
      <w:r>
        <w:rPr>
          <w:rFonts w:ascii="Arial" w:hAnsi="Arial" w:cs="Arial"/>
        </w:rPr>
        <w:t xml:space="preserve">;</w:t>
      </w:r>
      <w:r>
        <w:rPr>
          <w:rFonts w:ascii="Arial" w:hAnsi="Arial" w:cs="Arial"/>
        </w:rPr>
      </w:r>
    </w:p>
    <w:p>
      <w:pPr>
        <w:pStyle w:val="934"/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4"/>
        <w:numPr>
          <w:ilvl w:val="0"/>
          <w:numId w:val="6"/>
        </w:numPr>
        <w:pBdr/>
        <w:spacing w:after="80" w:line="360" w:lineRule="auto"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 sensor dura de 5 a 8 anos, mas pode falhar antes se exposto a condições extremas. É recomendado trocar a cada 4 anos e verificar com frequência.</w:t>
      </w:r>
      <w:r>
        <w:rPr>
          <w:rFonts w:ascii="Arial" w:hAnsi="Arial" w:cs="Arial"/>
        </w:rPr>
      </w:r>
    </w:p>
    <w:p>
      <w:pPr>
        <w:pBdr/>
        <w:spacing w:after="80" w:line="360" w:lineRule="auto"/>
        <w:ind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</w:r>
      <w:r>
        <w:rPr>
          <w:rFonts w:ascii="Arial" w:hAnsi="Arial" w:cs="Arial"/>
          <w:lang w:eastAsia="pt-BR"/>
        </w:rPr>
      </w:r>
    </w:p>
    <w:p>
      <w:pPr>
        <w:pBdr/>
        <w:spacing/>
        <w:ind/>
        <w:rPr>
          <w:rFonts w:ascii="Arial" w:hAnsi="Arial" w:eastAsia="Aptos" w:cs="Arial"/>
          <w:b/>
          <w:bCs/>
          <w:color w:val="000000" w:themeColor="text1"/>
          <w:sz w:val="32"/>
          <w:szCs w:val="32"/>
          <w:u w:val="single"/>
        </w:rPr>
      </w:pPr>
      <w:r/>
      <w:bookmarkStart w:id="28" w:name="_Toc196150448"/>
      <w:r>
        <w:br w:type="page" w:clear="all"/>
      </w:r>
      <w:r>
        <w:rPr>
          <w:rFonts w:ascii="Arial" w:hAnsi="Arial" w:eastAsia="Aptos" w:cs="Arial"/>
          <w:b/>
          <w:bCs/>
          <w:color w:val="000000" w:themeColor="text1"/>
          <w:sz w:val="32"/>
          <w:szCs w:val="32"/>
          <w:u w:val="single"/>
        </w:rPr>
      </w:r>
    </w:p>
    <w:p>
      <w:pPr>
        <w:pStyle w:val="938"/>
        <w:pBdr/>
        <w:spacing w:after="80" w:line="360" w:lineRule="auto"/>
        <w:ind/>
        <w:rPr/>
      </w:pPr>
      <w:r>
        <w:t xml:space="preserve">Conclusão</w:t>
      </w:r>
      <w:bookmarkEnd w:id="28"/>
      <w:r/>
      <w:r/>
    </w:p>
    <w:p>
      <w:pPr>
        <w:pBdr/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incêndios florestais resultam em custos enormes, que vão muito além do impacto imediato. Eles afetam o meio ambiente, a economia, a saúde pública e as com</w:t>
      </w:r>
      <w:r>
        <w:rPr>
          <w:rFonts w:ascii="Arial" w:hAnsi="Arial" w:cs="Arial"/>
        </w:rPr>
        <w:t xml:space="preserve">unidades locais. O aumento da frequência e intensidade dos incêndios florestais causados pela mudança climática e pelo comportamento humano exige um esforço conjunto entre governos, empresas e cidadãos para mitigar os danos e prevenir futuras catástrofes. </w:t>
      </w:r>
      <w:r>
        <w:rPr>
          <w:rFonts w:ascii="Arial" w:hAnsi="Arial" w:cs="Arial"/>
        </w:rPr>
      </w:r>
    </w:p>
    <w:p>
      <w:pPr>
        <w:pBdr/>
        <w:spacing w:after="8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âmbito, nossa solução atua como um agente que aumenta o tempo de resposta dos órgãos competentes, reduzindo o tempo de reação e consequentes danos as áreas de proteção, que desempenham papel fundamental na preservação do meio ambiente.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</w:r>
    </w:p>
    <w:sectPr>
      <w:headerReference w:type="default" r:id="rId9"/>
      <w:footnotePr/>
      <w:endnotePr/>
      <w:type w:val="nextPage"/>
      <w:pgSz w:h="16838" w:orient="portrait" w:w="11906"/>
      <w:pgMar w:top="1440" w:right="1440" w:bottom="1440" w:left="1440" w:header="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Noto Sans Armenian">
    <w:panose1 w:val="020B0502040504020204"/>
  </w:font>
  <w:font w:name="Symbol">
    <w:panose1 w:val="05010000000000000000"/>
  </w:font>
  <w:font w:name="Aptos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<wp:simplePos x="0" y="0"/>
              <wp:positionH relativeFrom="column">
                <wp:posOffset>-777875</wp:posOffset>
              </wp:positionH>
              <wp:positionV relativeFrom="paragraph">
                <wp:posOffset>103962</wp:posOffset>
              </wp:positionV>
              <wp:extent cx="586600" cy="5866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0119206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86599" cy="5865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7168;o:allowoverlap:true;o:allowincell:true;mso-position-horizontal-relative:text;margin-left:-61.25pt;mso-position-horizontal:absolute;mso-position-vertical-relative:text;margin-top:8.19pt;mso-position-vertical:absolute;width:46.19pt;height:46.19pt;mso-wrap-distance-left:9.07pt;mso-wrap-distance-top:0.00pt;mso-wrap-distance-right:9.07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Times New Roman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Times New Roman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Times New Roman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57"/>
    <w:link w:val="7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7"/>
    <w:link w:val="7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7"/>
    <w:link w:val="7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7"/>
    <w:link w:val="75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7"/>
    <w:link w:val="7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7"/>
    <w:link w:val="75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7"/>
    <w:link w:val="75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7"/>
    <w:link w:val="7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7"/>
    <w:link w:val="7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57"/>
    <w:link w:val="89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57"/>
    <w:link w:val="8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57"/>
    <w:link w:val="89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57"/>
    <w:link w:val="90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57"/>
    <w:link w:val="910"/>
    <w:uiPriority w:val="99"/>
    <w:pPr>
      <w:pBdr/>
      <w:spacing/>
      <w:ind/>
    </w:pPr>
  </w:style>
  <w:style w:type="character" w:styleId="178">
    <w:name w:val="Footer Char"/>
    <w:basedOn w:val="757"/>
    <w:link w:val="912"/>
    <w:uiPriority w:val="99"/>
    <w:pPr>
      <w:pBdr/>
      <w:spacing/>
      <w:ind/>
    </w:pPr>
  </w:style>
  <w:style w:type="character" w:styleId="181">
    <w:name w:val="Footnote Text Char"/>
    <w:basedOn w:val="757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57"/>
    <w:link w:val="918"/>
    <w:uiPriority w:val="99"/>
    <w:semiHidden/>
    <w:pPr>
      <w:pBdr/>
      <w:spacing/>
      <w:ind/>
    </w:pPr>
    <w:rPr>
      <w:sz w:val="20"/>
      <w:szCs w:val="20"/>
    </w:rPr>
  </w:style>
  <w:style w:type="paragraph" w:styleId="747" w:default="1">
    <w:name w:val="Normal"/>
    <w:qFormat/>
    <w:pPr>
      <w:pBdr/>
      <w:spacing/>
      <w:ind/>
    </w:pPr>
  </w:style>
  <w:style w:type="paragraph" w:styleId="748">
    <w:name w:val="Heading 1"/>
    <w:basedOn w:val="747"/>
    <w:next w:val="747"/>
    <w:link w:val="88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49">
    <w:name w:val="Heading 2"/>
    <w:basedOn w:val="747"/>
    <w:next w:val="747"/>
    <w:link w:val="88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50">
    <w:name w:val="Heading 3"/>
    <w:basedOn w:val="747"/>
    <w:next w:val="747"/>
    <w:link w:val="88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51">
    <w:name w:val="Heading 4"/>
    <w:basedOn w:val="747"/>
    <w:next w:val="747"/>
    <w:link w:val="88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52">
    <w:name w:val="Heading 5"/>
    <w:basedOn w:val="747"/>
    <w:next w:val="747"/>
    <w:link w:val="88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53">
    <w:name w:val="Heading 6"/>
    <w:basedOn w:val="747"/>
    <w:next w:val="747"/>
    <w:link w:val="89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54">
    <w:name w:val="Heading 7"/>
    <w:basedOn w:val="747"/>
    <w:next w:val="747"/>
    <w:link w:val="89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55">
    <w:name w:val="Heading 8"/>
    <w:basedOn w:val="747"/>
    <w:next w:val="747"/>
    <w:link w:val="89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56">
    <w:name w:val="Heading 9"/>
    <w:basedOn w:val="747"/>
    <w:next w:val="747"/>
    <w:link w:val="89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57" w:default="1">
    <w:name w:val="Default Paragraph Font"/>
    <w:uiPriority w:val="1"/>
    <w:semiHidden/>
    <w:unhideWhenUsed/>
    <w:pPr>
      <w:pBdr/>
      <w:spacing/>
      <w:ind/>
    </w:pPr>
  </w:style>
  <w:style w:type="table" w:styleId="75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9" w:default="1">
    <w:name w:val="No List"/>
    <w:uiPriority w:val="99"/>
    <w:semiHidden/>
    <w:unhideWhenUsed/>
    <w:pPr>
      <w:pBdr/>
      <w:spacing/>
      <w:ind/>
    </w:pPr>
  </w:style>
  <w:style w:type="table" w:styleId="760" w:customStyle="1">
    <w:name w:val="Table Grid Light"/>
    <w:basedOn w:val="75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758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758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ab2e1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2ab87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d55e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4ccf4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971c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0d976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729b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729b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2aa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2aa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196c24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196c24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fcaf3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fcaf3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02b93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ea72e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729b" w:themeColor="accent1" w:themeTint="EA" w:sz="4" w:space="0"/>
        <w:insideH w:val="single" w:color="19729b" w:themeColor="accent1" w:themeTint="EA" w:sz="4" w:space="0"/>
        <w:insideV w:val="single" w:color="19729b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1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  <w:insideV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2e5f5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>
          <w:top w:val="single" w:color="19729b" w:themeColor="accent1" w:themeTint="EA" w:sz="4" w:space="0"/>
          <w:left w:val="single" w:color="19729b" w:themeColor="accent1" w:themeTint="EA" w:sz="4" w:space="0"/>
          <w:bottom w:val="single" w:color="19729b" w:themeColor="accent1" w:themeTint="EA" w:sz="4" w:space="0"/>
          <w:right w:val="single" w:color="19729b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729b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2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  <w:insideV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4" w:space="0"/>
          <w:left w:val="single" w:color="f2aa85" w:themeColor="accent2" w:themeTint="97" w:sz="4" w:space="0"/>
          <w:bottom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3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  <w:insideV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>
          <w:top w:val="single" w:color="196c24" w:themeColor="accent3" w:themeTint="FE" w:sz="4" w:space="0"/>
          <w:left w:val="single" w:color="196c24" w:themeColor="accent3" w:themeTint="FE" w:sz="4" w:space="0"/>
          <w:bottom w:val="single" w:color="196c24" w:themeColor="accent3" w:themeTint="FE" w:sz="4" w:space="0"/>
          <w:right w:val="single" w:color="196c24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c24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4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  <w:insideV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4" w:space="0"/>
          <w:left w:val="single" w:color="5fcaf3" w:themeColor="accent4" w:themeTint="9A" w:sz="4" w:space="0"/>
          <w:bottom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5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a02b93" w:themeColor="accent5" w:sz="4" w:space="0"/>
          <w:left w:val="single" w:color="a02b93" w:themeColor="accent5" w:sz="4" w:space="0"/>
          <w:bottom w:val="single" w:color="a02b93" w:themeColor="accent5" w:sz="4" w:space="0"/>
          <w:right w:val="single" w:color="a02b93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6"/>
    <w:basedOn w:val="758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e4f4" w:themeColor="accent1" w:themeTint="34" w:fill="bfe4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0c2e8" w:themeColor="accent1" w:themeTint="75" w:fill="70c2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ae2d6" w:themeColor="accent2" w:themeTint="32" w:fill="fae2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5bda0" w:themeColor="accent2" w:themeTint="75" w:fill="f5bd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0f0c6" w:themeColor="accent3" w:themeTint="34" w:fill="c0f0c6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72de80" w:themeColor="accent3" w:themeTint="75" w:fill="72de80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c9edfb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5d7f6" w:themeColor="accent4" w:themeTint="75" w:fill="85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1cded" w:themeColor="accent5" w:themeTint="34" w:fill="f1cde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8fd7" w:themeColor="accent5" w:themeTint="75" w:fill="e18fd7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f2cf" w:themeColor="accent6" w:themeTint="34" w:fill="d8f2cf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8e194" w:themeColor="accent6" w:themeTint="75" w:fill="a8e1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3bde6" w:themeColor="accent1" w:themeTint="80" w:sz="4" w:space="0"/>
        <w:left w:val="single" w:color="63bde6" w:themeColor="accent1" w:themeTint="80" w:sz="4" w:space="0"/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63bde6" w:themeColor="accent1" w:themeTint="80" w:sz="12" w:space="0"/>
        </w:tcBorders>
      </w:tcPr>
    </w:tblStylePr>
    <w:tblStylePr w:type="lastCol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3bde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96c24" w:themeColor="accent3" w:themeTint="FE" w:sz="4" w:space="0"/>
        <w:left w:val="single" w:color="196c24" w:themeColor="accent3" w:themeTint="FE" w:sz="4" w:space="0"/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196c24" w:themeColor="accent3" w:themeTint="FE" w:sz="12" w:space="0"/>
        </w:tcBorders>
      </w:tcPr>
    </w:tblStylePr>
    <w:tblStylePr w:type="lastCol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6c24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2b93" w:themeColor="accent5" w:sz="4" w:space="0"/>
        <w:left w:val="single" w:color="a02b93" w:themeColor="accent5" w:sz="4" w:space="0"/>
        <w:bottom w:val="single" w:color="a02b93" w:themeColor="accent5" w:sz="4" w:space="0"/>
        <w:right w:val="single" w:color="a02b93" w:themeColor="accent5" w:sz="4" w:space="0"/>
        <w:insideH w:val="single" w:color="a02b93" w:themeColor="accent5" w:sz="4" w:space="0"/>
        <w:insideV w:val="single" w:color="a02b93" w:themeColor="accent5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a02b93" w:themeColor="accent5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ea72e" w:themeColor="accent6" w:sz="4" w:space="0"/>
        <w:left w:val="single" w:color="4ea72e" w:themeColor="accent6" w:sz="4" w:space="0"/>
        <w:bottom w:val="single" w:color="4ea72e" w:themeColor="accent6" w:sz="4" w:space="0"/>
        <w:right w:val="single" w:color="4ea72e" w:themeColor="accent6" w:sz="4" w:space="0"/>
        <w:insideH w:val="single" w:color="4ea72e" w:themeColor="accent6" w:sz="4" w:space="0"/>
        <w:insideV w:val="single" w:color="4ea72e" w:themeColor="accent6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ea72e" w:themeColor="accent6" w:sz="12" w:space="0"/>
        </w:tcBorders>
      </w:tcPr>
    </w:tblStylePr>
    <w:tblStylePr w:type="lastCol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3bde6" w:themeColor="accent1" w:themeTint="80" w:sz="4" w:space="0"/>
        <w:right w:val="single" w:color="63bde6" w:themeColor="accent1" w:themeTint="80" w:sz="4" w:space="0"/>
        <w:insideH w:val="single" w:color="63bde6" w:themeColor="accent1" w:themeTint="80" w:sz="4" w:space="0"/>
        <w:insideV w:val="single" w:color="63bde6" w:themeColor="accent1" w:themeTint="80" w:sz="4" w:space="0"/>
      </w:tblBorders>
    </w:tblPr>
    <w:tcPr>
      <w:tcBorders/>
    </w:tcPr>
    <w:tblStylePr w:type="band1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e4f4" w:themeColor="accent1" w:themeTint="34" w:fill="bfe4f4" w:themeFill="accent1" w:themeFillTint="34"/>
        <w:tcBorders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63bde6" w:themeColor="accent1" w:themeTint="80" w:sz="4" w:space="0"/>
        </w:tcBorders>
      </w:tcPr>
    </w:tblStylePr>
    <w:tblStylePr w:type="fir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63bde6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63bde6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63bde6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2aa85" w:themeColor="accent2" w:themeTint="97" w:sz="4" w:space="0"/>
        <w:right w:val="single" w:color="f2aa85" w:themeColor="accent2" w:themeTint="97" w:sz="4" w:space="0"/>
        <w:insideH w:val="single" w:color="f2aa85" w:themeColor="accent2" w:themeTint="97" w:sz="4" w:space="0"/>
        <w:insideV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2aa8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2aa8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196c24" w:themeColor="accent3" w:themeTint="FE" w:sz="4" w:space="0"/>
        <w:right w:val="single" w:color="196c24" w:themeColor="accent3" w:themeTint="FE" w:sz="4" w:space="0"/>
        <w:insideH w:val="single" w:color="196c24" w:themeColor="accent3" w:themeTint="FE" w:sz="4" w:space="0"/>
        <w:insideV w:val="single" w:color="196c24" w:themeColor="accent3" w:themeTint="FE" w:sz="4" w:space="0"/>
      </w:tblBorders>
    </w:tblPr>
    <w:tcPr>
      <w:tcBorders/>
    </w:tcPr>
    <w:tblStylePr w:type="band1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96c24" w:themeColor="accent3" w:themeTint="FE" w:sz="4" w:space="0"/>
        </w:tcBorders>
      </w:tcPr>
    </w:tblStylePr>
    <w:tblStylePr w:type="fir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196c24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96c24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96c24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fcaf3" w:themeColor="accent4" w:themeTint="9A" w:sz="4" w:space="0"/>
        <w:right w:val="single" w:color="5fcaf3" w:themeColor="accent4" w:themeTint="9A" w:sz="4" w:space="0"/>
        <w:insideH w:val="single" w:color="5fcaf3" w:themeColor="accent4" w:themeTint="9A" w:sz="4" w:space="0"/>
        <w:insideV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fcaf3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fcaf3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  <w:insideV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Horz">
      <w:rPr>
        <w:rFonts w:ascii="Arial" w:hAnsi="Arial"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a76ce" w:themeColor="accent5" w:themeTint="90" w:sz="4" w:space="0"/>
        </w:tcBorders>
      </w:tcPr>
    </w:tblStylePr>
    <w:tblStylePr w:type="fir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a76ce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a76ce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a76ce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  <w:insideV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Horz">
      <w:rPr>
        <w:rFonts w:ascii="Arial" w:hAnsi="Arial"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4da7b" w:themeColor="accent6" w:themeTint="90" w:sz="4" w:space="0"/>
        </w:tcBorders>
      </w:tcPr>
    </w:tblStylePr>
    <w:tblStylePr w:type="fir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4da7b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4da7b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4da7b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56082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97132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97132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196b24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196b24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f9ed5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f9ed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02b93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02b93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ea72e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ea72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bottom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0b4e2" w:themeColor="accent1" w:themeTint="90" w:sz="4" w:space="0"/>
          <w:left w:val="none" w:color="000000" w:sz="4" w:space="0"/>
          <w:bottom w:val="single" w:color="50b4e2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bottom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e8b" w:themeColor="accent2" w:themeTint="90" w:sz="4" w:space="0"/>
          <w:left w:val="none" w:color="000000" w:sz="4" w:space="0"/>
          <w:bottom w:val="single" w:color="f2ae8b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bottom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1d663" w:themeColor="accent3" w:themeTint="90" w:sz="4" w:space="0"/>
          <w:left w:val="none" w:color="000000" w:sz="4" w:space="0"/>
          <w:bottom w:val="single" w:color="51d663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bottom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acdf4" w:themeColor="accent4" w:themeTint="90" w:sz="4" w:space="0"/>
          <w:left w:val="none" w:color="000000" w:sz="4" w:space="0"/>
          <w:bottom w:val="single" w:color="6acdf4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bottom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76ce" w:themeColor="accent5" w:themeTint="90" w:sz="4" w:space="0"/>
          <w:left w:val="none" w:color="000000" w:sz="4" w:space="0"/>
          <w:bottom w:val="single" w:color="da76c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bottom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a7b" w:themeColor="accent6" w:themeTint="90" w:sz="4" w:space="0"/>
          <w:left w:val="none" w:color="000000" w:sz="4" w:space="0"/>
          <w:bottom w:val="single" w:color="94da7b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left w:val="single" w:color="156082" w:themeColor="accent1" w:sz="4" w:space="0"/>
        <w:bottom w:val="single" w:color="156082" w:themeColor="accent1" w:sz="4" w:space="0"/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  <w:bottom w:val="single" w:color="156082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4" w:space="0"/>
          <w:right w:val="single" w:color="156082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left w:val="single" w:color="f2aa85" w:themeColor="accent2" w:themeTint="97" w:sz="4" w:space="0"/>
        <w:bottom w:val="single" w:color="f2aa85" w:themeColor="accent2" w:themeTint="97" w:sz="4" w:space="0"/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  <w:bottom w:val="single" w:color="f2aa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4" w:space="0"/>
          <w:right w:val="single" w:color="f2aa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left w:val="single" w:color="48d45b" w:themeColor="accent3" w:themeTint="98" w:sz="4" w:space="0"/>
        <w:bottom w:val="single" w:color="48d45b" w:themeColor="accent3" w:themeTint="98" w:sz="4" w:space="0"/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  <w:bottom w:val="single" w:color="48d45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4" w:space="0"/>
          <w:right w:val="single" w:color="48d45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left w:val="single" w:color="5fcaf3" w:themeColor="accent4" w:themeTint="9A" w:sz="4" w:space="0"/>
        <w:bottom w:val="single" w:color="5fcaf3" w:themeColor="accent4" w:themeTint="9A" w:sz="4" w:space="0"/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  <w:bottom w:val="single" w:color="5fcaf3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4" w:space="0"/>
          <w:right w:val="single" w:color="5fcaf3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left w:val="single" w:color="d76ccb" w:themeColor="accent5" w:themeTint="9A" w:sz="4" w:space="0"/>
        <w:bottom w:val="single" w:color="d76ccb" w:themeColor="accent5" w:themeTint="9A" w:sz="4" w:space="0"/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  <w:bottom w:val="single" w:color="d76cc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4" w:space="0"/>
          <w:right w:val="single" w:color="d76cc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left w:val="single" w:color="8ed873" w:themeColor="accent6" w:themeTint="98" w:sz="4" w:space="0"/>
        <w:bottom w:val="single" w:color="8ed873" w:themeColor="accent6" w:themeTint="98" w:sz="4" w:space="0"/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  <w:bottom w:val="single" w:color="8ed873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4" w:space="0"/>
          <w:right w:val="single" w:color="8ed873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0b4e2" w:themeColor="accent1" w:themeTint="90" w:sz="4" w:space="0"/>
        <w:left w:val="single" w:color="50b4e2" w:themeColor="accent1" w:themeTint="90" w:sz="4" w:space="0"/>
        <w:bottom w:val="single" w:color="50b4e2" w:themeColor="accent1" w:themeTint="90" w:sz="4" w:space="0"/>
        <w:right w:val="single" w:color="50b4e2" w:themeColor="accent1" w:themeTint="90" w:sz="4" w:space="0"/>
        <w:insideH w:val="single" w:color="50b4e2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e8b" w:themeColor="accent2" w:themeTint="90" w:sz="4" w:space="0"/>
        <w:left w:val="single" w:color="f2ae8b" w:themeColor="accent2" w:themeTint="90" w:sz="4" w:space="0"/>
        <w:bottom w:val="single" w:color="f2ae8b" w:themeColor="accent2" w:themeTint="90" w:sz="4" w:space="0"/>
        <w:right w:val="single" w:color="f2ae8b" w:themeColor="accent2" w:themeTint="90" w:sz="4" w:space="0"/>
        <w:insideH w:val="single" w:color="f2ae8b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97132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1d663" w:themeColor="accent3" w:themeTint="90" w:sz="4" w:space="0"/>
        <w:left w:val="single" w:color="51d663" w:themeColor="accent3" w:themeTint="90" w:sz="4" w:space="0"/>
        <w:bottom w:val="single" w:color="51d663" w:themeColor="accent3" w:themeTint="90" w:sz="4" w:space="0"/>
        <w:right w:val="single" w:color="51d663" w:themeColor="accent3" w:themeTint="90" w:sz="4" w:space="0"/>
        <w:insideH w:val="single" w:color="51d663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196b24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acdf4" w:themeColor="accent4" w:themeTint="90" w:sz="4" w:space="0"/>
        <w:left w:val="single" w:color="6acdf4" w:themeColor="accent4" w:themeTint="90" w:sz="4" w:space="0"/>
        <w:bottom w:val="single" w:color="6acdf4" w:themeColor="accent4" w:themeTint="90" w:sz="4" w:space="0"/>
        <w:right w:val="single" w:color="6acdf4" w:themeColor="accent4" w:themeTint="90" w:sz="4" w:space="0"/>
        <w:insideH w:val="single" w:color="6acdf4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f9ed5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76ce" w:themeColor="accent5" w:themeTint="90" w:sz="4" w:space="0"/>
        <w:left w:val="single" w:color="da76ce" w:themeColor="accent5" w:themeTint="90" w:sz="4" w:space="0"/>
        <w:bottom w:val="single" w:color="da76ce" w:themeColor="accent5" w:themeTint="90" w:sz="4" w:space="0"/>
        <w:right w:val="single" w:color="da76ce" w:themeColor="accent5" w:themeTint="90" w:sz="4" w:space="0"/>
        <w:insideH w:val="single" w:color="da76c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a7b" w:themeColor="accent6" w:themeTint="90" w:sz="4" w:space="0"/>
        <w:left w:val="single" w:color="94da7b" w:themeColor="accent6" w:themeTint="90" w:sz="4" w:space="0"/>
        <w:bottom w:val="single" w:color="94da7b" w:themeColor="accent6" w:themeTint="90" w:sz="4" w:space="0"/>
        <w:right w:val="single" w:color="94da7b" w:themeColor="accent6" w:themeTint="90" w:sz="4" w:space="0"/>
        <w:insideH w:val="single" w:color="94da7b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32" w:space="0"/>
        <w:left w:val="single" w:color="156082" w:themeColor="accent1" w:sz="32" w:space="0"/>
        <w:bottom w:val="single" w:color="156082" w:themeColor="accent1" w:sz="32" w:space="0"/>
        <w:right w:val="single" w:color="156082" w:themeColor="accent1" w:sz="32" w:space="0"/>
      </w:tblBorders>
      <w:shd w:val="clear" w:color="156082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156082" w:themeColor="accent1" w:fill="156082" w:themeFill="accent1"/>
        <w:tcBorders>
          <w:top w:val="single" w:color="156082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156082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32" w:space="0"/>
        <w:left w:val="single" w:color="f2aa85" w:themeColor="accent2" w:themeTint="97" w:sz="32" w:space="0"/>
        <w:bottom w:val="single" w:color="f2aa85" w:themeColor="accent2" w:themeTint="97" w:sz="32" w:space="0"/>
        <w:right w:val="single" w:color="f2aa85" w:themeColor="accent2" w:themeTint="97" w:sz="32" w:space="0"/>
      </w:tblBorders>
      <w:shd w:val="clear" w:color="f2aa85" w:themeColor="accent2" w:themeTint="97" w:fill="f2aa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>
          <w:top w:val="single" w:color="f2aa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2aa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32" w:space="0"/>
        <w:left w:val="single" w:color="48d45b" w:themeColor="accent3" w:themeTint="98" w:sz="32" w:space="0"/>
        <w:bottom w:val="single" w:color="48d45b" w:themeColor="accent3" w:themeTint="98" w:sz="32" w:space="0"/>
        <w:right w:val="single" w:color="48d45b" w:themeColor="accent3" w:themeTint="98" w:sz="32" w:space="0"/>
      </w:tblBorders>
      <w:shd w:val="clear" w:color="48d45b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8d45b" w:themeColor="accent3" w:themeTint="98" w:fill="48d45b" w:themeFill="accent3" w:themeFillTint="98"/>
        <w:tcBorders>
          <w:top w:val="single" w:color="48d45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8d45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32" w:space="0"/>
        <w:left w:val="single" w:color="5fcaf3" w:themeColor="accent4" w:themeTint="9A" w:sz="32" w:space="0"/>
        <w:bottom w:val="single" w:color="5fcaf3" w:themeColor="accent4" w:themeTint="9A" w:sz="32" w:space="0"/>
        <w:right w:val="single" w:color="5fcaf3" w:themeColor="accent4" w:themeTint="9A" w:sz="32" w:space="0"/>
      </w:tblBorders>
      <w:shd w:val="clear" w:color="5fcaf3" w:themeColor="accent4" w:themeTint="9A" w:fill="5fcaf3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>
          <w:top w:val="single" w:color="5fcaf3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fcaf3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32" w:space="0"/>
        <w:left w:val="single" w:color="d76ccb" w:themeColor="accent5" w:themeTint="9A" w:sz="32" w:space="0"/>
        <w:bottom w:val="single" w:color="d76ccb" w:themeColor="accent5" w:themeTint="9A" w:sz="32" w:space="0"/>
        <w:right w:val="single" w:color="d76ccb" w:themeColor="accent5" w:themeTint="9A" w:sz="32" w:space="0"/>
      </w:tblBorders>
      <w:shd w:val="clear" w:color="d76ccb" w:themeColor="accent5" w:themeTint="9A" w:fill="d76cc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76ccb" w:themeColor="accent5" w:themeTint="9A" w:fill="d76ccb" w:themeFill="accent5" w:themeFillTint="9A"/>
        <w:tcBorders>
          <w:top w:val="single" w:color="d76cc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76cc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32" w:space="0"/>
        <w:left w:val="single" w:color="8ed873" w:themeColor="accent6" w:themeTint="98" w:sz="32" w:space="0"/>
        <w:bottom w:val="single" w:color="8ed873" w:themeColor="accent6" w:themeTint="98" w:sz="32" w:space="0"/>
        <w:right w:val="single" w:color="8ed873" w:themeColor="accent6" w:themeTint="98" w:sz="32" w:space="0"/>
      </w:tblBorders>
      <w:shd w:val="clear" w:color="8ed873" w:themeColor="accent6" w:themeTint="98" w:fill="8ed873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ed873" w:themeColor="accent6" w:themeTint="98" w:fill="8ed873" w:themeFill="accent6" w:themeFillTint="98"/>
        <w:tcBorders>
          <w:top w:val="single" w:color="8ed873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d873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156082" w:themeColor="accent1" w:sz="4" w:space="0"/>
        <w:bottom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156082" w:themeColor="accent1" w:sz="4" w:space="0"/>
        </w:tcBorders>
      </w:tcPr>
    </w:tblStylePr>
    <w:tblStylePr w:type="lastCol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74b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156082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2aa85" w:themeColor="accent2" w:themeTint="97" w:sz="4" w:space="0"/>
        <w:bottom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4" w:space="0"/>
        </w:tcBorders>
      </w:tcPr>
    </w:tblStylePr>
    <w:tblStylePr w:type="lastCol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2aa8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8d45b" w:themeColor="accent3" w:themeTint="98" w:sz="4" w:space="0"/>
        <w:bottom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4" w:space="0"/>
        </w:tcBorders>
      </w:tcPr>
    </w:tblStylePr>
    <w:tblStylePr w:type="lastCol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8d45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fcaf3" w:themeColor="accent4" w:themeTint="9A" w:sz="4" w:space="0"/>
        <w:bottom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4" w:space="0"/>
        </w:tcBorders>
      </w:tcPr>
    </w:tblStylePr>
    <w:tblStylePr w:type="lastCol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caf3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76ccb" w:themeColor="accent5" w:themeTint="9A" w:sz="4" w:space="0"/>
        <w:bottom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4" w:space="0"/>
        </w:tcBorders>
      </w:tcPr>
    </w:tblStylePr>
    <w:tblStylePr w:type="lastCol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76cc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ed873" w:themeColor="accent6" w:themeTint="98" w:sz="4" w:space="0"/>
        <w:bottom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4" w:space="0"/>
        </w:tcBorders>
      </w:tcPr>
    </w:tblStylePr>
    <w:tblStylePr w:type="lastCol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d87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156082" w:themeColor="accent1" w:sz="4" w:space="0"/>
      </w:tblBorders>
    </w:tblPr>
    <w:tcPr>
      <w:tcBorders/>
    </w:tcPr>
    <w:tblStylePr w:type="band1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1def2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156082" w:themeColor="accent1" w:sz="4" w:space="0"/>
        </w:tcBorders>
      </w:tcPr>
    </w:tblStylePr>
    <w:tblStylePr w:type="fir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156082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156082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156082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2aa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9dbcb" w:themeColor="accent2" w:themeTint="40" w:fill="f9dbcb" w:themeFill="accent2" w:themeFillTint="40"/>
        <w:tcBorders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2aa85" w:themeColor="accent2" w:themeTint="97" w:sz="4" w:space="0"/>
        </w:tcBorders>
      </w:tcPr>
    </w:tblStylePr>
    <w:tblStylePr w:type="fir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2aa85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2aa85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2aa85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8d45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2edb9" w:themeColor="accent3" w:themeTint="40" w:fill="b2edb9" w:themeFill="accent3" w:themeFillTint="40"/>
        <w:tcBorders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8d45b" w:themeColor="accent3" w:themeTint="98" w:sz="4" w:space="0"/>
        </w:tcBorders>
      </w:tcPr>
    </w:tblStylePr>
    <w:tblStylePr w:type="fir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8d45b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8d45b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8d45b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fcaf3" w:themeColor="accent4" w:themeTint="9A" w:sz="4" w:space="0"/>
      </w:tblBorders>
    </w:tblPr>
    <w:tcPr>
      <w:tcBorders/>
    </w:tcPr>
    <w:tblStylePr w:type="band1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e9fa" w:themeColor="accent4" w:themeTint="40" w:fill="bce9fa" w:themeFill="accent4" w:themeFillTint="40"/>
        <w:tcBorders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fcaf3" w:themeColor="accent4" w:themeTint="9A" w:sz="4" w:space="0"/>
        </w:tcBorders>
      </w:tcPr>
    </w:tblStylePr>
    <w:tblStylePr w:type="fir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fcaf3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fcaf3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fcaf3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d76ccb" w:themeColor="accent5" w:themeTint="9A" w:sz="4" w:space="0"/>
      </w:tblBorders>
    </w:tblPr>
    <w:tcPr>
      <w:tcBorders/>
    </w:tcPr>
    <w:tblStylePr w:type="band1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ec2e9" w:themeColor="accent5" w:themeTint="40" w:fill="eec2e9" w:themeFill="accent5" w:themeFillTint="40"/>
        <w:tcBorders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d76ccb" w:themeColor="accent5" w:themeTint="9A" w:sz="4" w:space="0"/>
        </w:tcBorders>
      </w:tcPr>
    </w:tblStylePr>
    <w:tblStylePr w:type="fir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d76cc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d76cc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76cc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ed873" w:themeColor="accent6" w:themeTint="98" w:sz="4" w:space="0"/>
      </w:tblBorders>
    </w:tblPr>
    <w:tcPr>
      <w:tcBorders/>
    </w:tcPr>
    <w:tblStylePr w:type="band1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efc4" w:themeColor="accent6" w:themeTint="40" w:fill="cfefc4" w:themeFill="accent6" w:themeFillTint="40"/>
        <w:tcBorders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ed873" w:themeColor="accent6" w:themeTint="98" w:sz="4" w:space="0"/>
        </w:tcBorders>
      </w:tcPr>
    </w:tblStylePr>
    <w:tblStylePr w:type="fir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ed873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ed873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d873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1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2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3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4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5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6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1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0c374b" w:themeColor="accent1" w:themeShade="95" w:sz="4" w:space="0"/>
        <w:left w:val="single" w:color="0c374b" w:themeColor="accent1" w:themeShade="95" w:sz="4" w:space="0"/>
        <w:bottom w:val="single" w:color="0c374b" w:themeColor="accent1" w:themeShade="95" w:sz="4" w:space="0"/>
        <w:right w:val="single" w:color="0c374b" w:themeColor="accent1" w:themeShade="95" w:sz="4" w:space="0"/>
        <w:insideH w:val="single" w:color="0c374b" w:themeColor="accent1" w:themeShade="95" w:sz="4" w:space="0"/>
        <w:insideV w:val="single" w:color="0c374b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9ed5ef" w:themeColor="accent1" w:themeTint="50" w:fill="9ed5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729b" w:themeColor="accent1" w:themeTint="EA" w:fill="1972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2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953d10" w:themeColor="accent2" w:themeShade="95" w:sz="4" w:space="0"/>
        <w:left w:val="single" w:color="953d10" w:themeColor="accent2" w:themeShade="95" w:sz="4" w:space="0"/>
        <w:bottom w:val="single" w:color="953d10" w:themeColor="accent2" w:themeShade="95" w:sz="4" w:space="0"/>
        <w:right w:val="single" w:color="953d10" w:themeColor="accent2" w:themeShade="95" w:sz="4" w:space="0"/>
        <w:insideH w:val="single" w:color="953d10" w:themeColor="accent2" w:themeShade="95" w:sz="4" w:space="0"/>
        <w:insideV w:val="single" w:color="953d1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e2d6" w:themeColor="accent2" w:themeTint="32" w:fill="fae2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2aa85" w:themeColor="accent2" w:themeTint="97" w:fill="f2aa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3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0e3e15" w:themeColor="accent3" w:themeShade="95" w:sz="4" w:space="0"/>
        <w:left w:val="single" w:color="0e3e15" w:themeColor="accent3" w:themeShade="95" w:sz="4" w:space="0"/>
        <w:bottom w:val="single" w:color="0e3e15" w:themeColor="accent3" w:themeShade="95" w:sz="4" w:space="0"/>
        <w:right w:val="single" w:color="0e3e15" w:themeColor="accent3" w:themeShade="95" w:sz="4" w:space="0"/>
        <w:insideH w:val="single" w:color="0e3e15" w:themeColor="accent3" w:themeShade="95" w:sz="4" w:space="0"/>
        <w:insideV w:val="single" w:color="0e3e15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0f0c6" w:themeColor="accent3" w:themeTint="34" w:fill="c0f0c6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196c24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4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085c7c" w:themeColor="accent4" w:themeShade="95" w:sz="4" w:space="0"/>
        <w:left w:val="single" w:color="085c7c" w:themeColor="accent4" w:themeShade="95" w:sz="4" w:space="0"/>
        <w:bottom w:val="single" w:color="085c7c" w:themeColor="accent4" w:themeShade="95" w:sz="4" w:space="0"/>
        <w:right w:val="single" w:color="085c7c" w:themeColor="accent4" w:themeShade="95" w:sz="4" w:space="0"/>
        <w:insideH w:val="single" w:color="085c7c" w:themeColor="accent4" w:themeShade="95" w:sz="4" w:space="0"/>
        <w:insideV w:val="single" w:color="085c7c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9edfb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fcaf3" w:themeColor="accent4" w:themeTint="9A" w:fill="5fcaf3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5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5d1955" w:themeColor="accent5" w:themeShade="95" w:sz="4" w:space="0"/>
        <w:left w:val="single" w:color="5d1955" w:themeColor="accent5" w:themeShade="95" w:sz="4" w:space="0"/>
        <w:bottom w:val="single" w:color="5d1955" w:themeColor="accent5" w:themeShade="95" w:sz="4" w:space="0"/>
        <w:right w:val="single" w:color="5d1955" w:themeColor="accent5" w:themeShade="95" w:sz="4" w:space="0"/>
        <w:insideH w:val="single" w:color="5d1955" w:themeColor="accent5" w:themeShade="95" w:sz="4" w:space="0"/>
        <w:insideV w:val="single" w:color="5d195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cded" w:themeColor="accent5" w:themeTint="34" w:fill="f1cde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02b93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6"/>
    <w:basedOn w:val="758"/>
    <w:uiPriority w:val="99"/>
    <w:pPr>
      <w:pBdr/>
      <w:spacing w:after="0" w:line="240" w:lineRule="auto"/>
      <w:ind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color="2d611b" w:themeColor="accent6" w:themeShade="95" w:sz="4" w:space="0"/>
        <w:left w:val="single" w:color="2d611b" w:themeColor="accent6" w:themeShade="95" w:sz="4" w:space="0"/>
        <w:bottom w:val="single" w:color="2d611b" w:themeColor="accent6" w:themeShade="95" w:sz="4" w:space="0"/>
        <w:right w:val="single" w:color="2d611b" w:themeColor="accent6" w:themeShade="95" w:sz="4" w:space="0"/>
        <w:insideH w:val="single" w:color="2d611b" w:themeColor="accent6" w:themeShade="95" w:sz="4" w:space="0"/>
        <w:insideV w:val="single" w:color="2d611b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f2cf" w:themeColor="accent6" w:themeTint="34" w:fill="d8f2cf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ea72e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1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1c9ea" w:themeColor="accent1" w:themeTint="67" w:sz="4" w:space="0"/>
        <w:left w:val="single" w:color="81c9ea" w:themeColor="accent1" w:themeTint="67" w:sz="4" w:space="0"/>
        <w:bottom w:val="single" w:color="81c9ea" w:themeColor="accent1" w:themeTint="67" w:sz="4" w:space="0"/>
        <w:right w:val="single" w:color="81c9ea" w:themeColor="accent1" w:themeTint="67" w:sz="4" w:space="0"/>
        <w:insideH w:val="single" w:color="81c9ea" w:themeColor="accent1" w:themeTint="67" w:sz="4" w:space="0"/>
        <w:insideV w:val="single" w:color="81c9ea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1c9ea" w:themeColor="accent1" w:themeTint="67" w:sz="4" w:space="0"/>
          <w:left w:val="single" w:color="81c9ea" w:themeColor="accent1" w:themeTint="67" w:sz="4" w:space="0"/>
          <w:bottom w:val="single" w:color="81c9ea" w:themeColor="accent1" w:themeTint="67" w:sz="4" w:space="0"/>
          <w:right w:val="single" w:color="81c9ea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156082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156082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156082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2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6c5ab" w:themeColor="accent2" w:themeTint="67" w:sz="4" w:space="0"/>
        <w:left w:val="single" w:color="f6c5ab" w:themeColor="accent2" w:themeTint="67" w:sz="4" w:space="0"/>
        <w:bottom w:val="single" w:color="f6c5ab" w:themeColor="accent2" w:themeTint="67" w:sz="4" w:space="0"/>
        <w:right w:val="single" w:color="f6c5ab" w:themeColor="accent2" w:themeTint="67" w:sz="4" w:space="0"/>
        <w:insideH w:val="single" w:color="f6c5ab" w:themeColor="accent2" w:themeTint="67" w:sz="4" w:space="0"/>
        <w:insideV w:val="single" w:color="f6c5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6c5ab" w:themeColor="accent2" w:themeTint="67" w:sz="4" w:space="0"/>
          <w:left w:val="single" w:color="f6c5ab" w:themeColor="accent2" w:themeTint="67" w:sz="4" w:space="0"/>
          <w:bottom w:val="single" w:color="f6c5ab" w:themeColor="accent2" w:themeTint="67" w:sz="4" w:space="0"/>
          <w:right w:val="single" w:color="f6c5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2aa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2aa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2aa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3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3e28f" w:themeColor="accent3" w:themeTint="67" w:sz="4" w:space="0"/>
        <w:left w:val="single" w:color="83e28f" w:themeColor="accent3" w:themeTint="67" w:sz="4" w:space="0"/>
        <w:bottom w:val="single" w:color="83e28f" w:themeColor="accent3" w:themeTint="67" w:sz="4" w:space="0"/>
        <w:right w:val="single" w:color="83e28f" w:themeColor="accent3" w:themeTint="67" w:sz="4" w:space="0"/>
        <w:insideH w:val="single" w:color="83e28f" w:themeColor="accent3" w:themeTint="67" w:sz="4" w:space="0"/>
        <w:insideV w:val="single" w:color="83e28f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3e28f" w:themeColor="accent3" w:themeTint="67" w:sz="4" w:space="0"/>
          <w:left w:val="single" w:color="83e28f" w:themeColor="accent3" w:themeTint="67" w:sz="4" w:space="0"/>
          <w:bottom w:val="single" w:color="83e28f" w:themeColor="accent3" w:themeTint="67" w:sz="4" w:space="0"/>
          <w:right w:val="single" w:color="83e28f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8d45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8d45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8d45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4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4dbf7" w:themeColor="accent4" w:themeTint="67" w:sz="4" w:space="0"/>
        <w:left w:val="single" w:color="94dbf7" w:themeColor="accent4" w:themeTint="67" w:sz="4" w:space="0"/>
        <w:bottom w:val="single" w:color="94dbf7" w:themeColor="accent4" w:themeTint="67" w:sz="4" w:space="0"/>
        <w:right w:val="single" w:color="94dbf7" w:themeColor="accent4" w:themeTint="67" w:sz="4" w:space="0"/>
        <w:insideH w:val="single" w:color="94dbf7" w:themeColor="accent4" w:themeTint="67" w:sz="4" w:space="0"/>
        <w:insideV w:val="single" w:color="94dbf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4dbf7" w:themeColor="accent4" w:themeTint="67" w:sz="4" w:space="0"/>
          <w:left w:val="single" w:color="94dbf7" w:themeColor="accent4" w:themeTint="67" w:sz="4" w:space="0"/>
          <w:bottom w:val="single" w:color="94dbf7" w:themeColor="accent4" w:themeTint="67" w:sz="4" w:space="0"/>
          <w:right w:val="single" w:color="94dbf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fcaf3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fcaf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fcaf3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5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e49ddc" w:themeColor="accent5" w:themeTint="67" w:sz="4" w:space="0"/>
        <w:left w:val="single" w:color="e49ddc" w:themeColor="accent5" w:themeTint="67" w:sz="4" w:space="0"/>
        <w:bottom w:val="single" w:color="e49ddc" w:themeColor="accent5" w:themeTint="67" w:sz="4" w:space="0"/>
        <w:right w:val="single" w:color="e49ddc" w:themeColor="accent5" w:themeTint="67" w:sz="4" w:space="0"/>
        <w:insideH w:val="single" w:color="e49ddc" w:themeColor="accent5" w:themeTint="67" w:sz="4" w:space="0"/>
        <w:insideV w:val="single" w:color="e49ddc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49ddc" w:themeColor="accent5" w:themeTint="67" w:sz="4" w:space="0"/>
          <w:left w:val="single" w:color="e49ddc" w:themeColor="accent5" w:themeTint="67" w:sz="4" w:space="0"/>
          <w:bottom w:val="single" w:color="e49ddc" w:themeColor="accent5" w:themeTint="67" w:sz="4" w:space="0"/>
          <w:right w:val="single" w:color="e49ddc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76cc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76cc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76cc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6"/>
    <w:basedOn w:val="758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2e5a0" w:themeColor="accent6" w:themeTint="67" w:sz="4" w:space="0"/>
        <w:left w:val="single" w:color="b2e5a0" w:themeColor="accent6" w:themeTint="67" w:sz="4" w:space="0"/>
        <w:bottom w:val="single" w:color="b2e5a0" w:themeColor="accent6" w:themeTint="67" w:sz="4" w:space="0"/>
        <w:right w:val="single" w:color="b2e5a0" w:themeColor="accent6" w:themeTint="67" w:sz="4" w:space="0"/>
        <w:insideH w:val="single" w:color="b2e5a0" w:themeColor="accent6" w:themeTint="67" w:sz="4" w:space="0"/>
        <w:insideV w:val="single" w:color="b2e5a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e5a0" w:themeColor="accent6" w:themeTint="67" w:sz="4" w:space="0"/>
          <w:left w:val="single" w:color="b2e5a0" w:themeColor="accent6" w:themeTint="67" w:sz="4" w:space="0"/>
          <w:bottom w:val="single" w:color="b2e5a0" w:themeColor="accent6" w:themeTint="67" w:sz="4" w:space="0"/>
          <w:right w:val="single" w:color="b2e5a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d873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d873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d873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5" w:customStyle="1">
    <w:name w:val="Título 1 Char"/>
    <w:basedOn w:val="757"/>
    <w:link w:val="7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6" w:customStyle="1">
    <w:name w:val="Título 2 Char"/>
    <w:basedOn w:val="757"/>
    <w:link w:val="7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7" w:customStyle="1">
    <w:name w:val="Título 3 Char"/>
    <w:basedOn w:val="757"/>
    <w:link w:val="7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8" w:customStyle="1">
    <w:name w:val="Título 4 Char"/>
    <w:basedOn w:val="757"/>
    <w:link w:val="75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9" w:customStyle="1">
    <w:name w:val="Título 5 Char"/>
    <w:basedOn w:val="757"/>
    <w:link w:val="7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0" w:customStyle="1">
    <w:name w:val="Título 6 Char"/>
    <w:basedOn w:val="757"/>
    <w:link w:val="75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1" w:customStyle="1">
    <w:name w:val="Título 7 Char"/>
    <w:basedOn w:val="757"/>
    <w:link w:val="75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2" w:customStyle="1">
    <w:name w:val="Título 8 Char"/>
    <w:basedOn w:val="757"/>
    <w:link w:val="7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3" w:customStyle="1">
    <w:name w:val="Título 9 Char"/>
    <w:basedOn w:val="757"/>
    <w:link w:val="7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4">
    <w:name w:val="Title"/>
    <w:basedOn w:val="747"/>
    <w:next w:val="747"/>
    <w:link w:val="89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5" w:customStyle="1">
    <w:name w:val="Título Char"/>
    <w:basedOn w:val="757"/>
    <w:link w:val="89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6">
    <w:name w:val="Subtitle"/>
    <w:basedOn w:val="747"/>
    <w:next w:val="747"/>
    <w:link w:val="89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7" w:customStyle="1">
    <w:name w:val="Subtítulo Char"/>
    <w:basedOn w:val="757"/>
    <w:link w:val="89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8">
    <w:name w:val="Quote"/>
    <w:basedOn w:val="747"/>
    <w:next w:val="747"/>
    <w:link w:val="89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9" w:customStyle="1">
    <w:name w:val="Citação Char"/>
    <w:basedOn w:val="757"/>
    <w:link w:val="89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Intense Emphasis"/>
    <w:basedOn w:val="7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1">
    <w:name w:val="Intense Quote"/>
    <w:basedOn w:val="747"/>
    <w:next w:val="747"/>
    <w:link w:val="90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2" w:customStyle="1">
    <w:name w:val="Citação Intensa Char"/>
    <w:basedOn w:val="757"/>
    <w:link w:val="90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3">
    <w:name w:val="Intense Reference"/>
    <w:basedOn w:val="7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4">
    <w:name w:val="No Spacing"/>
    <w:basedOn w:val="747"/>
    <w:uiPriority w:val="1"/>
    <w:qFormat/>
    <w:pPr>
      <w:pBdr/>
      <w:spacing w:after="0" w:line="240" w:lineRule="auto"/>
      <w:ind/>
    </w:pPr>
  </w:style>
  <w:style w:type="character" w:styleId="905">
    <w:name w:val="Subtle Emphasis"/>
    <w:basedOn w:val="7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Emphasis"/>
    <w:basedOn w:val="757"/>
    <w:uiPriority w:val="20"/>
    <w:qFormat/>
    <w:pPr>
      <w:pBdr/>
      <w:spacing/>
      <w:ind/>
    </w:pPr>
    <w:rPr>
      <w:i/>
      <w:iCs/>
    </w:rPr>
  </w:style>
  <w:style w:type="character" w:styleId="907">
    <w:name w:val="Strong"/>
    <w:basedOn w:val="757"/>
    <w:uiPriority w:val="22"/>
    <w:qFormat/>
    <w:pPr>
      <w:pBdr/>
      <w:spacing/>
      <w:ind/>
    </w:pPr>
    <w:rPr>
      <w:b/>
      <w:bCs/>
    </w:rPr>
  </w:style>
  <w:style w:type="character" w:styleId="908">
    <w:name w:val="Subtle Reference"/>
    <w:basedOn w:val="7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9">
    <w:name w:val="Book Title"/>
    <w:basedOn w:val="75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0">
    <w:name w:val="Header"/>
    <w:basedOn w:val="747"/>
    <w:link w:val="91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1" w:customStyle="1">
    <w:name w:val="Cabeçalho Char"/>
    <w:basedOn w:val="757"/>
    <w:link w:val="910"/>
    <w:uiPriority w:val="99"/>
    <w:pPr>
      <w:pBdr/>
      <w:spacing/>
      <w:ind/>
    </w:pPr>
  </w:style>
  <w:style w:type="paragraph" w:styleId="912">
    <w:name w:val="Footer"/>
    <w:basedOn w:val="747"/>
    <w:link w:val="91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3" w:customStyle="1">
    <w:name w:val="Rodapé Char"/>
    <w:basedOn w:val="757"/>
    <w:link w:val="912"/>
    <w:uiPriority w:val="99"/>
    <w:pPr>
      <w:pBdr/>
      <w:spacing/>
      <w:ind/>
    </w:pPr>
  </w:style>
  <w:style w:type="paragraph" w:styleId="914">
    <w:name w:val="Caption"/>
    <w:basedOn w:val="747"/>
    <w:next w:val="7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5">
    <w:name w:val="footnote text"/>
    <w:basedOn w:val="747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 w:customStyle="1">
    <w:name w:val="Texto de nota de rodapé Char"/>
    <w:basedOn w:val="757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foot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paragraph" w:styleId="918">
    <w:name w:val="endnote text"/>
    <w:basedOn w:val="747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 w:customStyle="1">
    <w:name w:val="Texto de nota de fim Char"/>
    <w:basedOn w:val="757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endnote reference"/>
    <w:basedOn w:val="757"/>
    <w:uiPriority w:val="99"/>
    <w:semiHidden/>
    <w:unhideWhenUsed/>
    <w:pPr>
      <w:pBdr/>
      <w:spacing/>
      <w:ind/>
    </w:pPr>
    <w:rPr>
      <w:vertAlign w:val="superscript"/>
    </w:rPr>
  </w:style>
  <w:style w:type="character" w:styleId="921">
    <w:name w:val="Hyperlink"/>
    <w:basedOn w:val="757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22">
    <w:name w:val="FollowedHyperlink"/>
    <w:basedOn w:val="757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  <w:style w:type="paragraph" w:styleId="923">
    <w:name w:val="toc 1"/>
    <w:basedOn w:val="747"/>
    <w:next w:val="747"/>
    <w:uiPriority w:val="39"/>
    <w:unhideWhenUsed/>
    <w:pPr>
      <w:pBdr/>
      <w:spacing w:after="120" w:before="120"/>
      <w:ind/>
    </w:pPr>
    <w:rPr>
      <w:b/>
      <w:bCs/>
      <w:caps/>
      <w:sz w:val="20"/>
      <w:szCs w:val="20"/>
    </w:rPr>
  </w:style>
  <w:style w:type="paragraph" w:styleId="924">
    <w:name w:val="toc 2"/>
    <w:basedOn w:val="747"/>
    <w:next w:val="747"/>
    <w:uiPriority w:val="39"/>
    <w:unhideWhenUsed/>
    <w:pPr>
      <w:pBdr/>
      <w:spacing w:after="0"/>
      <w:ind w:left="240"/>
    </w:pPr>
    <w:rPr>
      <w:smallCaps/>
      <w:sz w:val="20"/>
      <w:szCs w:val="20"/>
    </w:rPr>
  </w:style>
  <w:style w:type="paragraph" w:styleId="925">
    <w:name w:val="toc 3"/>
    <w:basedOn w:val="747"/>
    <w:next w:val="747"/>
    <w:uiPriority w:val="39"/>
    <w:unhideWhenUsed/>
    <w:pPr>
      <w:pBdr/>
      <w:spacing w:after="0"/>
      <w:ind w:left="480"/>
    </w:pPr>
    <w:rPr>
      <w:i/>
      <w:iCs/>
      <w:sz w:val="20"/>
      <w:szCs w:val="20"/>
    </w:rPr>
  </w:style>
  <w:style w:type="paragraph" w:styleId="926">
    <w:name w:val="toc 4"/>
    <w:basedOn w:val="747"/>
    <w:next w:val="747"/>
    <w:uiPriority w:val="39"/>
    <w:unhideWhenUsed/>
    <w:pPr>
      <w:pBdr/>
      <w:spacing w:after="0"/>
      <w:ind w:left="720"/>
    </w:pPr>
    <w:rPr>
      <w:sz w:val="18"/>
      <w:szCs w:val="18"/>
    </w:rPr>
  </w:style>
  <w:style w:type="paragraph" w:styleId="927">
    <w:name w:val="toc 5"/>
    <w:basedOn w:val="747"/>
    <w:next w:val="747"/>
    <w:uiPriority w:val="39"/>
    <w:unhideWhenUsed/>
    <w:pPr>
      <w:pBdr/>
      <w:spacing w:after="0"/>
      <w:ind w:left="960"/>
    </w:pPr>
    <w:rPr>
      <w:sz w:val="18"/>
      <w:szCs w:val="18"/>
    </w:rPr>
  </w:style>
  <w:style w:type="paragraph" w:styleId="928">
    <w:name w:val="toc 6"/>
    <w:basedOn w:val="747"/>
    <w:next w:val="747"/>
    <w:uiPriority w:val="39"/>
    <w:unhideWhenUsed/>
    <w:pPr>
      <w:pBdr/>
      <w:spacing w:after="0"/>
      <w:ind w:left="1200"/>
    </w:pPr>
    <w:rPr>
      <w:sz w:val="18"/>
      <w:szCs w:val="18"/>
    </w:rPr>
  </w:style>
  <w:style w:type="paragraph" w:styleId="929">
    <w:name w:val="toc 7"/>
    <w:basedOn w:val="747"/>
    <w:next w:val="747"/>
    <w:uiPriority w:val="39"/>
    <w:unhideWhenUsed/>
    <w:pPr>
      <w:pBdr/>
      <w:spacing w:after="0"/>
      <w:ind w:left="1440"/>
    </w:pPr>
    <w:rPr>
      <w:sz w:val="18"/>
      <w:szCs w:val="18"/>
    </w:rPr>
  </w:style>
  <w:style w:type="paragraph" w:styleId="930">
    <w:name w:val="toc 8"/>
    <w:basedOn w:val="747"/>
    <w:next w:val="747"/>
    <w:uiPriority w:val="39"/>
    <w:unhideWhenUsed/>
    <w:pPr>
      <w:pBdr/>
      <w:spacing w:after="0"/>
      <w:ind w:left="1680"/>
    </w:pPr>
    <w:rPr>
      <w:sz w:val="18"/>
      <w:szCs w:val="18"/>
    </w:rPr>
  </w:style>
  <w:style w:type="paragraph" w:styleId="931">
    <w:name w:val="toc 9"/>
    <w:basedOn w:val="747"/>
    <w:next w:val="747"/>
    <w:uiPriority w:val="39"/>
    <w:unhideWhenUsed/>
    <w:pPr>
      <w:pBdr/>
      <w:spacing w:after="0"/>
      <w:ind w:left="1920"/>
    </w:pPr>
    <w:rPr>
      <w:sz w:val="18"/>
      <w:szCs w:val="18"/>
    </w:rPr>
  </w:style>
  <w:style w:type="paragraph" w:styleId="932">
    <w:name w:val="TOC Heading"/>
    <w:uiPriority w:val="39"/>
    <w:unhideWhenUsed/>
    <w:qFormat/>
    <w:pPr>
      <w:pBdr/>
      <w:spacing/>
      <w:ind/>
    </w:pPr>
  </w:style>
  <w:style w:type="paragraph" w:styleId="933">
    <w:name w:val="table of figures"/>
    <w:basedOn w:val="747"/>
    <w:next w:val="747"/>
    <w:uiPriority w:val="99"/>
    <w:unhideWhenUsed/>
    <w:pPr>
      <w:pBdr/>
      <w:spacing w:after="0"/>
      <w:ind/>
    </w:pPr>
  </w:style>
  <w:style w:type="paragraph" w:styleId="934">
    <w:name w:val="List Paragraph"/>
    <w:basedOn w:val="747"/>
    <w:uiPriority w:val="34"/>
    <w:qFormat/>
    <w:pPr>
      <w:pBdr/>
      <w:spacing/>
      <w:ind w:left="720"/>
      <w:contextualSpacing w:val="true"/>
    </w:pPr>
  </w:style>
  <w:style w:type="table" w:styleId="935">
    <w:name w:val="Table Grid"/>
    <w:basedOn w:val="758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Accent 1"/>
    <w:basedOn w:val="758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5b0e1" w:themeColor="accent1" w:themeTint="99" w:sz="2" w:space="0"/>
        <w:bottom w:val="single" w:color="45b0e1" w:themeColor="accent1" w:themeTint="99" w:sz="2" w:space="0"/>
        <w:insideH w:val="single" w:color="45b0e1" w:themeColor="accent1" w:themeTint="99" w:sz="2" w:space="0"/>
        <w:insideV w:val="single" w:color="45b0e1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45b0e1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5b0e1" w:themeColor="accen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7">
    <w:name w:val="Normal (Web)"/>
    <w:basedOn w:val="747"/>
    <w:uiPriority w:val="99"/>
    <w:semiHidden/>
    <w:unhideWhenUsed/>
    <w:pPr>
      <w:pBdr/>
      <w:spacing/>
      <w:ind/>
    </w:pPr>
    <w:rPr>
      <w:rFonts w:ascii="Times New Roman" w:hAnsi="Times New Roman" w:cs="Times New Roman"/>
    </w:rPr>
  </w:style>
  <w:style w:type="paragraph" w:styleId="938" w:customStyle="1">
    <w:name w:val="Estilo 1"/>
    <w:basedOn w:val="747"/>
    <w:link w:val="940"/>
    <w:qFormat/>
    <w:pPr>
      <w:pBdr/>
      <w:spacing/>
      <w:ind/>
      <w:jc w:val="both"/>
    </w:pPr>
    <w:rPr>
      <w:rFonts w:ascii="Arial" w:hAnsi="Arial" w:eastAsia="Aptos" w:cs="Arial"/>
      <w:b/>
      <w:bCs/>
      <w:color w:val="000000" w:themeColor="text1"/>
      <w:sz w:val="32"/>
      <w:szCs w:val="32"/>
      <w:u w:val="single"/>
    </w:rPr>
  </w:style>
  <w:style w:type="paragraph" w:styleId="939" w:customStyle="1">
    <w:name w:val="Estilo 2"/>
    <w:basedOn w:val="938"/>
    <w:link w:val="941"/>
    <w:qFormat/>
    <w:pPr>
      <w:pBdr/>
      <w:spacing/>
      <w:ind/>
    </w:pPr>
    <w:rPr>
      <w:sz w:val="28"/>
      <w:u w:val="none"/>
    </w:rPr>
  </w:style>
  <w:style w:type="character" w:styleId="940" w:customStyle="1">
    <w:name w:val="Estilo 1 Char"/>
    <w:basedOn w:val="757"/>
    <w:link w:val="938"/>
    <w:pPr>
      <w:pBdr/>
      <w:spacing/>
      <w:ind/>
    </w:pPr>
    <w:rPr>
      <w:rFonts w:ascii="Arial" w:hAnsi="Arial" w:eastAsia="Aptos" w:cs="Arial"/>
      <w:b/>
      <w:bCs/>
      <w:color w:val="000000" w:themeColor="text1"/>
      <w:sz w:val="32"/>
      <w:szCs w:val="32"/>
      <w:u w:val="single"/>
    </w:rPr>
  </w:style>
  <w:style w:type="character" w:styleId="941" w:customStyle="1">
    <w:name w:val="Estilo 2 Char"/>
    <w:basedOn w:val="940"/>
    <w:link w:val="939"/>
    <w:pPr>
      <w:pBdr/>
      <w:spacing/>
      <w:ind/>
    </w:pPr>
    <w:rPr>
      <w:rFonts w:ascii="Arial" w:hAnsi="Arial" w:eastAsia="Aptos" w:cs="Arial"/>
      <w:b/>
      <w:bCs/>
      <w:color w:val="000000" w:themeColor="text1"/>
      <w:sz w:val="28"/>
      <w:szCs w:val="32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semil.sp.gov.br/2021/06/governo-de-sao-paulo-investe-mais-de-r-7-milhoes-para-combater-incendios-florestais/#:~:text=O Governo do Estado de,ser investido em %C3%A1reas protegidas." TargetMode="External"/><Relationship Id="rId14" Type="http://schemas.openxmlformats.org/officeDocument/2006/relationships/hyperlink" Target="https://www.cnnbrasil.com.br/politica/custo-das-forcas-de-seguranca-para-combate-a-incendios-aumenta-400/#:~:text=Segundo o comunicado%2C o valor,Manoel Carlos de Almeida Neto.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935A-1109-4105-BFBB-FBE224BC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dc:description/>
  <cp:revision>6</cp:revision>
  <dcterms:created xsi:type="dcterms:W3CDTF">2025-04-21T20:29:00Z</dcterms:created>
  <dcterms:modified xsi:type="dcterms:W3CDTF">2025-05-08T00:08:58Z</dcterms:modified>
</cp:coreProperties>
</file>