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44"/>
          <w:szCs w:val="44"/>
        </w:rPr>
        <w:t xml:space="preserve">CASE STUDY</w:t>
      </w:r>
    </w:p>
    <w:p>
      <w:pPr>
        <w:spacing w:after="40"/>
      </w:pPr>
      <w:r>
        <w:rPr>
          <w:color w:val="555555"/>
          <w:sz w:val="26"/>
          <w:szCs w:val="26"/>
        </w:rPr>
        <w:t xml:space="preserve">EDA Cuantitativo BTC/ETH — Pipeline de análisis de retornos y regímenes de mercado</w:t>
      </w:r>
    </w:p>
    <w:p>
      <w:pPr>
        <w:spacing w:after="400"/>
      </w:pPr>
      <w:r>
        <w:rPr>
          <w:i/>
          <w:iCs/>
          <w:color w:val="888888"/>
          <w:sz w:val="20"/>
          <w:szCs w:val="20"/>
        </w:rPr>
        <w:t xml:space="preserve">Portfolio técnico · Personal OS · Agosto 2026</w:t>
      </w:r>
    </w:p>
    <w:p>
      <w:pPr>
        <w:pStyle w:val="Heading1"/>
        <w:spacing w:after="150" w:before="300"/>
      </w:pPr>
      <w:r>
        <w:t xml:space="preserve">Resumen ejecutivo</w:t>
      </w:r>
    </w:p>
    <w:p>
      <w:pPr>
        <w:spacing w:after="120"/>
      </w:pPr>
      <w:r>
        <w:t xml:space="preserve">Este case study documenta un pipeline de análisis exploratorio de datos (EDA) cuantitativo aplicado a las series históricas de precios de Bitcoin (BTC) y Ethereum (ETH). El objetivo fue construir una base analítica sólida — retornos, volatilidad, autocorrelación y regímenes de mercado — que alimenta tanto las decisiones de trading manual como el monitor automático de ETH integrado en n8n.</w:t>
      </w:r>
    </w:p>
    <w:p>
      <w:pPr>
        <w:spacing w:after="120"/>
      </w:pPr>
      <w:r>
        <w:t xml:space="preserve">El pipeline combina Python (pandas, numpy, statsmodels, matplotlib) para el análisis estadístico con la interpretación asistida por Claude para traducir los resultados cuantitativos en señales operativas legibles.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Objetivo del análisis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Caracterizar el comportamiento estadístico de BTC y ETH: distribución de retornos, volatilidad histórica y agrupamiento de volatilidad (volatility clustering).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Detectar autocorrelación en retornos diarios para evaluar si hay señal explotable de corto plazo o si el mercado se comporta como un random walk.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Identificar regímenes de mercado (alcista / bajista / lateral) de forma cuantitativa, no subjetiva.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Generar inputs objetivos para calibrar los parámetros de la estrategia de trading (stop loss, take profit, tamaño de posición).</w:t>
      </w:r>
    </w:p>
    <w:p>
      <w:pPr>
        <w:spacing w:after="100"/>
      </w:pPr>
    </w:p>
    <w:p>
      <w:pPr>
        <w:pStyle w:val="Heading1"/>
        <w:spacing w:after="150" w:before="300"/>
      </w:pPr>
      <w:r>
        <w:t xml:space="preserve">Los 8 análisis del pipeline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700"/>
        <w:gridCol w:w="3600"/>
      </w:tblGrid>
      <w:tr>
        <w:tc>
          <w:tcPr>
            <w:tcW w:type="dxa" w:w="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47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Análisis</w:t>
            </w:r>
          </w:p>
        </w:tc>
        <w:tc>
          <w:tcPr>
            <w:tcW w:type="dxa" w:w="3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Qué responde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Retornos diarios y logarítmicos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¿Cuál es la distribución de retornos? ¿Hay colas pesadas (fat tails)?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Volatilidad histórica (rolling std)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¿Cómo varía el riesgo en el tiempo? ¿Hay clustering de volatilidad?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Autocorrelación de retornos (ACF/PACF)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¿El retorno de hoy predice el de mañana, o es ruido?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Drawdown histórico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¿Cuál fue la caída máxima desde el ATH y cuánto tardó en recuperarse?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Correlación BTC–ETH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¿Se mueven juntos? ¿La correlación cambia en crisis?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Regímenes de mercado (medias móviles + volatilidad)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¿En qué régimen está el activo hoy: tendencia o rango?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Distribución de volumen vs. precio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¿El volumen confirma los movimientos de precio o los desmiente?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Backtesting simple de reglas de entrada/salida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¿Las reglas de stop loss / take profit calibradas tienen sentido histórico?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Stack técnico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Herramienta</w:t>
            </w:r>
          </w:p>
        </w:tc>
        <w:tc>
          <w:tcPr>
            <w:tcW w:type="dxa" w:w="5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Uso en el pipeline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 3 + pandas / numpy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Carga, limpieza y transformación de series de precios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statsmodels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Autocorrelación (ACF/PACF), tests de estacionariedad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matplotlib / seaborn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Visualización de distribuciones, drawdowns y regímenes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CoinGecko API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Fuente de datos históricos de precio y volumen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API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Interpretación de resultados y generación de reportes en lenguaje natural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Jupyter Notebook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Entorno de desarrollo y documentación del análisis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Hallazgos clave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retornos diarios de ETH muestran colas más pesadas que una distribución normal — los movimientos extremos (&gt;5% en un día) son más frecuentes de lo que sugeriría un modelo gaussiano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Existe volatility clustering claro: períodos de alta volatilidad tienden a agruparse, lo que justifica ajustar el tamaño de posición según el régimen de volatilidad reciente y no usar un tamaño fijo.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autocorrelación de retornos diarios es débil pero no nula en horizontes cortos, lo que es consistente con mercados eficientes pero deja margen para señales combinadas (precio + sentimiento + on-chain).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drawdowns desde ATH históricos superan el 60% en los ciclos bajistas de ETH — esto informó directamente el umbral de "zona de recuperación estructural" usado en los reportes del monitor diario.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correlación BTC–ETH es alta en general pero se estrecha aún más durante caídas fuertes del mercado, confirmando que la diversificación entre ambos activos no reduce el riesgo sistémico en crisis.</w:t>
      </w:r>
    </w:p>
    <w:p>
      <w:pPr>
        <w:spacing w:after="200"/>
      </w:pPr>
    </w:p>
    <w:p>
      <w:pPr>
        <w:pStyle w:val="Heading1"/>
        <w:spacing w:after="150" w:before="300"/>
      </w:pPr>
      <w:r>
        <w:t xml:space="preserve">De la investigación al sistema en producción</w:t>
      </w:r>
    </w:p>
    <w:p>
      <w:pPr>
        <w:spacing w:after="120"/>
      </w:pPr>
      <w:r>
        <w:t xml:space="preserve">Los resultados de este EDA no quedaron en el notebook: se tradujeron directamente en reglas operativas del sistema.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Hallazgo del EDA</w:t>
            </w:r>
          </w:p>
        </w:tc>
        <w:tc>
          <w:tcPr>
            <w:tcW w:type="dxa" w:w="5400"/>
            <w:shd w:fill="E8E8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Aplicación en el sistema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Volatility clustering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Tamaño de posición máximo fijo en 40% del capital, con reserva intocable del resto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Drawdowns severos e infrecuentes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Stop loss fijo en -10%, sin promediar en pérdida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Colas pesadas en retornos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Take profit escalonado (+8% vende 50%, +15% vende 80%) para capturar movimientos extremos sin devolver ganancia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Regímenes de mercado detectables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Señal semafórica (verde/amarillo/rojo) en el reporte diario de n8n, alimentada por el análisis de régimen</w:t>
            </w:r>
          </w:p>
        </w:tc>
      </w:tr>
      <w:tr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Correlación BTC–ETH en crisis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Monitoreo conjunto de ambos activos en el radar de noticias y alertas condicionales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Próximos pasos del análisis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Incorporar el Fear &amp; Greed Index como variable explicativa adicional en el modelo de régimen.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Correr el motor bayesiano del panel de operaciones sobre datos históricos simulados para validar las probabilidades condicionales antes de operar con capital real.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Extender el pipeline a un backtest más riguroso con walk-forward validation una vez que haya suficiente historial real de operaciones.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Nota sobre uso</w:t>
            </w:r>
          </w:p>
          <w:p>
            <w:r>
              <w:t xml:space="preserve">Este análisis es informativo y cuantitativo. No constituye asesoramiento financiero ni recomendación de inversión. Los parámetros derivados (stop loss, take profit, tamaño de posición) están documentados en detalle en estrategia-eth-capital-real.docx.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2026-08-04T22:59:06.595Z</dcterms:created>
  <dcterms:modified xsi:type="dcterms:W3CDTF">2026-08-04T22:59:06.595Z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