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4"/>
          <w:szCs w:val="44"/>
        </w:rPr>
        <w:t xml:space="preserve">ESTRATEGIA ETH</w:t>
      </w:r>
    </w:p>
    <w:p>
      <w:pPr>
        <w:spacing w:after="40"/>
      </w:pPr>
      <w:r>
        <w:rPr>
          <w:color w:val="555555"/>
          <w:sz w:val="26"/>
          <w:szCs w:val="26"/>
        </w:rPr>
        <w:t xml:space="preserve">Capital real — Parámetros de trading calibrados</w:t>
      </w:r>
    </w:p>
    <w:p>
      <w:pPr>
        <w:spacing w:after="400"/>
      </w:pPr>
      <w:r>
        <w:rPr>
          <w:i/>
          <w:iCs/>
          <w:color w:val="888888"/>
          <w:sz w:val="20"/>
          <w:szCs w:val="20"/>
        </w:rPr>
        <w:t xml:space="preserve">Personal OS · Agosto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EFE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⚠️ Aviso</w:t>
            </w:r>
          </w:p>
          <w:p>
            <w:r>
              <w:t xml:space="preserve">Este documento describe parámetros operativos personales. No constituye asesoramiento financiero ni recomendación de inversión. Cripto es un activo de alta volatilidad — solo se opera capital que el operador puede permitirse perder.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1. Situación de capital actual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600"/>
        <w:gridCol w:w="3500"/>
      </w:tblGrid>
      <w:tr>
        <w:tc>
          <w:tcPr>
            <w:tcW w:type="dxa" w:w="33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Posición</w:t>
            </w:r>
          </w:p>
        </w:tc>
        <w:tc>
          <w:tcPr>
            <w:tcW w:type="dxa" w:w="26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Cantidad</w:t>
            </w:r>
          </w:p>
        </w:tc>
        <w:tc>
          <w:tcPr>
            <w:tcW w:type="dxa" w:w="35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Función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Colateral en Aave (Polygon)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 ETH (~$11.160)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Respaldo de préstamo — no se toca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Deuda en Aave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$3.700 USDC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Préstamo activo contra el colateral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Reserva de largo plazo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ETH (~$1.860)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Hold — no se opera, compounding pasivo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Capital operativo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$700 USDC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Único capital destinado a trading activo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Monitoreo de la posición en Aave</w:t>
      </w:r>
    </w:p>
    <w:p>
      <w:pPr>
        <w:spacing w:after="120"/>
      </w:pPr>
      <w:r>
        <w:t xml:space="preserve">La posición en Aave es la base del sistema y su seguridad tiene prioridad sobre cualquier operación de trading. Se monitorea de forma diaria a través del flujo de n8n.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2200"/>
        <w:gridCol w:w="2700"/>
      </w:tblGrid>
      <w:tr>
        <w:tc>
          <w:tcPr>
            <w:tcW w:type="dxa" w:w="24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Métrica</w:t>
            </w:r>
          </w:p>
        </w:tc>
        <w:tc>
          <w:tcPr>
            <w:tcW w:type="dxa" w:w="21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Valor actual</w:t>
            </w:r>
          </w:p>
        </w:tc>
        <w:tc>
          <w:tcPr>
            <w:tcW w:type="dxa" w:w="22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Umbral de alerta</w:t>
            </w:r>
          </w:p>
        </w:tc>
        <w:tc>
          <w:tcPr>
            <w:tcW w:type="dxa" w:w="27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Acción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Health Factor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~2.8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HF &lt; 1.5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Pagar deuda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Precio de liquidación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$650/ETH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ETH &lt; $800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Desapalancar</w:t>
            </w:r>
          </w:p>
        </w:tc>
      </w:tr>
    </w:tbl>
    <w:p>
      <w:pPr>
        <w:spacing w:after="120"/>
      </w:pPr>
      <w:r>
        <w:t xml:space="preserve">El precio de liquidación implica que ETH debería caer más de un 65% desde el nivel actual para poner en riesgo el colateral — un escenario extremo pero no descartable en el ciclo actual, por lo que el health factor se revisa en cada reporte diario.</w:t>
      </w:r>
    </w:p>
    <w:p>
      <w:pPr>
        <w:spacing w:after="200"/>
      </w:pPr>
    </w:p>
    <w:p>
      <w:pPr>
        <w:pStyle w:val="Heading1"/>
        <w:spacing w:after="150" w:before="300"/>
      </w:pPr>
      <w:r>
        <w:t xml:space="preserve">3. Objetivos de la estrategia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Objetivo primario: acumular USD operando activamente el capital de $700 USDC en Binance spot, par ETH/USDT.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Objetivo secundario: reinvertir el 50% de las ganancias realizadas en ETH, para acumular más posición de largo plazo vía compounding gradual.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Horizonte de la reserva de 1 ETH: largo plazo, no se opera bajo ninguna circunstancia salvo emergencia documentada y aprobada explícitamente.</w:t>
      </w:r>
    </w:p>
    <w:p>
      <w:pPr>
        <w:spacing w:after="200"/>
      </w:pPr>
    </w:p>
    <w:p>
      <w:pPr>
        <w:pStyle w:val="Heading1"/>
        <w:spacing w:after="150" w:before="300"/>
      </w:pPr>
      <w:r>
        <w:t xml:space="preserve">4. Parámetros de gestión de riesgo — reglas fijas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400"/>
      </w:tblGrid>
      <w:tr>
        <w:tc>
          <w:tcPr>
            <w:tcW w:type="dxa" w:w="28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Parámetro</w:t>
            </w:r>
          </w:p>
        </w:tc>
        <w:tc>
          <w:tcPr>
            <w:tcW w:type="dxa" w:w="32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  <w:tc>
          <w:tcPr>
            <w:tcW w:type="dxa" w:w="34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Justificación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Máximo por operación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$200 USDC (40% del capital)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Nunca más, sin excepción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Reserva fija intocable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$200 USDC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Siempre disponible, no se usa para operar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Stop loss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-10% sobre precio de entrada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 ejecuta sin dudar, no se promedia en pérdida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Take profit normal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+8% → vender 50%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 mantiene el resto por si el movimiento continúa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Take profit fuerte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+15% → vender 80%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Solo se mantiene un 20% de la posición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Reinversión de ganancias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50% USD / 50% ETH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Compounding gradual hacia la reserva de largo plazo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Fases de implementación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400"/>
      </w:tblGrid>
      <w:tr>
        <w:tc>
          <w:tcPr>
            <w:tcW w:type="dxa" w:w="30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20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Cuándo</w:t>
            </w:r>
          </w:p>
        </w:tc>
        <w:tc>
          <w:tcPr>
            <w:tcW w:type="dxa" w:w="44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Qué implica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Fase 1 — Paper trading manual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Semanas 1–2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 opera con el panel bayesiano sin ejecutar órdenes reales, para calibrar la lectura de señales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Fase 2 — Testnet conectado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Semana 3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Binance Testnet API conectado a n8n; el registro de operaciones se automatiza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Fase 3 — Capital real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Mes 2 en adelante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 empieza con $50–100 USDT y se escala gradualmente según resultados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El loop operativo diario</w:t>
      </w:r>
    </w:p>
    <w:p>
      <w:pPr>
        <w:spacing w:after="100"/>
      </w:pPr>
      <w:r>
        <w:rPr>
          <w:b/>
          <w:bCs/>
        </w:rPr>
        <w:t xml:space="preserve">1.  </w:t>
      </w:r>
      <w:r>
        <w:t xml:space="preserve">8AM — llega el reporte al mail con señal + Fear &amp; Greed + noticias + historial bayesiano.</w:t>
      </w:r>
    </w:p>
    <w:p>
      <w:pPr>
        <w:spacing w:after="100"/>
      </w:pPr>
      <w:r>
        <w:rPr>
          <w:b/>
          <w:bCs/>
        </w:rPr>
        <w:t xml:space="preserve">2.  </w:t>
      </w:r>
      <w:r>
        <w:t xml:space="preserve">El operador decide si operar (2–5 min), combinando el reporte con su propio criterio.</w:t>
      </w:r>
    </w:p>
    <w:p>
      <w:pPr>
        <w:spacing w:after="100"/>
      </w:pPr>
      <w:r>
        <w:rPr>
          <w:b/>
          <w:bCs/>
        </w:rPr>
        <w:t xml:space="preserve">3.  </w:t>
      </w:r>
      <w:r>
        <w:t xml:space="preserve">Se ejecuta en Binance desde el celular — orden limit en el par ETH/USDT.</w:t>
      </w:r>
    </w:p>
    <w:p>
      <w:pPr>
        <w:spacing w:after="100"/>
      </w:pPr>
      <w:r>
        <w:rPr>
          <w:b/>
          <w:bCs/>
        </w:rPr>
        <w:t xml:space="preserve">4.  </w:t>
      </w:r>
      <w:r>
        <w:t xml:space="preserve">El monitor diario avisa cuando se llega al take profit o al stop loss.</w:t>
      </w:r>
    </w:p>
    <w:p>
      <w:pPr>
        <w:spacing w:after="100"/>
      </w:pPr>
      <w:r>
        <w:rPr>
          <w:b/>
          <w:bCs/>
        </w:rPr>
        <w:t xml:space="preserve">5.  </w:t>
      </w:r>
      <w:r>
        <w:t xml:space="preserve">Se carga la operación en el panel bayesiano (2 min): precio, señal, Fear &amp; Greed, resultado, notas.</w:t>
      </w:r>
    </w:p>
    <w:p>
      <w:pPr>
        <w:spacing w:after="100"/>
      </w:pPr>
      <w:r>
        <w:rPr>
          <w:b/>
          <w:bCs/>
        </w:rPr>
        <w:t xml:space="preserve">6.  </w:t>
      </w:r>
      <w:r>
        <w:t xml:space="preserve">El sistema recalcula automáticamente las probabilidades bayesianas del historial.</w:t>
      </w:r>
    </w:p>
    <w:p>
      <w:pPr>
        <w:spacing w:after="200"/>
      </w:pPr>
      <w:r>
        <w:rPr>
          <w:b/>
          <w:bCs/>
        </w:rPr>
        <w:t xml:space="preserve">7.  </w:t>
      </w:r>
      <w:r>
        <w:t xml:space="preserve">Se vuelve al paso 1 — el próximo reporte ya incluye el historial actualizado.</w:t>
      </w:r>
    </w:p>
    <w:p>
      <w:pPr>
        <w:pStyle w:val="Heading1"/>
        <w:spacing w:after="150" w:before="300"/>
      </w:pPr>
      <w:r>
        <w:t xml:space="preserve">7. Reglas de oro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✓ Regla de oro del sistema</w:t>
            </w:r>
          </w:p>
          <w:p>
            <w:r>
              <w:t xml:space="preserve">Claude nunca ejecuta órdenes de trading sin confirmación explícita del operador. El sistema propone (señal, análisis, contexto); el operador decide y ejecuta manualmente desde Binance.</w:t>
            </w:r>
          </w:p>
        </w:tc>
      </w:tr>
    </w:tbl>
    <w:p>
      <w:pPr>
        <w:spacing w:after="15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El stop loss se ejecuta sin excepción — no se promedia en pérdida esperando una recuperación.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Nunca se excede el 40% del capital operativo en una sola posición.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reserva de $200 USDC no se toca bajo ningún escenario de "oportunidad única".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 operación se registra en el panel bayesiano, gane o pierda — el historial completo es lo que hace confiable la señal futura.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2026-08-04T22:59:48.064Z</dcterms:created>
  <dcterms:modified xsi:type="dcterms:W3CDTF">2026-08-04T22:59:48.065Z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