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A3D3" w14:textId="1512B6E2" w:rsidR="001F7A9F" w:rsidRPr="001F7A9F" w:rsidRDefault="001F7A9F" w:rsidP="001F7A9F">
      <w:pPr>
        <w:pStyle w:val="Ttulo2"/>
        <w:jc w:val="center"/>
        <w:rPr>
          <w:b/>
          <w:bCs/>
        </w:rPr>
      </w:pPr>
      <w:r w:rsidRPr="001F7A9F">
        <w:rPr>
          <w:b/>
          <w:bCs/>
        </w:rPr>
        <w:t>Agotamiento de Recursos y Ataques de Denegación de Servicio (DoS)</w:t>
      </w:r>
    </w:p>
    <w:p w14:paraId="7A82E455" w14:textId="0F8E2B9D" w:rsidR="005320D8" w:rsidRDefault="001F7A9F">
      <w:r w:rsidRPr="001F7A9F">
        <w:t>Uno de los beneficios de aprovechar los servicios en la nube es la arquitectura distribuida y resistente que ofrecen la mayoría de los proveedores líderes en la nube. Esta arquitectura ayuda a minimizar el impacto de un ataque de DoS o de denegación de servicio distribuido (</w:t>
      </w:r>
      <w:proofErr w:type="spellStart"/>
      <w:r w:rsidRPr="001F7A9F">
        <w:t>DDoS</w:t>
      </w:r>
      <w:proofErr w:type="spellEnd"/>
      <w:r w:rsidRPr="001F7A9F">
        <w:t>) en comparación con lo que sería si alojara la aplicación en las instalaciones del centro de datos. Por otro lado, en los últimos años, el volumen de bits por segundo (bps), paquetes por segundo (pps) y solicitudes HTTP(s) por segundo (</w:t>
      </w:r>
      <w:proofErr w:type="spellStart"/>
      <w:r w:rsidRPr="001F7A9F">
        <w:t>rps</w:t>
      </w:r>
      <w:proofErr w:type="spellEnd"/>
      <w:r w:rsidRPr="001F7A9F">
        <w:t xml:space="preserve">) han aumentado significativamente. A menudo, los atacantes utilizan </w:t>
      </w:r>
      <w:proofErr w:type="spellStart"/>
      <w:r w:rsidRPr="001F7A9F">
        <w:t>botnets</w:t>
      </w:r>
      <w:proofErr w:type="spellEnd"/>
      <w:r w:rsidRPr="001F7A9F">
        <w:t xml:space="preserve"> de numerosas computadoras portátiles y sistemas de escritorio comprometidos y ponen en riesgo los sistemas móviles, de </w:t>
      </w:r>
      <w:proofErr w:type="spellStart"/>
      <w:r w:rsidRPr="001F7A9F">
        <w:t>IdC</w:t>
      </w:r>
      <w:proofErr w:type="spellEnd"/>
      <w:r w:rsidRPr="001F7A9F">
        <w:t xml:space="preserve"> y basados en la nube para lanzar estos ataques. </w:t>
      </w:r>
      <w:r w:rsidRPr="001F7A9F">
        <w:rPr>
          <w:highlight w:val="yellow"/>
        </w:rPr>
        <w:t xml:space="preserve">La Figura ilustra las métricas clave utilizadas para identificar los ataques de </w:t>
      </w:r>
      <w:proofErr w:type="spellStart"/>
      <w:r w:rsidRPr="001F7A9F">
        <w:rPr>
          <w:highlight w:val="yellow"/>
        </w:rPr>
        <w:t>DDoS</w:t>
      </w:r>
      <w:proofErr w:type="spellEnd"/>
      <w:r w:rsidRPr="001F7A9F">
        <w:rPr>
          <w:highlight w:val="yellow"/>
        </w:rPr>
        <w:t xml:space="preserve"> volumétricos.</w:t>
      </w:r>
    </w:p>
    <w:p w14:paraId="6A271C1E" w14:textId="20219E19" w:rsidR="001F7A9F" w:rsidRDefault="001F7A9F">
      <w:r>
        <w:rPr>
          <w:noProof/>
        </w:rPr>
        <w:drawing>
          <wp:anchor distT="0" distB="0" distL="114300" distR="114300" simplePos="0" relativeHeight="251658240" behindDoc="0" locked="0" layoutInCell="1" allowOverlap="1" wp14:anchorId="44BAE4FF" wp14:editId="0C622597">
            <wp:simplePos x="0" y="0"/>
            <wp:positionH relativeFrom="column">
              <wp:posOffset>-287655</wp:posOffset>
            </wp:positionH>
            <wp:positionV relativeFrom="paragraph">
              <wp:posOffset>6350</wp:posOffset>
            </wp:positionV>
            <wp:extent cx="6240780" cy="2265045"/>
            <wp:effectExtent l="0" t="0" r="7620" b="1905"/>
            <wp:wrapNone/>
            <wp:docPr id="175331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11000" name=""/>
                    <pic:cNvPicPr/>
                  </pic:nvPicPr>
                  <pic:blipFill>
                    <a:blip r:embed="rId4">
                      <a:extLst>
                        <a:ext uri="{28A0092B-C50C-407E-A947-70E740481C1C}">
                          <a14:useLocalDpi xmlns:a14="http://schemas.microsoft.com/office/drawing/2010/main" val="0"/>
                        </a:ext>
                      </a:extLst>
                    </a:blip>
                    <a:stretch>
                      <a:fillRect/>
                    </a:stretch>
                  </pic:blipFill>
                  <pic:spPr>
                    <a:xfrm>
                      <a:off x="0" y="0"/>
                      <a:ext cx="6240780" cy="2265045"/>
                    </a:xfrm>
                    <a:prstGeom prst="rect">
                      <a:avLst/>
                    </a:prstGeom>
                  </pic:spPr>
                </pic:pic>
              </a:graphicData>
            </a:graphic>
            <wp14:sizeRelH relativeFrom="page">
              <wp14:pctWidth>0</wp14:pctWidth>
            </wp14:sizeRelH>
            <wp14:sizeRelV relativeFrom="page">
              <wp14:pctHeight>0</wp14:pctHeight>
            </wp14:sizeRelV>
          </wp:anchor>
        </w:drawing>
      </w:r>
    </w:p>
    <w:p w14:paraId="1B88EE24" w14:textId="77777777" w:rsidR="001F7A9F" w:rsidRDefault="001F7A9F"/>
    <w:p w14:paraId="78FBE286" w14:textId="77777777" w:rsidR="001F7A9F" w:rsidRDefault="001F7A9F"/>
    <w:p w14:paraId="00EF06B9" w14:textId="77777777" w:rsidR="001F7A9F" w:rsidRDefault="001F7A9F"/>
    <w:p w14:paraId="280EA532" w14:textId="77777777" w:rsidR="001F7A9F" w:rsidRDefault="001F7A9F"/>
    <w:p w14:paraId="50D7EAD1" w14:textId="77777777" w:rsidR="001F7A9F" w:rsidRDefault="001F7A9F"/>
    <w:p w14:paraId="7FF788D6" w14:textId="77777777" w:rsidR="001F7A9F" w:rsidRDefault="001F7A9F"/>
    <w:p w14:paraId="5C95C220" w14:textId="77777777" w:rsidR="001F7A9F" w:rsidRDefault="001F7A9F"/>
    <w:p w14:paraId="0F4AC49A" w14:textId="77777777" w:rsidR="001F7A9F" w:rsidRDefault="001F7A9F"/>
    <w:p w14:paraId="3A6C891C" w14:textId="1F45FFB2" w:rsidR="001F7A9F" w:rsidRDefault="001F7A9F">
      <w:r w:rsidRPr="001F7A9F">
        <w:t>Sin embargo, los atacantes pueden lanzar ataques de DoS más estratégicos contra aplicaciones alojadas en la nube que podrían conducir al </w:t>
      </w:r>
      <w:r w:rsidRPr="001F7A9F">
        <w:rPr>
          <w:i/>
          <w:iCs/>
        </w:rPr>
        <w:t>agotamiento de los recursos</w:t>
      </w:r>
      <w:r w:rsidRPr="001F7A9F">
        <w:t>. Por ejemplo, pueden aprovechar una vulnerabilidad de DoS de un solo paquete en equipos de red utilizados en entornos de nube o pueden aprovechar herramientas para generar paquetes diseñados para hacer que una aplicación se bloquee. Por ejemplo, puede buscar en la Base de Datos de Exploits (exploit-db.com) exploits que puedan utilizarse para aprovechar vulnerabilidades de “denegación de servicio”, donde un atacante podría enviar algunos paquetes y bloquear una aplicación o todo el sistema operativo. El ejemplo</w:t>
      </w:r>
      <w:r>
        <w:t xml:space="preserve"> </w:t>
      </w:r>
      <w:r w:rsidRPr="001F7A9F">
        <w:t>muestra cómo buscar exploits con la herramienta </w:t>
      </w:r>
      <w:r w:rsidRPr="001F7A9F">
        <w:rPr>
          <w:b/>
          <w:bCs/>
        </w:rPr>
        <w:t>searchsploit</w:t>
      </w:r>
      <w:r w:rsidRPr="001F7A9F">
        <w:t>.</w:t>
      </w:r>
    </w:p>
    <w:p w14:paraId="6A8A83F1" w14:textId="77777777" w:rsidR="001F7A9F" w:rsidRDefault="001F7A9F">
      <w:pPr>
        <w:rPr>
          <w:i/>
          <w:iCs/>
        </w:rPr>
      </w:pPr>
    </w:p>
    <w:p w14:paraId="51533A26" w14:textId="28FC1A52" w:rsidR="001F7A9F" w:rsidRDefault="001F7A9F">
      <w:pPr>
        <w:rPr>
          <w:i/>
          <w:iCs/>
        </w:rPr>
      </w:pPr>
      <w:r w:rsidRPr="001F7A9F">
        <w:rPr>
          <w:i/>
          <w:iCs/>
        </w:rPr>
        <w:t>Uso de</w:t>
      </w:r>
      <w:r w:rsidRPr="001F7A9F">
        <w:t> </w:t>
      </w:r>
      <w:r w:rsidRPr="001F7A9F">
        <w:rPr>
          <w:b/>
          <w:bCs/>
          <w:i/>
          <w:iCs/>
        </w:rPr>
        <w:t>searchsploit</w:t>
      </w:r>
      <w:r w:rsidRPr="001F7A9F">
        <w:t> </w:t>
      </w:r>
      <w:r w:rsidRPr="001F7A9F">
        <w:rPr>
          <w:i/>
          <w:iCs/>
        </w:rPr>
        <w:t>para buscar exploits</w:t>
      </w:r>
      <w:r>
        <w:rPr>
          <w:i/>
          <w:iCs/>
        </w:rPr>
        <w:t>:</w:t>
      </w:r>
    </w:p>
    <w:p w14:paraId="0956E99E" w14:textId="02DC6A1B" w:rsidR="001F7A9F" w:rsidRPr="001F7A9F" w:rsidRDefault="001F7A9F" w:rsidP="001F7A9F">
      <w:r w:rsidRPr="001F7A9F">
        <w:t>|--[</w:t>
      </w:r>
      <w:proofErr w:type="spellStart"/>
      <w:r w:rsidRPr="001F7A9F">
        <w:t>omar@websploit</w:t>
      </w:r>
      <w:proofErr w:type="spellEnd"/>
      <w:r w:rsidRPr="001F7A9F">
        <w:t>]--[~]|--- $</w:t>
      </w:r>
      <w:r w:rsidRPr="001F7A9F">
        <w:rPr>
          <w:b/>
          <w:bCs/>
          <w:highlight w:val="yellow"/>
        </w:rPr>
        <w:t>searchsploit "</w:t>
      </w:r>
      <w:proofErr w:type="spellStart"/>
      <w:r w:rsidRPr="001F7A9F">
        <w:rPr>
          <w:b/>
          <w:bCs/>
          <w:highlight w:val="yellow"/>
        </w:rPr>
        <w:t>Denial</w:t>
      </w:r>
      <w:proofErr w:type="spellEnd"/>
      <w:r w:rsidRPr="001F7A9F">
        <w:rPr>
          <w:b/>
          <w:bCs/>
          <w:highlight w:val="yellow"/>
        </w:rPr>
        <w:t> of Service" | grep "Linux </w:t>
      </w:r>
      <w:proofErr w:type="spellStart"/>
      <w:r w:rsidRPr="001F7A9F">
        <w:rPr>
          <w:b/>
          <w:bCs/>
          <w:highlight w:val="yellow"/>
        </w:rPr>
        <w:t>Kernel</w:t>
      </w:r>
      <w:proofErr w:type="spellEnd"/>
      <w:r w:rsidRPr="001F7A9F">
        <w:rPr>
          <w:b/>
          <w:bCs/>
          <w:highlight w:val="yellow"/>
        </w:rPr>
        <w:t>" | </w:t>
      </w:r>
      <w:proofErr w:type="spellStart"/>
      <w:r w:rsidRPr="001F7A9F">
        <w:rPr>
          <w:b/>
          <w:bCs/>
          <w:highlight w:val="yellow"/>
        </w:rPr>
        <w:t>awk</w:t>
      </w:r>
      <w:proofErr w:type="spellEnd"/>
      <w:r w:rsidRPr="001F7A9F">
        <w:rPr>
          <w:highlight w:val="yellow"/>
        </w:rPr>
        <w:br/>
      </w:r>
      <w:r w:rsidRPr="001F7A9F">
        <w:rPr>
          <w:b/>
          <w:bCs/>
          <w:highlight w:val="yellow"/>
        </w:rPr>
        <w:t>'{</w:t>
      </w:r>
      <w:proofErr w:type="spellStart"/>
      <w:r w:rsidRPr="001F7A9F">
        <w:rPr>
          <w:b/>
          <w:bCs/>
          <w:highlight w:val="yellow"/>
        </w:rPr>
        <w:t>print</w:t>
      </w:r>
      <w:proofErr w:type="spellEnd"/>
      <w:r w:rsidRPr="001F7A9F">
        <w:rPr>
          <w:b/>
          <w:bCs/>
          <w:highlight w:val="yellow"/>
        </w:rPr>
        <w:t> $(NF)}</w:t>
      </w:r>
      <w:r w:rsidRPr="001F7A9F">
        <w:rPr>
          <w:highlight w:val="yellow"/>
        </w:rPr>
        <w:t>'</w:t>
      </w:r>
    </w:p>
    <w:p w14:paraId="03D1FA42" w14:textId="77777777" w:rsidR="001F7A9F" w:rsidRDefault="001F7A9F"/>
    <w:p w14:paraId="7BEF5E28" w14:textId="77777777" w:rsidR="001F7A9F" w:rsidRDefault="001F7A9F"/>
    <w:p w14:paraId="6C514716" w14:textId="77777777" w:rsidR="001F7A9F" w:rsidRDefault="001F7A9F"/>
    <w:p w14:paraId="349E837E" w14:textId="77777777" w:rsidR="001F7A9F" w:rsidRPr="001F7A9F" w:rsidRDefault="001F7A9F" w:rsidP="001F7A9F">
      <w:r w:rsidRPr="001F7A9F">
        <w:lastRenderedPageBreak/>
        <w:t>Otro ejemplo de ataque de DoS que puede afectar los entornos de la nube es el ataque </w:t>
      </w:r>
      <w:r w:rsidRPr="001F7A9F">
        <w:rPr>
          <w:b/>
          <w:bCs/>
          <w:i/>
          <w:iCs/>
        </w:rPr>
        <w:t>directo al origen</w:t>
      </w:r>
      <w:r w:rsidRPr="001F7A9F">
        <w:t> </w:t>
      </w:r>
      <w:r w:rsidRPr="001F7A9F">
        <w:rPr>
          <w:b/>
          <w:bCs/>
          <w:i/>
          <w:iCs/>
        </w:rPr>
        <w:t>(D2O</w:t>
      </w:r>
      <w:proofErr w:type="gramStart"/>
      <w:r w:rsidRPr="001F7A9F">
        <w:rPr>
          <w:b/>
          <w:bCs/>
          <w:i/>
          <w:iCs/>
        </w:rPr>
        <w:t>)</w:t>
      </w:r>
      <w:r w:rsidRPr="001F7A9F">
        <w:t> .</w:t>
      </w:r>
      <w:proofErr w:type="gramEnd"/>
      <w:r w:rsidRPr="001F7A9F">
        <w:t xml:space="preserve"> En un ataque de D2O, los agentes de amenazas pueden revelar la red de origen o la dirección IP detrás de una red de entrega de contenido (CDN) o un proxy grande colocado frente a los servicios web en un proveedor en la nube. Un ataque de D2O podría permitir a los atacantes eludir diferentes mitigaciones anti-</w:t>
      </w:r>
      <w:proofErr w:type="spellStart"/>
      <w:r w:rsidRPr="001F7A9F">
        <w:t>DDoS</w:t>
      </w:r>
      <w:proofErr w:type="spellEnd"/>
      <w:r w:rsidRPr="001F7A9F">
        <w:t>.</w:t>
      </w:r>
    </w:p>
    <w:p w14:paraId="40273AEF" w14:textId="77777777" w:rsidR="001F7A9F" w:rsidRPr="001F7A9F" w:rsidRDefault="001F7A9F" w:rsidP="001F7A9F">
      <w:r w:rsidRPr="001F7A9F">
        <w:rPr>
          <w:b/>
          <w:bCs/>
        </w:rPr>
        <w:t>NOTA</w:t>
      </w:r>
      <w:r w:rsidRPr="001F7A9F">
        <w:t xml:space="preserve"> Una CDN es una red de </w:t>
      </w:r>
      <w:proofErr w:type="spellStart"/>
      <w:r w:rsidRPr="001F7A9F">
        <w:t>proxies</w:t>
      </w:r>
      <w:proofErr w:type="spellEnd"/>
      <w:r w:rsidRPr="001F7A9F">
        <w:t xml:space="preserve"> distribuida geográficamente en centros de datos de todo el mundo que ofrece alta disponibilidad y beneficios de rendimiento mediante la distribución de servicios web a usuarios finales en todo el mundo.</w:t>
      </w:r>
    </w:p>
    <w:p w14:paraId="5E05B30E" w14:textId="63CB7DAE" w:rsidR="001F7A9F" w:rsidRDefault="001F7A9F" w:rsidP="001F7A9F">
      <w:pPr>
        <w:pStyle w:val="Ttulo2"/>
        <w:jc w:val="center"/>
        <w:rPr>
          <w:b/>
          <w:bCs/>
        </w:rPr>
      </w:pPr>
      <w:r w:rsidRPr="001F7A9F">
        <w:rPr>
          <w:b/>
          <w:bCs/>
        </w:rPr>
        <w:t>Ataques de Inyección de Malware en la Nube</w:t>
      </w:r>
    </w:p>
    <w:p w14:paraId="607D2293" w14:textId="1B334EE9" w:rsidR="001F7A9F" w:rsidRDefault="00862B7E" w:rsidP="001F7A9F">
      <w:r w:rsidRPr="00862B7E">
        <w:t>Las implementaciones en la nube son susceptibles a los ataques de inyección de malware. En un </w:t>
      </w:r>
      <w:r w:rsidRPr="00862B7E">
        <w:rPr>
          <w:b/>
          <w:bCs/>
          <w:i/>
          <w:iCs/>
        </w:rPr>
        <w:t>ataque de inyección de malware en la nube</w:t>
      </w:r>
      <w:r w:rsidRPr="00862B7E">
        <w:t>, el atacante crea una aplicación maliciosa y la inyecta en un entorno SaaS, PaaS o IaaS. Una vez que se completa la inyección de malware, el malware se ejecuta como una de las instancias válidas que se ejecutan en la infraestructura de la nube. Posteriormente, el atacante puede aprovechar este punto de apoyo para lanzar ataques adicionales, como canales encubiertos, puertas traseras, escuchas, manipulación y robo de datos.</w:t>
      </w:r>
    </w:p>
    <w:p w14:paraId="356691DC" w14:textId="4EB1D184" w:rsidR="00862B7E" w:rsidRDefault="00862B7E" w:rsidP="00862B7E">
      <w:pPr>
        <w:pStyle w:val="Ttulo2"/>
        <w:jc w:val="center"/>
        <w:rPr>
          <w:b/>
          <w:bCs/>
        </w:rPr>
      </w:pPr>
      <w:r w:rsidRPr="00862B7E">
        <w:rPr>
          <w:b/>
          <w:bCs/>
        </w:rPr>
        <w:t>Ataques de Canal Lateral</w:t>
      </w:r>
    </w:p>
    <w:p w14:paraId="43E849BE" w14:textId="77777777" w:rsidR="00862B7E" w:rsidRPr="00862B7E" w:rsidRDefault="00862B7E" w:rsidP="00862B7E">
      <w:r w:rsidRPr="00862B7E">
        <w:rPr>
          <w:b/>
          <w:bCs/>
          <w:i/>
          <w:iCs/>
        </w:rPr>
        <w:t>Los ataques de canal lateral</w:t>
      </w:r>
      <w:r w:rsidRPr="00862B7E">
        <w:t> a menudo se basan en la información obtenida de la implementación del sistema informático subyacente (o entorno de nube) en lugar de una debilidad específica en la tecnología o el algoritmo implementados. Por ejemplo, diferentes elementos, como la información de tiempo de cómputo, el consumo de energía, las fugas electromagnéticas e incluso el sonido, pueden proporcionar información detallada que puede ayudar a un atacante a comprometer un sistema. El atacante tiene como objetivo recopilar información o influir en una aplicación o un sistema midiendo o aprovechando los efectos indirectos del sistema o su hardware. La mayoría de los ataques de canal lateral se utilizan para exfiltrar credenciales, claves criptográficas y otra información confidencial mediante la medición de emisiones de hardware coincidentes.</w:t>
      </w:r>
    </w:p>
    <w:p w14:paraId="4161D1DE" w14:textId="77777777" w:rsidR="00862B7E" w:rsidRPr="00862B7E" w:rsidRDefault="00862B7E" w:rsidP="00862B7E">
      <w:r w:rsidRPr="00862B7E">
        <w:t>Los ataques de canal lateral se pueden usar contra VM y en entornos de computación en la nube donde un sistema comprometido controlado por el atacante y el objetivo comparten el mismo hardware físico.</w:t>
      </w:r>
    </w:p>
    <w:p w14:paraId="5108DBA6" w14:textId="085960EF" w:rsidR="00862B7E" w:rsidRDefault="00862B7E" w:rsidP="00862B7E">
      <w:r w:rsidRPr="00862B7E">
        <w:rPr>
          <w:b/>
          <w:bCs/>
          <w:highlight w:val="yellow"/>
        </w:rPr>
        <w:t>CONSEJO</w:t>
      </w:r>
      <w:r w:rsidRPr="00862B7E">
        <w:t xml:space="preserve"> Ejemplos de vulnerabilidades que podrían conducir a ataques de canal lateral son las vulnerabilidades </w:t>
      </w:r>
      <w:proofErr w:type="spellStart"/>
      <w:r w:rsidRPr="00862B7E">
        <w:t>Spectre</w:t>
      </w:r>
      <w:proofErr w:type="spellEnd"/>
      <w:r w:rsidRPr="00862B7E">
        <w:t xml:space="preserve"> y Meltdown que afectan a los procesadores Intel, AMD y ARM. Los proveedores de la nube que utilizan CPU de Intel en sus soluciones virtualizadas podrían verse afectados por estas vulnerabilidades si no aplican los parches adecuados. Puede encontrar información sobre </w:t>
      </w:r>
      <w:proofErr w:type="spellStart"/>
      <w:r w:rsidRPr="00862B7E">
        <w:t>Spectre</w:t>
      </w:r>
      <w:proofErr w:type="spellEnd"/>
      <w:r w:rsidRPr="00862B7E">
        <w:t xml:space="preserve"> y Meltdown en </w:t>
      </w:r>
      <w:hyperlink r:id="rId5" w:tgtFrame="_blank" w:history="1">
        <w:r w:rsidRPr="00862B7E">
          <w:rPr>
            <w:rStyle w:val="Hipervnculo"/>
            <w:b/>
            <w:bCs/>
            <w:i/>
            <w:iCs/>
          </w:rPr>
          <w:t>https://spectreattack.com</w:t>
        </w:r>
      </w:hyperlink>
      <w:r w:rsidRPr="00862B7E">
        <w:t>.</w:t>
      </w:r>
    </w:p>
    <w:p w14:paraId="6DD4E105" w14:textId="0CF12379" w:rsidR="00862B7E" w:rsidRDefault="00862B7E" w:rsidP="00862B7E">
      <w:pPr>
        <w:pStyle w:val="Ttulo2"/>
        <w:jc w:val="center"/>
        <w:rPr>
          <w:b/>
          <w:bCs/>
        </w:rPr>
      </w:pPr>
      <w:r w:rsidRPr="00862B7E">
        <w:rPr>
          <w:b/>
          <w:bCs/>
        </w:rPr>
        <w:t>Herramientas y Kits de Desarrollo de Software (</w:t>
      </w:r>
      <w:proofErr w:type="spellStart"/>
      <w:r w:rsidRPr="00862B7E">
        <w:rPr>
          <w:b/>
          <w:bCs/>
        </w:rPr>
        <w:t>SDKs</w:t>
      </w:r>
      <w:proofErr w:type="spellEnd"/>
      <w:r w:rsidRPr="00862B7E">
        <w:rPr>
          <w:b/>
          <w:bCs/>
        </w:rPr>
        <w:t>)</w:t>
      </w:r>
    </w:p>
    <w:p w14:paraId="56D45810" w14:textId="77777777" w:rsidR="00862B7E" w:rsidRPr="00862B7E" w:rsidRDefault="00862B7E" w:rsidP="00862B7E">
      <w:r w:rsidRPr="00862B7E">
        <w:rPr>
          <w:b/>
          <w:bCs/>
        </w:rPr>
        <w:t>NOTA</w:t>
      </w:r>
      <w:r w:rsidRPr="00862B7E">
        <w:t xml:space="preserve"> Swagger es un marco moderno de documentación y desarrollo de API que es la base de la especificación </w:t>
      </w:r>
      <w:proofErr w:type="spellStart"/>
      <w:r w:rsidRPr="00862B7E">
        <w:t>OpenAPI</w:t>
      </w:r>
      <w:proofErr w:type="spellEnd"/>
      <w:r w:rsidRPr="00862B7E">
        <w:t xml:space="preserve"> (OAS). Puede obtener información adicional sobre Swagger en </w:t>
      </w:r>
      <w:hyperlink r:id="rId6" w:tgtFrame="_blank" w:history="1">
        <w:r w:rsidRPr="00862B7E">
          <w:rPr>
            <w:rStyle w:val="Hipervnculo"/>
            <w:b/>
            <w:bCs/>
            <w:i/>
            <w:iCs/>
          </w:rPr>
          <w:t>https://swagger.io</w:t>
        </w:r>
      </w:hyperlink>
      <w:r w:rsidRPr="00862B7E">
        <w:t>. La especificación OAS está disponible en </w:t>
      </w:r>
      <w:hyperlink r:id="rId7" w:tgtFrame="_blank" w:history="1">
        <w:r w:rsidRPr="00862B7E">
          <w:rPr>
            <w:rStyle w:val="Hipervnculo"/>
            <w:b/>
            <w:bCs/>
            <w:i/>
            <w:iCs/>
          </w:rPr>
          <w:t>https://github.com/OAI/OpenAPI-Specification</w:t>
        </w:r>
      </w:hyperlink>
      <w:r w:rsidRPr="00862B7E">
        <w:t>.</w:t>
      </w:r>
    </w:p>
    <w:p w14:paraId="2B4337F4" w14:textId="77777777" w:rsidR="00862B7E" w:rsidRPr="00862B7E" w:rsidRDefault="00862B7E" w:rsidP="00862B7E">
      <w:r w:rsidRPr="00862B7E">
        <w:rPr>
          <w:b/>
          <w:bCs/>
          <w:i/>
          <w:iCs/>
        </w:rPr>
        <w:t>Los kits de desarrollo de software (SDK)</w:t>
      </w:r>
      <w:r w:rsidRPr="00862B7E">
        <w:t xml:space="preserve"> y los kits de desarrollo en la nube (CDK) pueden proporcionar excelentes conocimientos sobre las aplicaciones alojadas en la nube, así como </w:t>
      </w:r>
      <w:r w:rsidRPr="00862B7E">
        <w:lastRenderedPageBreak/>
        <w:t>sobre la infraestructura subyacente. Un SDK es un conjunto de herramientas y recursos para ayudar con la creación de aplicaciones (en las instalaciones o en la nube). Los SDK a menudo incluyen compiladores, depuradores y otros marcos de software.</w:t>
      </w:r>
    </w:p>
    <w:p w14:paraId="4CC652D2" w14:textId="77777777" w:rsidR="00862B7E" w:rsidRPr="00862B7E" w:rsidRDefault="00862B7E" w:rsidP="00862B7E">
      <w:r w:rsidRPr="00862B7E">
        <w:t xml:space="preserve">Las CDK, por otro lado, ayudan a los desarrolladores de software y a los consumidores de la nube a implementar aplicaciones en la nube y a utilizar los recursos que ofrece el proveedor de la nube. Por ejemplo, el AWS Cloud </w:t>
      </w:r>
      <w:proofErr w:type="spellStart"/>
      <w:r w:rsidRPr="00862B7E">
        <w:t>Development</w:t>
      </w:r>
      <w:proofErr w:type="spellEnd"/>
      <w:r w:rsidRPr="00862B7E">
        <w:t xml:space="preserve"> Kit (AWS CDK) es un marco de desarrollo de software de código abierto que los consumidores de la nube y los clientes de AWS utilizan para definir los recursos de las aplicaciones en la nube mediante lenguajes de programación conocidos.</w:t>
      </w:r>
    </w:p>
    <w:p w14:paraId="6F64318E" w14:textId="77777777" w:rsidR="00862B7E" w:rsidRPr="00862B7E" w:rsidRDefault="00862B7E" w:rsidP="00862B7E">
      <w:r w:rsidRPr="00862B7E">
        <w:rPr>
          <w:b/>
          <w:bCs/>
        </w:rPr>
        <w:t>NOTA</w:t>
      </w:r>
      <w:r w:rsidRPr="00862B7E">
        <w:t> El siguiente sitio proporciona información detallada sobre cómo comenzar con AWS CDK: </w:t>
      </w:r>
      <w:hyperlink r:id="rId8" w:tgtFrame="_blank" w:history="1">
        <w:r w:rsidRPr="00862B7E">
          <w:rPr>
            <w:rStyle w:val="Hipervnculo"/>
            <w:b/>
            <w:bCs/>
            <w:i/>
            <w:iCs/>
          </w:rPr>
          <w:t>https://docs.aws.amazon.com/cdk/latest/guide/getting_started.html</w:t>
        </w:r>
      </w:hyperlink>
      <w:r w:rsidRPr="00862B7E">
        <w:t>.</w:t>
      </w:r>
    </w:p>
    <w:p w14:paraId="6FB6B633" w14:textId="77777777" w:rsidR="00862B7E" w:rsidRPr="00862B7E" w:rsidRDefault="00862B7E" w:rsidP="00862B7E"/>
    <w:sectPr w:rsidR="00862B7E" w:rsidRPr="00862B7E" w:rsidSect="00D900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2EF"/>
    <w:rsid w:val="001D2C0C"/>
    <w:rsid w:val="001F7A9F"/>
    <w:rsid w:val="005320D8"/>
    <w:rsid w:val="006E3AFC"/>
    <w:rsid w:val="007E32EF"/>
    <w:rsid w:val="00862B7E"/>
    <w:rsid w:val="00A515BE"/>
    <w:rsid w:val="00C40E48"/>
    <w:rsid w:val="00D9004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D02AB"/>
  <w15:chartTrackingRefBased/>
  <w15:docId w15:val="{4133DB5D-B41A-42E9-9D97-0DEC7EAC9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3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E3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E32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E32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E32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E32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32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32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32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32E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E32E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E32E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E32E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E32E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E32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32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32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32EF"/>
    <w:rPr>
      <w:rFonts w:eastAsiaTheme="majorEastAsia" w:cstheme="majorBidi"/>
      <w:color w:val="272727" w:themeColor="text1" w:themeTint="D8"/>
    </w:rPr>
  </w:style>
  <w:style w:type="paragraph" w:styleId="Ttulo">
    <w:name w:val="Title"/>
    <w:basedOn w:val="Normal"/>
    <w:next w:val="Normal"/>
    <w:link w:val="TtuloCar"/>
    <w:uiPriority w:val="10"/>
    <w:qFormat/>
    <w:rsid w:val="007E3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32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32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32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32EF"/>
    <w:pPr>
      <w:spacing w:before="160"/>
      <w:jc w:val="center"/>
    </w:pPr>
    <w:rPr>
      <w:i/>
      <w:iCs/>
      <w:color w:val="404040" w:themeColor="text1" w:themeTint="BF"/>
    </w:rPr>
  </w:style>
  <w:style w:type="character" w:customStyle="1" w:styleId="CitaCar">
    <w:name w:val="Cita Car"/>
    <w:basedOn w:val="Fuentedeprrafopredeter"/>
    <w:link w:val="Cita"/>
    <w:uiPriority w:val="29"/>
    <w:rsid w:val="007E32EF"/>
    <w:rPr>
      <w:i/>
      <w:iCs/>
      <w:color w:val="404040" w:themeColor="text1" w:themeTint="BF"/>
    </w:rPr>
  </w:style>
  <w:style w:type="paragraph" w:styleId="Prrafodelista">
    <w:name w:val="List Paragraph"/>
    <w:basedOn w:val="Normal"/>
    <w:uiPriority w:val="34"/>
    <w:qFormat/>
    <w:rsid w:val="007E32EF"/>
    <w:pPr>
      <w:ind w:left="720"/>
      <w:contextualSpacing/>
    </w:pPr>
  </w:style>
  <w:style w:type="character" w:styleId="nfasisintenso">
    <w:name w:val="Intense Emphasis"/>
    <w:basedOn w:val="Fuentedeprrafopredeter"/>
    <w:uiPriority w:val="21"/>
    <w:qFormat/>
    <w:rsid w:val="007E32EF"/>
    <w:rPr>
      <w:i/>
      <w:iCs/>
      <w:color w:val="2F5496" w:themeColor="accent1" w:themeShade="BF"/>
    </w:rPr>
  </w:style>
  <w:style w:type="paragraph" w:styleId="Citadestacada">
    <w:name w:val="Intense Quote"/>
    <w:basedOn w:val="Normal"/>
    <w:next w:val="Normal"/>
    <w:link w:val="CitadestacadaCar"/>
    <w:uiPriority w:val="30"/>
    <w:qFormat/>
    <w:rsid w:val="007E3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E32EF"/>
    <w:rPr>
      <w:i/>
      <w:iCs/>
      <w:color w:val="2F5496" w:themeColor="accent1" w:themeShade="BF"/>
    </w:rPr>
  </w:style>
  <w:style w:type="character" w:styleId="Referenciaintensa">
    <w:name w:val="Intense Reference"/>
    <w:basedOn w:val="Fuentedeprrafopredeter"/>
    <w:uiPriority w:val="32"/>
    <w:qFormat/>
    <w:rsid w:val="007E32EF"/>
    <w:rPr>
      <w:b/>
      <w:bCs/>
      <w:smallCaps/>
      <w:color w:val="2F5496" w:themeColor="accent1" w:themeShade="BF"/>
      <w:spacing w:val="5"/>
    </w:rPr>
  </w:style>
  <w:style w:type="character" w:styleId="Hipervnculo">
    <w:name w:val="Hyperlink"/>
    <w:basedOn w:val="Fuentedeprrafopredeter"/>
    <w:uiPriority w:val="99"/>
    <w:unhideWhenUsed/>
    <w:rsid w:val="00862B7E"/>
    <w:rPr>
      <w:color w:val="0563C1" w:themeColor="hyperlink"/>
      <w:u w:val="single"/>
    </w:rPr>
  </w:style>
  <w:style w:type="character" w:styleId="Mencinsinresolver">
    <w:name w:val="Unresolved Mention"/>
    <w:basedOn w:val="Fuentedeprrafopredeter"/>
    <w:uiPriority w:val="99"/>
    <w:semiHidden/>
    <w:unhideWhenUsed/>
    <w:rsid w:val="00862B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cdk/latest/guide/getting_started.html" TargetMode="External"/><Relationship Id="rId3" Type="http://schemas.openxmlformats.org/officeDocument/2006/relationships/webSettings" Target="webSettings.xml"/><Relationship Id="rId7" Type="http://schemas.openxmlformats.org/officeDocument/2006/relationships/hyperlink" Target="https://github.com/OAI/OpenAPI-Specific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wagger.io/" TargetMode="External"/><Relationship Id="rId5" Type="http://schemas.openxmlformats.org/officeDocument/2006/relationships/hyperlink" Target="https://spectreattack.com/"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965</Words>
  <Characters>5311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Villagra</dc:creator>
  <cp:keywords/>
  <dc:description/>
  <cp:lastModifiedBy>Lucas Villagra</cp:lastModifiedBy>
  <cp:revision>1</cp:revision>
  <dcterms:created xsi:type="dcterms:W3CDTF">2026-07-30T14:13:00Z</dcterms:created>
  <dcterms:modified xsi:type="dcterms:W3CDTF">2026-07-30T14:43:00Z</dcterms:modified>
  <cp:category/>
  <cp:contentStatus/>
</cp:coreProperties>
</file>