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4508162" w:rsidP="6A0ABBE6" w:rsidRDefault="44508162" w14:paraId="00209433" w14:textId="37A6CEFC">
      <w:pPr>
        <w:pStyle w:val="Ttulo"/>
        <w:bidi w:val="0"/>
        <w:spacing w:before="0" w:beforeAutospacing="off" w:after="60" w:afterAutospacing="off" w:line="276" w:lineRule="auto"/>
        <w:ind w:left="0" w:right="0"/>
        <w:jc w:val="left"/>
        <w:rPr>
          <w:sz w:val="52"/>
          <w:szCs w:val="52"/>
        </w:rPr>
      </w:pPr>
      <w:r w:rsidR="44508162">
        <w:rPr/>
        <w:t>Regras de Negócio</w:t>
      </w:r>
    </w:p>
    <w:p w:rsidR="246ABC2A" w:rsidP="68EC8415" w:rsidRDefault="246ABC2A" w14:paraId="7AA85FE0" w14:textId="21CCCA7A">
      <w:pPr>
        <w:pStyle w:val="Subttulo"/>
        <w:bidi w:val="0"/>
        <w:spacing w:before="0" w:beforeAutospacing="off" w:after="320" w:afterAutospacing="off" w:line="276" w:lineRule="auto"/>
        <w:ind w:left="0" w:right="0"/>
        <w:jc w:val="left"/>
        <w:rPr>
          <w:color w:val="666666"/>
          <w:sz w:val="30"/>
          <w:szCs w:val="30"/>
        </w:rPr>
      </w:pPr>
      <w:r w:rsidR="246ABC2A">
        <w:rPr/>
        <w:t>Di Mani</w:t>
      </w:r>
    </w:p>
    <w:p w:rsidRPr="00E16303" w:rsidR="00E16303" w:rsidP="00E16303" w:rsidRDefault="00E16303" w14:paraId="4ACF5746" w14:textId="242F89BD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- Realizar Pedido Padrão</w:t>
      </w:r>
    </w:p>
    <w:p w:rsidRPr="00E16303" w:rsidR="00E16303" w:rsidP="00E16303" w:rsidRDefault="00E16303" w14:paraId="4814E3FE" w14:textId="148206F5">
      <w:r>
        <w:br/>
      </w:r>
    </w:p>
    <w:p w:rsidRPr="00E16303" w:rsidR="00E16303" w:rsidP="00E16303" w:rsidRDefault="00E16303" w14:paraId="089C2A13" w14:textId="0B0500C2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RN-0001: Para realizar um pedido padrão, o cliente deve ler o catálogo para ver os produtos disponíveis em estoque, as cores e tamanhos disponíveis.</w:t>
      </w:r>
    </w:p>
    <w:p w:rsidRPr="00E16303" w:rsidR="00E16303" w:rsidP="00E16303" w:rsidRDefault="00E16303" w14:paraId="2622E1FD" w14:textId="2AFBFFDD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RN-0002: Para o atendimento solicitar a preparação do pedido, o cliente deve ter selecionado todos as especificações do produto ou produtos no pedido.</w:t>
      </w:r>
    </w:p>
    <w:p w:rsidRPr="00E16303" w:rsidR="00E16303" w:rsidP="00E16303" w:rsidRDefault="00E16303" w14:paraId="7C1851D5" w14:textId="590C54EE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RN-0003: Para que o Estoque entregue o pedido ao Atendimento, o Atendimento deve entregar a guia do pedido com todas as especificações do produto.</w:t>
      </w:r>
    </w:p>
    <w:p w:rsidRPr="00E16303" w:rsidR="00E16303" w:rsidP="00E16303" w:rsidRDefault="00E16303" w14:paraId="3CBA7705" w14:textId="44E68019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RN-0004: O cliente pode cancelar o pedido a qualquer momento antes de realizar o pagamento sem precisar gerar um processo de devolução.</w:t>
      </w:r>
    </w:p>
    <w:p w:rsidRPr="00E16303" w:rsidR="00E16303" w:rsidP="00E16303" w:rsidRDefault="00E16303" w14:paraId="63332C2C" w14:textId="24AFA515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RN-0005: Para que o cliente entregue a guia do pedido ao Caixa, o atendimento deve ter entregue o pedido ao cliente, junto com a guia do pedido, onde consta todas as especificações e valor.</w:t>
      </w:r>
    </w:p>
    <w:p w:rsidRPr="00E16303" w:rsidR="00E16303" w:rsidP="00E16303" w:rsidRDefault="00E16303" w14:paraId="6672613B" w14:textId="0BB4545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RN-0006: O cliente realiza o pagamento após entregar a guia do pedido ao caixa.</w:t>
      </w:r>
    </w:p>
    <w:p w:rsidRPr="00E16303" w:rsidR="00E16303" w:rsidP="00E16303" w:rsidRDefault="00E16303" w14:paraId="477479BA" w14:textId="59DF47DD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RN-0007: O cliente pode desistir de realizar o pagamento mesmo após entregar a guia, sem precisar de um processo de devolução. O pedido é cancelado e o produto devolvido ao atendente.</w:t>
      </w:r>
    </w:p>
    <w:p w:rsidRPr="00E16303" w:rsidR="00E16303" w:rsidP="00E16303" w:rsidRDefault="00E16303" w14:paraId="4B75FE86" w14:textId="02282476">
      <w:r>
        <w:br/>
      </w:r>
    </w:p>
    <w:p w:rsidRPr="00E16303" w:rsidR="00E16303" w:rsidP="00E16303" w:rsidRDefault="00E16303" w14:paraId="1C335FA8" w14:textId="5B09AB3B">
      <w:r>
        <w:br/>
      </w:r>
    </w:p>
    <w:p w:rsidRPr="00E16303" w:rsidR="00E16303" w:rsidP="00E16303" w:rsidRDefault="00E16303" w14:paraId="30026D44" w14:textId="1F340B70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Realizar Devolução / Troca do Produto</w:t>
      </w:r>
    </w:p>
    <w:p w:rsidRPr="00E16303" w:rsidR="00E16303" w:rsidP="00E16303" w:rsidRDefault="00E16303" w14:paraId="276275B3" w14:textId="2EF49D9C">
      <w:r>
        <w:br/>
      </w:r>
    </w:p>
    <w:p w:rsidRPr="00E16303" w:rsidR="00E16303" w:rsidP="00E16303" w:rsidRDefault="00E16303" w14:paraId="184343DF" w14:textId="2568A5D2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RN-0008: Cliente deve realizar solicitação de devolução ou troca para o atendimento. Onde será analisada a solicitação.</w:t>
      </w:r>
    </w:p>
    <w:p w:rsidRPr="00E16303" w:rsidR="00E16303" w:rsidP="66BF8DC0" w:rsidRDefault="00E16303" w14:paraId="2A8BFBC1" w14:textId="55D880BF">
      <w:pPr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RN-0009: Atendimento nega solicitação de troca caso a </w:t>
      </w:r>
      <w:r w:rsidRPr="66BF8DC0" w:rsidR="60E15D57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solicitação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seja feita após o prazo limite de 30 dias, e nega a solicitação de devolução caso seja feita após o prazo limite de 7 dias.</w:t>
      </w:r>
    </w:p>
    <w:p w:rsidRPr="00E16303" w:rsidR="00E16303" w:rsidP="00E16303" w:rsidRDefault="00E16303" w14:paraId="26135A08" w14:textId="1E8619CC"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RN-0010: Atendimento reprova produto caso </w:t>
      </w:r>
      <w:r w:rsidRPr="66BF8DC0" w:rsidR="05DE880D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ele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esteja com danos causados pelo cliente, como rasgos, 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manchas ou deformações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Pr="00E16303" w:rsidR="00E16303" w:rsidP="00E16303" w:rsidRDefault="00E16303" w14:paraId="0CEAE079" w14:textId="63A82DCE"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RN-0011: Após aprovação da solicitação e do produto, o atendente entrega a guia do pedido contendo a solicitação de devolução para o cliente, e o </w:t>
      </w:r>
      <w:r w:rsidRPr="66BF8DC0" w:rsidR="1906D11B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cliente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entrega ao caixa</w:t>
      </w:r>
    </w:p>
    <w:p w:rsidRPr="00E16303" w:rsidR="00E16303" w:rsidP="00E16303" w:rsidRDefault="00E16303" w14:paraId="768D979B" w14:textId="165DF449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RN-0012: Caixa deve solicitar ao cliente que ele escolha qual a forma de estorno desejada, as opções são: em dinheiro, ou através de PIX.</w:t>
      </w:r>
    </w:p>
    <w:p w:rsidRPr="00E16303" w:rsidR="00E16303" w:rsidP="00E16303" w:rsidRDefault="00E16303" w14:paraId="3F35FC10" w14:textId="1276C573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RN-0013: Caixa deve estornar o valor após o cliente definir qual o meio preferido.</w:t>
      </w:r>
    </w:p>
    <w:p w:rsidRPr="00E16303" w:rsidR="00E16303" w:rsidP="00E16303" w:rsidRDefault="00E16303" w14:paraId="7DF0E19C" w14:textId="5C030A5D">
      <w:r>
        <w:br/>
      </w:r>
    </w:p>
    <w:p w:rsidRPr="00E16303" w:rsidR="00E16303" w:rsidP="00E16303" w:rsidRDefault="00E16303" w14:paraId="599CB0B4" w14:textId="1C960946">
      <w:r>
        <w:br/>
      </w:r>
    </w:p>
    <w:p w:rsidRPr="00E16303" w:rsidR="00E16303" w:rsidP="00E16303" w:rsidRDefault="00E16303" w14:paraId="29C0CD88" w14:textId="0A9325AF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Realizar Pedido Personalizado</w:t>
      </w:r>
    </w:p>
    <w:p w:rsidRPr="00E16303" w:rsidR="00E16303" w:rsidP="00E16303" w:rsidRDefault="00E16303" w14:paraId="10536A75" w14:textId="2986E03F">
      <w:r>
        <w:br/>
      </w:r>
    </w:p>
    <w:p w:rsidRPr="00E16303" w:rsidR="00E16303" w:rsidP="00E16303" w:rsidRDefault="00E16303" w14:paraId="111BF30E" w14:textId="7F37F24F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RN-0014: Para realizar um pedido personalizado, o cliente deve ler o catálogo para ver os produtos disponíveis em estoque, as cores e tamanhos disponíveis e definir qual a personalização desejada.</w:t>
      </w:r>
    </w:p>
    <w:p w:rsidRPr="00E16303" w:rsidR="00E16303" w:rsidP="66BF8DC0" w:rsidRDefault="00E16303" w14:paraId="63D2138E" w14:textId="23414B4C">
      <w:pPr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RN-0015: Atendente deve passar o pedido com as especificações ao setor de costura, e o </w:t>
      </w:r>
      <w:r w:rsidRPr="66BF8DC0" w:rsidR="68F5FF82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setor de costura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deve entregar o orçamento e prazo de produto ao atendimento ou informar a recusa do mesmo.</w:t>
      </w:r>
    </w:p>
    <w:p w:rsidRPr="00E16303" w:rsidR="00E16303" w:rsidP="00E16303" w:rsidRDefault="00E16303" w14:paraId="0B673AC8" w14:textId="230892D5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RN-0016: A costura deve recusar o pedido em casos que a personalização não esteja nos padrões da loja, ou com itens que não estão disponíveis.</w:t>
      </w:r>
    </w:p>
    <w:p w:rsidRPr="00E16303" w:rsidR="00E16303" w:rsidP="00E16303" w:rsidRDefault="00E16303" w14:paraId="1F868DC1" w14:textId="093218A4"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RN-0017: Após o atendimento passar o orçamento ao cliente, o </w:t>
      </w:r>
      <w:r w:rsidRPr="66BF8DC0" w:rsidR="7533E818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cliente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pode aceitar ou recusar o pedido.</w:t>
      </w:r>
    </w:p>
    <w:p w:rsidRPr="00E16303" w:rsidR="00E16303" w:rsidP="00E16303" w:rsidRDefault="00E16303" w14:paraId="33263CAC" w14:textId="28600DD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RN-0018: Em caso de recusa do setor de costura, o atendimento deve sugerir uma personalização aproximada e parecida, mas que seja possível de atender.</w:t>
      </w:r>
    </w:p>
    <w:p w:rsidRPr="00E16303" w:rsidR="00E16303" w:rsidP="00E16303" w:rsidRDefault="00E16303" w14:paraId="0013E98D" w14:textId="0383DAE8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RN-0019: Caixa deve encaminhar ordem de confecção ao atendimento tão somente após receber a confirmação de pagamento por parte do cliente.</w:t>
      </w:r>
    </w:p>
    <w:p w:rsidRPr="00E16303" w:rsidR="00E16303" w:rsidP="00E16303" w:rsidRDefault="00E16303" w14:paraId="3FB4A6DA" w14:textId="0B1AFC81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RN-0020: Para que o cliente entregue a guia do pedido ao Caixa, o atendimento deve ter entregue o pedido ao cliente, junto com a guia do pedido, onde consta todas as especificações e valor.</w:t>
      </w:r>
    </w:p>
    <w:p w:rsidRPr="00E16303" w:rsidR="00E16303" w:rsidP="00E16303" w:rsidRDefault="00E16303" w14:paraId="4BA3E008" w14:textId="606526E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RN-0021: O cliente realiza o pagamento após entregar a guia do pedido ao caixa.</w:t>
      </w:r>
    </w:p>
    <w:p w:rsidRPr="00E16303" w:rsidR="00E16303" w:rsidP="00E16303" w:rsidRDefault="00E16303" w14:paraId="475F6A63" w14:textId="04384A5F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RN-0022: O cliente pode desistir de realizar o pagamento mesmo após entregar a guia, sem precisar de um processo de devolução. O pedido é cancelado e o produto devolvido ao atendente.</w:t>
      </w:r>
    </w:p>
    <w:p w:rsidRPr="00E16303" w:rsidR="00E16303" w:rsidP="00E16303" w:rsidRDefault="00E16303" w14:paraId="5A9CC541" w14:textId="086FAD7D">
      <w:r>
        <w:br/>
      </w:r>
    </w:p>
    <w:p w:rsidRPr="00E16303" w:rsidR="00E16303" w:rsidP="00E16303" w:rsidRDefault="00E16303" w14:paraId="48664170" w14:textId="47CD87B5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Retirar Pedido Personalizado</w:t>
      </w:r>
    </w:p>
    <w:p w:rsidRPr="00E16303" w:rsidR="00E16303" w:rsidP="00E16303" w:rsidRDefault="00E16303" w14:paraId="66F69360" w14:textId="7C3FC80A">
      <w:r>
        <w:br/>
      </w:r>
    </w:p>
    <w:p w:rsidRPr="00E16303" w:rsidR="00E16303" w:rsidP="00E16303" w:rsidRDefault="00E16303" w14:paraId="0AC1A3C7" w14:textId="172EF13B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RN-0023: Após realizar um pedido personalizado o cliente recebe o prazo de produção, após o prazo, o cliente pode retirar o pedido em loja.</w:t>
      </w:r>
    </w:p>
    <w:p w:rsidRPr="00E16303" w:rsidR="00E16303" w:rsidP="00E16303" w:rsidRDefault="00E16303" w14:paraId="7860CFAC" w14:textId="534CB10C"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RN-0024: Cliente deve informar o número do pedido ao atendimento, </w:t>
      </w:r>
      <w:r w:rsidRPr="66BF8DC0" w:rsidR="47E26BCB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 o atendimento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deve informar o número ao estoque.</w:t>
      </w:r>
    </w:p>
    <w:p w:rsidRPr="00E16303" w:rsidR="00E16303" w:rsidP="66BF8DC0" w:rsidRDefault="00E16303" w14:paraId="16CA1953" w14:textId="2C779D2F">
      <w:pPr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RN-0025: Estoque deve pegar o produto correspondente ao número do pedido, e entregar ao atendente para que </w:t>
      </w:r>
      <w:r w:rsidRPr="66BF8DC0" w:rsidR="52AB5133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ele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66BF8DC0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entregue ao cliente.</w:t>
      </w:r>
    </w:p>
    <w:p w:rsidRPr="00E16303" w:rsidR="00E16303" w:rsidP="00E16303" w:rsidRDefault="00E16303" w14:paraId="1E64385D" w14:textId="4372D67A">
      <w:r>
        <w:br/>
      </w:r>
    </w:p>
    <w:p w:rsidRPr="00E16303" w:rsidR="00E16303" w:rsidP="6A0ABBE6" w:rsidRDefault="00E16303" w14:paraId="4BECFF4C" w14:textId="04E05790">
      <w:pPr>
        <w:pStyle w:val="Normal"/>
      </w:pPr>
    </w:p>
    <w:p w:rsidR="008271E6" w:rsidRDefault="008271E6" w14:paraId="17D0BE48" w14:textId="77777777"/>
    <w:p w:rsidR="68EC8415" w:rsidP="68EC8415" w:rsidRDefault="68EC8415" w14:paraId="549B0064" w14:textId="3A21A4BA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hybrid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2187105"/>
    <w:rsid w:val="0255BB6C"/>
    <w:rsid w:val="028C90A8"/>
    <w:rsid w:val="0390426C"/>
    <w:rsid w:val="03CD7C61"/>
    <w:rsid w:val="04084640"/>
    <w:rsid w:val="04DC1ACE"/>
    <w:rsid w:val="04EE9E8F"/>
    <w:rsid w:val="05DE880D"/>
    <w:rsid w:val="05EBBD5E"/>
    <w:rsid w:val="06115A30"/>
    <w:rsid w:val="061BF612"/>
    <w:rsid w:val="06A29D21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2A03AB7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06D11B"/>
    <w:rsid w:val="19A9326B"/>
    <w:rsid w:val="19F67512"/>
    <w:rsid w:val="1A1315BF"/>
    <w:rsid w:val="1A50501F"/>
    <w:rsid w:val="1B23C77D"/>
    <w:rsid w:val="1B6D59D1"/>
    <w:rsid w:val="1B76D364"/>
    <w:rsid w:val="1BD4ADEA"/>
    <w:rsid w:val="1BE69AC1"/>
    <w:rsid w:val="1C8584A7"/>
    <w:rsid w:val="1CEE1343"/>
    <w:rsid w:val="1D32BF25"/>
    <w:rsid w:val="1D7EE613"/>
    <w:rsid w:val="1D820808"/>
    <w:rsid w:val="1E06B7EB"/>
    <w:rsid w:val="1E86B48E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4EDA3E5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8FDB00"/>
    <w:rsid w:val="349E76CD"/>
    <w:rsid w:val="34AAB665"/>
    <w:rsid w:val="357D76E7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5BF7BC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508162"/>
    <w:rsid w:val="44BB6ADF"/>
    <w:rsid w:val="461E5843"/>
    <w:rsid w:val="46F457CE"/>
    <w:rsid w:val="47D9E344"/>
    <w:rsid w:val="47E26BCB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4AECBA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2AB5133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756F3B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60E15D57"/>
    <w:rsid w:val="61A33790"/>
    <w:rsid w:val="620DD5F3"/>
    <w:rsid w:val="62120151"/>
    <w:rsid w:val="631C1A5D"/>
    <w:rsid w:val="63551C17"/>
    <w:rsid w:val="6448EADC"/>
    <w:rsid w:val="64DAD852"/>
    <w:rsid w:val="65A53CE9"/>
    <w:rsid w:val="65A924AC"/>
    <w:rsid w:val="664F3E9D"/>
    <w:rsid w:val="66BF8DC0"/>
    <w:rsid w:val="6750B3B4"/>
    <w:rsid w:val="6791420A"/>
    <w:rsid w:val="68EC8415"/>
    <w:rsid w:val="68F5FF82"/>
    <w:rsid w:val="69E00DE7"/>
    <w:rsid w:val="69FA8399"/>
    <w:rsid w:val="6A09535B"/>
    <w:rsid w:val="6A0ABBE6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F5006F2"/>
    <w:rsid w:val="6FA51D3E"/>
    <w:rsid w:val="70A36684"/>
    <w:rsid w:val="70F93429"/>
    <w:rsid w:val="71FCB0DC"/>
    <w:rsid w:val="724501E3"/>
    <w:rsid w:val="7293F5F0"/>
    <w:rsid w:val="74D43395"/>
    <w:rsid w:val="7533E818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A7383FE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15</revision>
  <dcterms:created xsi:type="dcterms:W3CDTF">2020-09-03T01:35:00.0000000Z</dcterms:created>
  <dcterms:modified xsi:type="dcterms:W3CDTF">2021-04-02T23:59:06.4821725Z</dcterms:modified>
</coreProperties>
</file>