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68w9s6sep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Proposta de Startup: EcoFlow Logistics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Olá, sou o fundador e CEO da </w:t>
      </w:r>
      <w:r w:rsidDel="00000000" w:rsidR="00000000" w:rsidRPr="00000000">
        <w:rPr>
          <w:rtl w:val="0"/>
        </w:rPr>
        <w:t xml:space="preserve">EcoFlow Logistics</w:t>
      </w:r>
      <w:r w:rsidDel="00000000" w:rsidR="00000000" w:rsidRPr="00000000">
        <w:rPr>
          <w:rtl w:val="0"/>
        </w:rPr>
        <w:t xml:space="preserve">, uma startup </w:t>
      </w:r>
      <w:r w:rsidDel="00000000" w:rsidR="00000000" w:rsidRPr="00000000">
        <w:rPr>
          <w:i w:val="1"/>
          <w:iCs w:val="1"/>
          <w:rtl w:val="0"/>
        </w:rPr>
        <w:t xml:space="preserve">data-driven</w:t>
      </w:r>
      <w:r w:rsidDel="00000000" w:rsidR="00000000" w:rsidRPr="00000000">
        <w:rPr>
          <w:rtl w:val="0"/>
        </w:rPr>
        <w:t xml:space="preserve"> focada em resolver um dos maiores gargalos da última milha (</w:t>
      </w:r>
      <w:r w:rsidDel="00000000" w:rsidR="00000000" w:rsidRPr="00000000">
        <w:rPr>
          <w:i w:val="1"/>
          <w:iCs w:val="1"/>
          <w:rtl w:val="0"/>
        </w:rPr>
        <w:t xml:space="preserve">last-mile</w:t>
      </w:r>
      <w:r w:rsidDel="00000000" w:rsidR="00000000" w:rsidRPr="00000000">
        <w:rPr>
          <w:rtl w:val="0"/>
        </w:rPr>
        <w:t xml:space="preserve">) no Brasil: a ineficiência logística urbana que gera desperdício de combustível, emissão excessiva de CO2 e custos operacionais astronômicos. Nosso problema central reside no fato de que empresas de entrega perdem até 30% de sua margem de lucro devido a rotas ineficientes, reentregas por destinatário ausente e falta de previsibilidade do tráfego em tempo real em zonas de alta densidade. O caos urbano é o nosso ponto de partida.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Para combater esse problema, a EcoFlow utiliza os dados como seu principal ativo estratégico. Coletamos e processamos grandes volumes de dados brutos provenientes de múltiplas fontes. Estes incluem dados de telemetria veicular (velocidade, consumo e paradas ociosas) e geolocalização (GPS) em tempo real das frotas e entregadores. Também ingerimos o histórico de transações, identificando os horários exatos de entregas bem-sucedidas por CEP, e dados externos como clima, eventos urbanos (obras ou protestos) e densidade de tráfego de terceiros. No nosso mapa conceitual, esses dados são classificados como entrada (input), originando-se de sensores IoT, APIs e logs, e variando entre estruturados (coordenadas, horários) e não estruturados (feedbacks em texto dos motoristas).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 coração da EcoFlow é o nosso sistema de processamento, o </w:t>
      </w:r>
      <w:r w:rsidDel="00000000" w:rsidR="00000000" w:rsidRPr="00000000">
        <w:rPr>
          <w:rtl w:val="0"/>
        </w:rPr>
        <w:t xml:space="preserve">Motor de Otimização Estocástica (MOE)</w:t>
      </w:r>
      <w:r w:rsidDel="00000000" w:rsidR="00000000" w:rsidRPr="00000000">
        <w:rPr>
          <w:rtl w:val="0"/>
        </w:rPr>
        <w:t xml:space="preserve">. O fluxo da informação começa com a coleta, utilizando Kafka para processamento em tempo real, seguida pelo armazenamento em um Data Lake (Amazon S3) para dados brutos e no PostgreSQL para dados relacionais. A transformação de dados em informação ocorre através de análises e processamento utilizando algoritmos de Machine Learning, como Random Forest e Redes Neurais. Essas tecnologias e processos cruzam o histórico de entregas com as condições atuais das vias para otimizar as rotas. O sistema exibe os resultados em dashboards integrados ao aplicativo do motorista.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Ao transformar esses dados e informações em conhecimento, a EcoFlow gera descobertas valiosas. Identificamos padrões de comportamento, como regiões onde a probabilidade de sucesso na entrega aumenta 40% em horários específicos (ex: entre as 18h e 20h). Reconhecemos tendências, como o aumento de 15% no tempo de percurso em dias de chuva leve em determinadas áreas. E criamos previsões, como o horário estimado de chegada (ETA) com 92% de precisão. Esses insights ajudam o usuário (o gestor de frota) a deixar de depender da sorte e passar a despachar veículos com base em janelas de oportunidade reais.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Por fim, esse conhecimento permite a tomada de decisões mais assertivas e gera valor real para o negócio. A solução viabiliza decisões como o redirecionamento dinâmico, alterando a rota de um veículo em tempo real caso uma via seja bloqueada, e o dimensionamento preciso da frota, prevendo a necessidade de motoristas extras para dias de alta demanda. O valor de negócio gerado se traduz em um aumento de eficiência operacional (com redução de 20% na quilometragem rodada), redução direta de custos (economia de 15% em combustível), personalização do serviço para o consumidor final e inovação sustentável através da redução da pegada de carbono.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