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C3D3F">
      <w:pPr>
        <w:pStyle w:val="2"/>
        <w:bidi w:val="0"/>
        <w:rPr>
          <w:rFonts w:hint="eastAsia"/>
          <w:lang w:val="en-US" w:eastAsia="zh-CN"/>
        </w:rPr>
      </w:pPr>
      <w:r>
        <w:rPr>
          <w:rFonts w:hint="eastAsia"/>
          <w:lang w:val="en-US" w:eastAsia="zh-CN"/>
        </w:rPr>
        <w:t>目标与过程管理</w:t>
      </w:r>
    </w:p>
    <w:p w14:paraId="4DDE9700">
      <w:pPr>
        <w:pStyle w:val="3"/>
        <w:bidi w:val="0"/>
      </w:pPr>
      <w:r>
        <w:t>第一题（10 学分）【管理实践 - 制定 | 修订目标】</w:t>
      </w:r>
    </w:p>
    <w:p w14:paraId="730038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请从管理的角度重新理解 SMART 原则，清晰的定义目标是提升团队执行力的前提条件。请阅读 SMART 原则要求，并以此设计组内相关业务的短期或长期目标，例如：某项目开发、技术难题攻关、小组承接的年度绩效考核 PBC 及组员个人成长计划等。</w:t>
      </w:r>
    </w:p>
    <w:p w14:paraId="1FD47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思考题：请认真运用 SMART 的表格，综合思考与设定小组的 3 个最重要的目标，目标设定的规范的目的不在于表述，而在于目标被准确的理解，这本身就是提升团队执行力的有效方法。</w:t>
      </w:r>
    </w:p>
    <w:p>
      <w:r>
        <w:rPr>
          <w:rFonts w:ascii="宋体" w:hAnsi="宋体" w:eastAsia="宋体"/>
          <w:b/>
          <w:sz w:val="21"/>
        </w:rPr>
        <w:t>目标1：</w:t>
      </w:r>
    </w:p>
    <w:p>
      <w:r>
        <w:rPr>
          <w:rFonts w:ascii="宋体" w:hAnsi="宋体" w:eastAsia="宋体"/>
          <w:b w:val="0"/>
          <w:sz w:val="21"/>
        </w:rPr>
        <w:t>到2026年12月31日，通过统一链路层新架构设计、完成模块划分与解耦，推动链路层模块由分散耦合开发转变为统一架构下的独立并行开发，实现至少2个模块（目标值）由不同工程师独立开发并顺利集成、无明显架构阻塞，并力争达到3个以上模块（挑战值）【结果目标】：(1) 2026.6.30前输出架构设计文档及开发指南（含模块划分、内部接口规范、公共数据结构、依赖关系），及时率达100%；(2) 2026.9.30前指定模块开发模板，供其他工程师直接复用并结合AI辅助编程提升开发效率，新增模块模板复用率达100%；(3) 全年内架构评审中发现的阻塞类问题闭环率达到100%【过程目标】。</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1421"/>
        <w:gridCol w:w="1421"/>
        <w:gridCol w:w="1421"/>
        <w:gridCol w:w="1421"/>
        <w:gridCol w:w="1421"/>
      </w:tblGrid>
      <w:tr>
        <w:tc>
          <w:tcPr>
            <w:tcW w:type="dxa" w:w="1200"/>
          </w:tcPr>
          <w:p>
            <w:r/>
            <w:r>
              <w:rPr>
                <w:rFonts w:ascii="宋体" w:hAnsi="宋体" w:eastAsia="宋体"/>
                <w:b/>
                <w:sz w:val="21"/>
              </w:rPr>
              <w:t>对目标描述的SMART总结</w:t>
            </w:r>
          </w:p>
        </w:tc>
        <w:tc>
          <w:tcPr>
            <w:tcW w:type="dxa" w:w="1421"/>
          </w:tcPr>
          <w:p>
            <w:r/>
            <w:r>
              <w:rPr>
                <w:rFonts w:ascii="宋体" w:hAnsi="宋体" w:eastAsia="宋体"/>
                <w:b/>
                <w:sz w:val="21"/>
              </w:rPr>
              <w:t>Specific</w:t>
            </w:r>
          </w:p>
          <w:p>
            <w:r>
              <w:rPr>
                <w:rFonts w:ascii="宋体" w:hAnsi="宋体" w:eastAsia="宋体"/>
                <w:b/>
                <w:sz w:val="21"/>
              </w:rPr>
              <w:t>具体</w:t>
            </w:r>
          </w:p>
        </w:tc>
        <w:tc>
          <w:tcPr>
            <w:tcW w:type="dxa" w:w="1421"/>
          </w:tcPr>
          <w:p>
            <w:r/>
            <w:r>
              <w:rPr>
                <w:rFonts w:ascii="宋体" w:hAnsi="宋体" w:eastAsia="宋体"/>
                <w:b/>
                <w:sz w:val="21"/>
              </w:rPr>
              <w:t>Measurable</w:t>
            </w:r>
          </w:p>
          <w:p>
            <w:r>
              <w:rPr>
                <w:rFonts w:ascii="宋体" w:hAnsi="宋体" w:eastAsia="宋体"/>
                <w:b/>
                <w:sz w:val="21"/>
              </w:rPr>
              <w:t>可衡量</w:t>
            </w:r>
          </w:p>
        </w:tc>
        <w:tc>
          <w:tcPr>
            <w:tcW w:type="dxa" w:w="1421"/>
          </w:tcPr>
          <w:p>
            <w:r/>
            <w:r>
              <w:rPr>
                <w:rFonts w:ascii="宋体" w:hAnsi="宋体" w:eastAsia="宋体"/>
                <w:b/>
                <w:sz w:val="21"/>
              </w:rPr>
              <w:t>Aligned</w:t>
            </w:r>
          </w:p>
          <w:p>
            <w:r>
              <w:rPr>
                <w:rFonts w:ascii="宋体" w:hAnsi="宋体" w:eastAsia="宋体"/>
                <w:b/>
                <w:sz w:val="21"/>
              </w:rPr>
              <w:t>一致性</w:t>
            </w:r>
          </w:p>
        </w:tc>
        <w:tc>
          <w:tcPr>
            <w:tcW w:type="dxa" w:w="1421"/>
          </w:tcPr>
          <w:p>
            <w:r/>
            <w:r>
              <w:rPr>
                <w:rFonts w:ascii="宋体" w:hAnsi="宋体" w:eastAsia="宋体"/>
                <w:b/>
                <w:sz w:val="21"/>
              </w:rPr>
              <w:t>Realistic</w:t>
            </w:r>
          </w:p>
          <w:p>
            <w:r>
              <w:rPr>
                <w:rFonts w:ascii="宋体" w:hAnsi="宋体" w:eastAsia="宋体"/>
                <w:b/>
                <w:sz w:val="21"/>
              </w:rPr>
              <w:t>现实的</w:t>
            </w:r>
          </w:p>
        </w:tc>
        <w:tc>
          <w:tcPr>
            <w:tcW w:type="dxa" w:w="1421"/>
          </w:tcPr>
          <w:p>
            <w:r/>
            <w:r>
              <w:rPr>
                <w:rFonts w:ascii="宋体" w:hAnsi="宋体" w:eastAsia="宋体"/>
                <w:b/>
                <w:sz w:val="21"/>
              </w:rPr>
              <w:t>Timed</w:t>
            </w:r>
          </w:p>
          <w:p>
            <w:r>
              <w:rPr>
                <w:rFonts w:ascii="宋体" w:hAnsi="宋体" w:eastAsia="宋体"/>
                <w:b/>
                <w:sz w:val="21"/>
              </w:rPr>
              <w:t>时限</w:t>
            </w:r>
          </w:p>
        </w:tc>
      </w:tr>
      <w:tr>
        <w:tc>
          <w:tcPr>
            <w:tcW w:type="dxa" w:w="1200"/>
          </w:tcPr>
          <w:p>
            <w:r/>
            <w:r>
              <w:rPr>
                <w:rFonts w:ascii="宋体" w:hAnsi="宋体" w:eastAsia="宋体"/>
                <w:b w:val="0"/>
                <w:sz w:val="21"/>
              </w:rPr>
            </w:r>
          </w:p>
        </w:tc>
        <w:tc>
          <w:tcPr>
            <w:tcW w:type="dxa" w:w="1421"/>
          </w:tcPr>
          <w:p>
            <w:r/>
            <w:r>
              <w:rPr>
                <w:rFonts w:ascii="宋体" w:hAnsi="宋体" w:eastAsia="宋体"/>
                <w:b w:val="0"/>
                <w:sz w:val="21"/>
              </w:rPr>
              <w:t>明确了要统一的具体指标"链路层新架构模块解耦与独立并行集成"</w:t>
            </w:r>
          </w:p>
        </w:tc>
        <w:tc>
          <w:tcPr>
            <w:tcW w:type="dxa" w:w="1421"/>
          </w:tcPr>
          <w:p>
            <w:r/>
            <w:r>
              <w:rPr>
                <w:rFonts w:ascii="宋体" w:hAnsi="宋体" w:eastAsia="宋体"/>
                <w:b w:val="0"/>
                <w:sz w:val="21"/>
              </w:rPr>
              <w:t>"2个以上模块""3个以上模块"是清晰的数字衡量标准，模板复用率100%、阻塞问题闭环率100%进一步量化过程目标</w:t>
            </w:r>
          </w:p>
        </w:tc>
        <w:tc>
          <w:tcPr>
            <w:tcW w:type="dxa" w:w="1421"/>
          </w:tcPr>
          <w:p>
            <w:r/>
            <w:r>
              <w:rPr>
                <w:rFonts w:ascii="宋体" w:hAnsi="宋体" w:eastAsia="宋体"/>
                <w:b w:val="0"/>
                <w:sz w:val="21"/>
              </w:rPr>
              <w:t>该目标直接支撑架构统一、模块解耦、并行开发的部门目标，也是后续CBB平台化和自测体系建设的前提</w:t>
            </w:r>
          </w:p>
        </w:tc>
        <w:tc>
          <w:tcPr>
            <w:tcW w:type="dxa" w:w="1421"/>
          </w:tcPr>
          <w:p>
            <w:r/>
            <w:r>
              <w:rPr>
                <w:rFonts w:ascii="宋体" w:hAnsi="宋体" w:eastAsia="宋体"/>
                <w:b w:val="0"/>
                <w:sz w:val="21"/>
              </w:rPr>
              <w:t>以现有S1320V2为基线迭代而非另起炉灶，架构设计由本人主导，实现工作委托湘湘、泰利承接，设置目标值和挑战值，既有现实性又有挑战性</w:t>
            </w:r>
          </w:p>
        </w:tc>
        <w:tc>
          <w:tcPr>
            <w:tcW w:type="dxa" w:w="1421"/>
          </w:tcPr>
          <w:p>
            <w:r/>
            <w:r>
              <w:rPr>
                <w:rFonts w:ascii="宋体" w:hAnsi="宋体" w:eastAsia="宋体"/>
                <w:b w:val="0"/>
                <w:sz w:val="21"/>
              </w:rPr>
              <w:t>有明确截止日期（2026.12.31），且分阶段推进（2026.6.30文档产出/2026.9.30模板复用/2026.12.31并行验证）</w:t>
            </w:r>
          </w:p>
        </w:tc>
      </w:tr>
    </w:tbl>
    <w:p>
      <w:r>
        <w:rPr>
          <w:rFonts w:ascii="宋体" w:hAnsi="宋体" w:eastAsia="宋体"/>
          <w:b w:val="0"/>
          <w:sz w:val="21"/>
        </w:rPr>
      </w:r>
    </w:p>
    <w:p>
      <w:r>
        <w:rPr>
          <w:rFonts w:ascii="宋体" w:hAnsi="宋体" w:eastAsia="宋体"/>
          <w:b/>
          <w:sz w:val="21"/>
        </w:rPr>
        <w:t>目标2：</w:t>
      </w:r>
    </w:p>
    <w:p>
      <w:r>
        <w:rPr>
          <w:rFonts w:ascii="宋体" w:hAnsi="宋体" w:eastAsia="宋体"/>
          <w:b w:val="0"/>
          <w:sz w:val="21"/>
        </w:rPr>
        <w:t>到2026年12月31日，通过建立并推行链路层科室级自验证机制，推动链路层自验证执行率从当前无统一机制、以个人自查为主的状态，提升至90%（目标值），并力争达到95%（挑战值）【结果目标】：(1) 完成《链路层软件自验证规范》和《链路层自验证报告模板》评审发布，及时率达100%；(2) 在至少1个重点交付项目试点自验证机制，输出自验证报告、问题清单和闭环记录，报告按时交付率≥90%；(3) 自验证发现问题的闭环率达到100%，报告归档率≥90%，支持审计追溯【过程目标】。</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1421"/>
        <w:gridCol w:w="1421"/>
        <w:gridCol w:w="1421"/>
        <w:gridCol w:w="1421"/>
        <w:gridCol w:w="1421"/>
      </w:tblGrid>
      <w:tr>
        <w:tc>
          <w:tcPr>
            <w:tcW w:type="dxa" w:w="1200"/>
          </w:tcPr>
          <w:p>
            <w:r/>
            <w:r>
              <w:rPr>
                <w:rFonts w:ascii="宋体" w:hAnsi="宋体" w:eastAsia="宋体"/>
                <w:b/>
                <w:sz w:val="21"/>
              </w:rPr>
              <w:t>对目标描述的SMART总结</w:t>
            </w:r>
          </w:p>
        </w:tc>
        <w:tc>
          <w:tcPr>
            <w:tcW w:type="dxa" w:w="1421"/>
          </w:tcPr>
          <w:p>
            <w:r/>
            <w:r>
              <w:rPr>
                <w:rFonts w:ascii="宋体" w:hAnsi="宋体" w:eastAsia="宋体"/>
                <w:b/>
                <w:sz w:val="21"/>
              </w:rPr>
              <w:t>Specific</w:t>
            </w:r>
          </w:p>
          <w:p>
            <w:r>
              <w:rPr>
                <w:rFonts w:ascii="宋体" w:hAnsi="宋体" w:eastAsia="宋体"/>
                <w:b/>
                <w:sz w:val="21"/>
              </w:rPr>
              <w:t>具体</w:t>
            </w:r>
          </w:p>
        </w:tc>
        <w:tc>
          <w:tcPr>
            <w:tcW w:type="dxa" w:w="1421"/>
          </w:tcPr>
          <w:p>
            <w:r/>
            <w:r>
              <w:rPr>
                <w:rFonts w:ascii="宋体" w:hAnsi="宋体" w:eastAsia="宋体"/>
                <w:b/>
                <w:sz w:val="21"/>
              </w:rPr>
              <w:t>Measurable</w:t>
            </w:r>
          </w:p>
          <w:p>
            <w:r>
              <w:rPr>
                <w:rFonts w:ascii="宋体" w:hAnsi="宋体" w:eastAsia="宋体"/>
                <w:b/>
                <w:sz w:val="21"/>
              </w:rPr>
              <w:t>可衡量</w:t>
            </w:r>
          </w:p>
        </w:tc>
        <w:tc>
          <w:tcPr>
            <w:tcW w:type="dxa" w:w="1421"/>
          </w:tcPr>
          <w:p>
            <w:r/>
            <w:r>
              <w:rPr>
                <w:rFonts w:ascii="宋体" w:hAnsi="宋体" w:eastAsia="宋体"/>
                <w:b/>
                <w:sz w:val="21"/>
              </w:rPr>
              <w:t>Aligned</w:t>
            </w:r>
          </w:p>
          <w:p>
            <w:r>
              <w:rPr>
                <w:rFonts w:ascii="宋体" w:hAnsi="宋体" w:eastAsia="宋体"/>
                <w:b/>
                <w:sz w:val="21"/>
              </w:rPr>
              <w:t>一致性</w:t>
            </w:r>
          </w:p>
        </w:tc>
        <w:tc>
          <w:tcPr>
            <w:tcW w:type="dxa" w:w="1421"/>
          </w:tcPr>
          <w:p>
            <w:r/>
            <w:r>
              <w:rPr>
                <w:rFonts w:ascii="宋体" w:hAnsi="宋体" w:eastAsia="宋体"/>
                <w:b/>
                <w:sz w:val="21"/>
              </w:rPr>
              <w:t>Realistic</w:t>
            </w:r>
          </w:p>
          <w:p>
            <w:r>
              <w:rPr>
                <w:rFonts w:ascii="宋体" w:hAnsi="宋体" w:eastAsia="宋体"/>
                <w:b/>
                <w:sz w:val="21"/>
              </w:rPr>
              <w:t>现实的</w:t>
            </w:r>
          </w:p>
        </w:tc>
        <w:tc>
          <w:tcPr>
            <w:tcW w:type="dxa" w:w="1421"/>
          </w:tcPr>
          <w:p>
            <w:r/>
            <w:r>
              <w:rPr>
                <w:rFonts w:ascii="宋体" w:hAnsi="宋体" w:eastAsia="宋体"/>
                <w:b/>
                <w:sz w:val="21"/>
              </w:rPr>
              <w:t>Timed</w:t>
            </w:r>
          </w:p>
          <w:p>
            <w:r>
              <w:rPr>
                <w:rFonts w:ascii="宋体" w:hAnsi="宋体" w:eastAsia="宋体"/>
                <w:b/>
                <w:sz w:val="21"/>
              </w:rPr>
              <w:t>时限</w:t>
            </w:r>
          </w:p>
        </w:tc>
      </w:tr>
      <w:tr>
        <w:tc>
          <w:tcPr>
            <w:tcW w:type="dxa" w:w="1200"/>
          </w:tcPr>
          <w:p>
            <w:r/>
            <w:r>
              <w:rPr>
                <w:rFonts w:ascii="宋体" w:hAnsi="宋体" w:eastAsia="宋体"/>
                <w:b w:val="0"/>
                <w:sz w:val="21"/>
              </w:rPr>
            </w:r>
          </w:p>
        </w:tc>
        <w:tc>
          <w:tcPr>
            <w:tcW w:type="dxa" w:w="1421"/>
          </w:tcPr>
          <w:p>
            <w:r/>
            <w:r>
              <w:rPr>
                <w:rFonts w:ascii="宋体" w:hAnsi="宋体" w:eastAsia="宋体"/>
                <w:b w:val="0"/>
                <w:sz w:val="21"/>
              </w:rPr>
              <w:t>明确了要提升的具体指标"链路层自验证执行率"</w:t>
            </w:r>
          </w:p>
        </w:tc>
        <w:tc>
          <w:tcPr>
            <w:tcW w:type="dxa" w:w="1421"/>
          </w:tcPr>
          <w:p>
            <w:r/>
            <w:r>
              <w:rPr>
                <w:rFonts w:ascii="宋体" w:hAnsi="宋体" w:eastAsia="宋体"/>
                <w:b w:val="0"/>
                <w:sz w:val="21"/>
              </w:rPr>
              <w:t>"90%""95%"是清晰的数字衡量标准，闭环率100%、归档率≥90%进一步量化过程目标</w:t>
            </w:r>
          </w:p>
        </w:tc>
        <w:tc>
          <w:tcPr>
            <w:tcW w:type="dxa" w:w="1421"/>
          </w:tcPr>
          <w:p>
            <w:r/>
            <w:r>
              <w:rPr>
                <w:rFonts w:ascii="宋体" w:hAnsi="宋体" w:eastAsia="宋体"/>
                <w:b w:val="0"/>
                <w:sz w:val="21"/>
              </w:rPr>
              <w:t>该目标直接支撑科室质量管理和CBB平台化"高内聚低耦合"的更高层级目标</w:t>
            </w:r>
          </w:p>
        </w:tc>
        <w:tc>
          <w:tcPr>
            <w:tcW w:type="dxa" w:w="1421"/>
          </w:tcPr>
          <w:p>
            <w:r/>
            <w:r>
              <w:rPr>
                <w:rFonts w:ascii="宋体" w:hAnsi="宋体" w:eastAsia="宋体"/>
                <w:b w:val="0"/>
                <w:sz w:val="21"/>
              </w:rPr>
              <w:t>设置"目标值"和"挑战值"，规范发布+试点验证分两步走，责任到人（本人牵头，各模块负责人配合），既有现实性又有挑战性</w:t>
            </w:r>
          </w:p>
        </w:tc>
        <w:tc>
          <w:tcPr>
            <w:tcW w:type="dxa" w:w="1421"/>
          </w:tcPr>
          <w:p>
            <w:r/>
            <w:r>
              <w:rPr>
                <w:rFonts w:ascii="宋体" w:hAnsi="宋体" w:eastAsia="宋体"/>
                <w:b w:val="0"/>
                <w:sz w:val="21"/>
              </w:rPr>
              <w:t>有明确截止日期（2026.12.31），且分阶段推进（先规范发布，再试点执行）</w:t>
            </w:r>
          </w:p>
        </w:tc>
      </w:tr>
    </w:tbl>
    <w:p>
      <w:r>
        <w:rPr>
          <w:rFonts w:ascii="宋体" w:hAnsi="宋体" w:eastAsia="宋体"/>
          <w:b w:val="0"/>
          <w:sz w:val="21"/>
        </w:rPr>
      </w:r>
    </w:p>
    <w:p>
      <w:r>
        <w:rPr>
          <w:rFonts w:ascii="宋体" w:hAnsi="宋体" w:eastAsia="宋体"/>
          <w:b/>
          <w:sz w:val="21"/>
        </w:rPr>
        <w:t>目标3：</w:t>
      </w:r>
    </w:p>
    <w:p>
      <w:r>
        <w:rPr>
          <w:rFonts w:ascii="宋体" w:hAnsi="宋体" w:eastAsia="宋体"/>
          <w:b w:val="0"/>
          <w:sz w:val="21"/>
        </w:rPr>
        <w:t>到2026年12月31日，通过推进链路层数据面模块化开发规范落地，将链路层数据面模块（覆盖分簇、多波束/空分复用、1Gbps、全向能力）测试用例覆盖率提升至90%（目标值），并力争达到95%（挑战值），实现工程化落地、满足年度产品交付要求【结果目标】：(1) 所有新增/重构代码以独立模块形式交付，模块说明文档完备率（含模块定位、接口说明、依赖关系、使用示例）达到100%；(2) 各子模块负责人及需求澄清及时率达100%（对自适应选频、移动性切换等需求不明确的模块先澄清再排期，避免盲目投入）；(3) 模块结构评审通过率（无循环依赖、独立文件管理）达到100%【过程目标】。</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1421"/>
        <w:gridCol w:w="1421"/>
        <w:gridCol w:w="1421"/>
        <w:gridCol w:w="1421"/>
        <w:gridCol w:w="1421"/>
      </w:tblGrid>
      <w:tr>
        <w:tc>
          <w:tcPr>
            <w:tcW w:type="dxa" w:w="1200"/>
          </w:tcPr>
          <w:p>
            <w:r/>
            <w:r>
              <w:rPr>
                <w:rFonts w:ascii="宋体" w:hAnsi="宋体" w:eastAsia="宋体"/>
                <w:b/>
                <w:sz w:val="21"/>
              </w:rPr>
              <w:t>对目标描述的SMART总结</w:t>
            </w:r>
          </w:p>
        </w:tc>
        <w:tc>
          <w:tcPr>
            <w:tcW w:type="dxa" w:w="1421"/>
          </w:tcPr>
          <w:p>
            <w:r/>
            <w:r>
              <w:rPr>
                <w:rFonts w:ascii="宋体" w:hAnsi="宋体" w:eastAsia="宋体"/>
                <w:b/>
                <w:sz w:val="21"/>
              </w:rPr>
              <w:t>Specific</w:t>
            </w:r>
          </w:p>
          <w:p>
            <w:r>
              <w:rPr>
                <w:rFonts w:ascii="宋体" w:hAnsi="宋体" w:eastAsia="宋体"/>
                <w:b/>
                <w:sz w:val="21"/>
              </w:rPr>
              <w:t>具体</w:t>
            </w:r>
          </w:p>
        </w:tc>
        <w:tc>
          <w:tcPr>
            <w:tcW w:type="dxa" w:w="1421"/>
          </w:tcPr>
          <w:p>
            <w:r/>
            <w:r>
              <w:rPr>
                <w:rFonts w:ascii="宋体" w:hAnsi="宋体" w:eastAsia="宋体"/>
                <w:b/>
                <w:sz w:val="21"/>
              </w:rPr>
              <w:t>Measurable</w:t>
            </w:r>
          </w:p>
          <w:p>
            <w:r>
              <w:rPr>
                <w:rFonts w:ascii="宋体" w:hAnsi="宋体" w:eastAsia="宋体"/>
                <w:b/>
                <w:sz w:val="21"/>
              </w:rPr>
              <w:t>可衡量</w:t>
            </w:r>
          </w:p>
        </w:tc>
        <w:tc>
          <w:tcPr>
            <w:tcW w:type="dxa" w:w="1421"/>
          </w:tcPr>
          <w:p>
            <w:r/>
            <w:r>
              <w:rPr>
                <w:rFonts w:ascii="宋体" w:hAnsi="宋体" w:eastAsia="宋体"/>
                <w:b/>
                <w:sz w:val="21"/>
              </w:rPr>
              <w:t>Aligned</w:t>
            </w:r>
          </w:p>
          <w:p>
            <w:r>
              <w:rPr>
                <w:rFonts w:ascii="宋体" w:hAnsi="宋体" w:eastAsia="宋体"/>
                <w:b/>
                <w:sz w:val="21"/>
              </w:rPr>
              <w:t>一致性</w:t>
            </w:r>
          </w:p>
        </w:tc>
        <w:tc>
          <w:tcPr>
            <w:tcW w:type="dxa" w:w="1421"/>
          </w:tcPr>
          <w:p>
            <w:r/>
            <w:r>
              <w:rPr>
                <w:rFonts w:ascii="宋体" w:hAnsi="宋体" w:eastAsia="宋体"/>
                <w:b/>
                <w:sz w:val="21"/>
              </w:rPr>
              <w:t>Realistic</w:t>
            </w:r>
          </w:p>
          <w:p>
            <w:r>
              <w:rPr>
                <w:rFonts w:ascii="宋体" w:hAnsi="宋体" w:eastAsia="宋体"/>
                <w:b/>
                <w:sz w:val="21"/>
              </w:rPr>
              <w:t>现实的</w:t>
            </w:r>
          </w:p>
        </w:tc>
        <w:tc>
          <w:tcPr>
            <w:tcW w:type="dxa" w:w="1421"/>
          </w:tcPr>
          <w:p>
            <w:r/>
            <w:r>
              <w:rPr>
                <w:rFonts w:ascii="宋体" w:hAnsi="宋体" w:eastAsia="宋体"/>
                <w:b/>
                <w:sz w:val="21"/>
              </w:rPr>
              <w:t>Timed</w:t>
            </w:r>
          </w:p>
          <w:p>
            <w:r>
              <w:rPr>
                <w:rFonts w:ascii="宋体" w:hAnsi="宋体" w:eastAsia="宋体"/>
                <w:b/>
                <w:sz w:val="21"/>
              </w:rPr>
              <w:t>时限</w:t>
            </w:r>
          </w:p>
        </w:tc>
      </w:tr>
      <w:tr>
        <w:tc>
          <w:tcPr>
            <w:tcW w:type="dxa" w:w="1200"/>
          </w:tcPr>
          <w:p>
            <w:r/>
            <w:r>
              <w:rPr>
                <w:rFonts w:ascii="宋体" w:hAnsi="宋体" w:eastAsia="宋体"/>
                <w:b w:val="0"/>
                <w:sz w:val="21"/>
              </w:rPr>
            </w:r>
          </w:p>
        </w:tc>
        <w:tc>
          <w:tcPr>
            <w:tcW w:type="dxa" w:w="1421"/>
          </w:tcPr>
          <w:p>
            <w:r/>
            <w:r>
              <w:rPr>
                <w:rFonts w:ascii="宋体" w:hAnsi="宋体" w:eastAsia="宋体"/>
                <w:b w:val="0"/>
                <w:sz w:val="21"/>
              </w:rPr>
              <w:t>明确了要提升的具体指标"链路层数据面模块测试用例覆盖率"和"工程化落地"</w:t>
            </w:r>
          </w:p>
        </w:tc>
        <w:tc>
          <w:tcPr>
            <w:tcW w:type="dxa" w:w="1421"/>
          </w:tcPr>
          <w:p>
            <w:r/>
            <w:r>
              <w:rPr>
                <w:rFonts w:ascii="宋体" w:hAnsi="宋体" w:eastAsia="宋体"/>
                <w:b w:val="0"/>
                <w:sz w:val="21"/>
              </w:rPr>
              <w:t>"90%""95%"是清晰的数字衡量标准，文档完备率100%、结构评审通过率100%进一步量化过程目标</w:t>
            </w:r>
          </w:p>
        </w:tc>
        <w:tc>
          <w:tcPr>
            <w:tcW w:type="dxa" w:w="1421"/>
          </w:tcPr>
          <w:p>
            <w:r/>
            <w:r>
              <w:rPr>
                <w:rFonts w:ascii="宋体" w:hAnsi="宋体" w:eastAsia="宋体"/>
                <w:b w:val="0"/>
                <w:sz w:val="21"/>
              </w:rPr>
              <w:t>该目标直接支撑年度定向/全向产品交付，也是公司《软件重用开发与管理规范》下CBB代码复用落地的载体</w:t>
            </w:r>
          </w:p>
        </w:tc>
        <w:tc>
          <w:tcPr>
            <w:tcW w:type="dxa" w:w="1421"/>
          </w:tcPr>
          <w:p>
            <w:r/>
            <w:r>
              <w:rPr>
                <w:rFonts w:ascii="宋体" w:hAnsi="宋体" w:eastAsia="宋体"/>
                <w:b w:val="0"/>
                <w:sz w:val="21"/>
              </w:rPr>
              <w:t>各子模块已明确负责人，需求不明确模块先澄清再排期避免盲目投入，由SE/科室主任/主任设计师评审把关，设置目标值和挑战值，兼具现实性和挑战性</w:t>
            </w:r>
          </w:p>
        </w:tc>
        <w:tc>
          <w:tcPr>
            <w:tcW w:type="dxa" w:w="1421"/>
          </w:tcPr>
          <w:p>
            <w:r/>
            <w:r>
              <w:rPr>
                <w:rFonts w:ascii="宋体" w:hAnsi="宋体" w:eastAsia="宋体"/>
                <w:b w:val="0"/>
                <w:sz w:val="21"/>
              </w:rPr>
              <w:t>有明确时限（年度内即2026年内完成工程化落地），满足年度产品交付节点要求</w:t>
            </w:r>
          </w:p>
        </w:tc>
      </w:tr>
    </w:tbl>
    <w:p>
      <w:r>
        <w:rPr>
          <w:rFonts w:ascii="宋体" w:hAnsi="宋体" w:eastAsia="宋体"/>
          <w:b w:val="0"/>
          <w:sz w:val="21"/>
        </w:rPr>
      </w:r>
    </w:p>
    <w:p>
      <w:r>
        <w:rPr>
          <w:rFonts w:ascii="宋体" w:hAnsi="宋体" w:eastAsia="宋体"/>
          <w:b/>
          <w:sz w:val="21"/>
        </w:rPr>
        <w:t>目标4：</w:t>
      </w:r>
    </w:p>
    <w:p>
      <w:r>
        <w:rPr>
          <w:rFonts w:ascii="宋体" w:hAnsi="宋体" w:eastAsia="宋体"/>
          <w:b w:val="0"/>
          <w:sz w:val="21"/>
        </w:rPr>
        <w:t>到2026年12月31日，通过统筹链路层组网、资源管理、数据面通用化、安全认证等重点模块的年度交付保障，实现军品/民品系列项目关键里程碑按计划推进达成率100%（目标值），交付问题闭环率达到95%以上（挑战值）【结果目标】：(1) 各模块负责人按周输出进展、问题和自测结果，周报及时率达100%；(2) 重大风险提前上报并形成预案的及时率达100%；(3) 交付问题责任到人并闭环，闭环率达到95%以上【过程目标】。</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1421"/>
        <w:gridCol w:w="1421"/>
        <w:gridCol w:w="1421"/>
        <w:gridCol w:w="1421"/>
        <w:gridCol w:w="1421"/>
      </w:tblGrid>
      <w:tr>
        <w:tc>
          <w:tcPr>
            <w:tcW w:type="dxa" w:w="1200"/>
          </w:tcPr>
          <w:p>
            <w:r/>
            <w:r>
              <w:rPr>
                <w:rFonts w:ascii="宋体" w:hAnsi="宋体" w:eastAsia="宋体"/>
                <w:b/>
                <w:sz w:val="21"/>
              </w:rPr>
              <w:t>对目标描述的SMART总结</w:t>
            </w:r>
          </w:p>
        </w:tc>
        <w:tc>
          <w:tcPr>
            <w:tcW w:type="dxa" w:w="1421"/>
          </w:tcPr>
          <w:p>
            <w:r/>
            <w:r>
              <w:rPr>
                <w:rFonts w:ascii="宋体" w:hAnsi="宋体" w:eastAsia="宋体"/>
                <w:b/>
                <w:sz w:val="21"/>
              </w:rPr>
              <w:t>Specific</w:t>
            </w:r>
          </w:p>
          <w:p>
            <w:r>
              <w:rPr>
                <w:rFonts w:ascii="宋体" w:hAnsi="宋体" w:eastAsia="宋体"/>
                <w:b/>
                <w:sz w:val="21"/>
              </w:rPr>
              <w:t>具体</w:t>
            </w:r>
          </w:p>
        </w:tc>
        <w:tc>
          <w:tcPr>
            <w:tcW w:type="dxa" w:w="1421"/>
          </w:tcPr>
          <w:p>
            <w:r/>
            <w:r>
              <w:rPr>
                <w:rFonts w:ascii="宋体" w:hAnsi="宋体" w:eastAsia="宋体"/>
                <w:b/>
                <w:sz w:val="21"/>
              </w:rPr>
              <w:t>Measurable</w:t>
            </w:r>
          </w:p>
          <w:p>
            <w:r>
              <w:rPr>
                <w:rFonts w:ascii="宋体" w:hAnsi="宋体" w:eastAsia="宋体"/>
                <w:b/>
                <w:sz w:val="21"/>
              </w:rPr>
              <w:t>可衡量</w:t>
            </w:r>
          </w:p>
        </w:tc>
        <w:tc>
          <w:tcPr>
            <w:tcW w:type="dxa" w:w="1421"/>
          </w:tcPr>
          <w:p>
            <w:r/>
            <w:r>
              <w:rPr>
                <w:rFonts w:ascii="宋体" w:hAnsi="宋体" w:eastAsia="宋体"/>
                <w:b/>
                <w:sz w:val="21"/>
              </w:rPr>
              <w:t>Aligned</w:t>
            </w:r>
          </w:p>
          <w:p>
            <w:r>
              <w:rPr>
                <w:rFonts w:ascii="宋体" w:hAnsi="宋体" w:eastAsia="宋体"/>
                <w:b/>
                <w:sz w:val="21"/>
              </w:rPr>
              <w:t>一致性</w:t>
            </w:r>
          </w:p>
        </w:tc>
        <w:tc>
          <w:tcPr>
            <w:tcW w:type="dxa" w:w="1421"/>
          </w:tcPr>
          <w:p>
            <w:r/>
            <w:r>
              <w:rPr>
                <w:rFonts w:ascii="宋体" w:hAnsi="宋体" w:eastAsia="宋体"/>
                <w:b/>
                <w:sz w:val="21"/>
              </w:rPr>
              <w:t>Realistic</w:t>
            </w:r>
          </w:p>
          <w:p>
            <w:r>
              <w:rPr>
                <w:rFonts w:ascii="宋体" w:hAnsi="宋体" w:eastAsia="宋体"/>
                <w:b/>
                <w:sz w:val="21"/>
              </w:rPr>
              <w:t>现实的</w:t>
            </w:r>
          </w:p>
        </w:tc>
        <w:tc>
          <w:tcPr>
            <w:tcW w:type="dxa" w:w="1421"/>
          </w:tcPr>
          <w:p>
            <w:r/>
            <w:r>
              <w:rPr>
                <w:rFonts w:ascii="宋体" w:hAnsi="宋体" w:eastAsia="宋体"/>
                <w:b/>
                <w:sz w:val="21"/>
              </w:rPr>
              <w:t>Timed</w:t>
            </w:r>
          </w:p>
          <w:p>
            <w:r>
              <w:rPr>
                <w:rFonts w:ascii="宋体" w:hAnsi="宋体" w:eastAsia="宋体"/>
                <w:b/>
                <w:sz w:val="21"/>
              </w:rPr>
              <w:t>时限</w:t>
            </w:r>
          </w:p>
        </w:tc>
      </w:tr>
      <w:tr>
        <w:tc>
          <w:tcPr>
            <w:tcW w:type="dxa" w:w="1200"/>
          </w:tcPr>
          <w:p>
            <w:r/>
            <w:r>
              <w:rPr>
                <w:rFonts w:ascii="宋体" w:hAnsi="宋体" w:eastAsia="宋体"/>
                <w:b w:val="0"/>
                <w:sz w:val="21"/>
              </w:rPr>
            </w:r>
          </w:p>
        </w:tc>
        <w:tc>
          <w:tcPr>
            <w:tcW w:type="dxa" w:w="1421"/>
          </w:tcPr>
          <w:p>
            <w:r/>
            <w:r>
              <w:rPr>
                <w:rFonts w:ascii="宋体" w:hAnsi="宋体" w:eastAsia="宋体"/>
                <w:b w:val="0"/>
                <w:sz w:val="21"/>
              </w:rPr>
              <w:t>明确了要保障的具体指标"军品/民品系列项目关键里程碑按节点交付"</w:t>
            </w:r>
          </w:p>
        </w:tc>
        <w:tc>
          <w:tcPr>
            <w:tcW w:type="dxa" w:w="1421"/>
          </w:tcPr>
          <w:p>
            <w:r/>
            <w:r>
              <w:rPr>
                <w:rFonts w:ascii="宋体" w:hAnsi="宋体" w:eastAsia="宋体"/>
                <w:b w:val="0"/>
                <w:sz w:val="21"/>
              </w:rPr>
              <w:t>里程碑达成率100%、问题闭环率≥95%是清晰的数字衡量标准，周报及时率、风险上报及时率进一步量化过程目标</w:t>
            </w:r>
          </w:p>
        </w:tc>
        <w:tc>
          <w:tcPr>
            <w:tcW w:type="dxa" w:w="1421"/>
          </w:tcPr>
          <w:p>
            <w:r/>
            <w:r>
              <w:rPr>
                <w:rFonts w:ascii="宋体" w:hAnsi="宋体" w:eastAsia="宋体"/>
                <w:b w:val="0"/>
                <w:sz w:val="21"/>
              </w:rPr>
              <w:t>该目标直接服务年度交付结果的组织目标，也通过过程管理提升团队协同和质量稳定性</w:t>
            </w:r>
          </w:p>
        </w:tc>
        <w:tc>
          <w:tcPr>
            <w:tcW w:type="dxa" w:w="1421"/>
          </w:tcPr>
          <w:p>
            <w:r/>
            <w:r>
              <w:rPr>
                <w:rFonts w:ascii="宋体" w:hAnsi="宋体" w:eastAsia="宋体"/>
                <w:b w:val="0"/>
                <w:sz w:val="21"/>
              </w:rPr>
              <w:t>由本人负责总体排期、风险拉通和质量把关，各模块负责人按周输出进展，项目经理和上级对资源、优先级提供决策支持，责任分工明确，具备可实现性</w:t>
            </w:r>
          </w:p>
        </w:tc>
        <w:tc>
          <w:tcPr>
            <w:tcW w:type="dxa" w:w="1421"/>
          </w:tcPr>
          <w:p>
            <w:r/>
            <w:r>
              <w:rPr>
                <w:rFonts w:ascii="宋体" w:hAnsi="宋体" w:eastAsia="宋体"/>
                <w:b w:val="0"/>
                <w:sz w:val="21"/>
              </w:rPr>
              <w:t>按年度项目节点推进，每周检查重点任务、每月复盘交付质量和风险，有明确年度截止时间（2026.12.31）且过程有阶段性检查节点</w:t>
            </w:r>
          </w:p>
        </w:tc>
      </w:tr>
    </w:tbl>
    <w:p>
      <w:r>
        <w:rPr>
          <w:rFonts w:ascii="宋体" w:hAnsi="宋体" w:eastAsia="宋体"/>
          <w:b w:val="0"/>
          <w:sz w:val="21"/>
        </w:rPr>
      </w:r>
    </w:p>
    <w:p w14:paraId="775FAF85">
      <w:pPr>
        <w:numPr>
          <w:ilvl w:val="0"/>
          <w:numId w:val="0"/>
        </w:numPr>
        <w:rPr>
          <w:rFonts w:hint="eastAsia"/>
          <w:lang w:val="en-US" w:eastAsia="zh-CN"/>
        </w:rPr>
      </w:pPr>
    </w:p>
    <w:p w14:paraId="2A483ECA">
      <w:pPr>
        <w:pStyle w:val="3"/>
        <w:bidi w:val="0"/>
        <w:rPr>
          <w:color w:val="000000"/>
          <w:sz w:val="21"/>
          <w:szCs w:val="21"/>
        </w:rPr>
      </w:pPr>
      <w:r>
        <w:rPr>
          <w:rStyle w:val="6"/>
          <w:b/>
          <w:bCs/>
          <w:lang w:val="en-US" w:eastAsia="zh-CN"/>
        </w:rPr>
        <w:t>第二题（25 学分）【管理实践 - 效能管理四象限】 　　</w:t>
      </w:r>
      <w:r>
        <w:rPr>
          <w:rFonts w:ascii="宋体" w:hAnsi="宋体" w:eastAsia="宋体" w:cs="宋体"/>
          <w:color w:val="000000"/>
          <w:kern w:val="0"/>
          <w:sz w:val="21"/>
          <w:szCs w:val="21"/>
          <w:lang w:val="en-US" w:eastAsia="zh-CN" w:bidi="ar"/>
        </w:rPr>
        <w:t>　　　　　　　　　　　　　　</w:t>
      </w:r>
    </w:p>
    <w:p w14:paraId="61421F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基于「要事第一原则」和「效能管理四象限」知识点，结合自身小组的实际工作，运用四象限工具对日常工作事务进行分类分析，并制定改进计划。（包含以下 3 个小题）</w:t>
      </w:r>
    </w:p>
    <w:p w14:paraId="0EF9582D">
      <w:pPr>
        <w:bidi w:val="0"/>
      </w:pPr>
      <w:r>
        <w:t>1、概念理解：请用自己的话简要解释以下两个概念：（5 分）</w:t>
      </w:r>
    </w:p>
    <w:p w14:paraId="25A8A1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 xml:space="preserve">①「重要性」—— 你个人觉得有价值且对你的工作、价值观及首要目标有意义的活动； </w:t>
      </w:r>
    </w:p>
    <w:p w14:paraId="25A8A1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b w:val="0"/>
          <w:sz w:val="21"/>
        </w:rPr>
        <w:t>我的理解：重要性看的是这件事本身对团队目标、产出质量和长期能力建设是否有价值——即使今天不做，短期也不会有人来找我要结果，但长期不做，团队的架构能力和交付质量会受到实质性影响。判断标准不是"谁在催"，而是"这是不是我们真正想要的结果的一部分"。</w:t>
      </w:r>
    </w:p>
    <w:p w14:paraId="1E9B5F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 xml:space="preserve">②「紧急性」—— 你或别人认为需要立刻处理的紧急事件或活动。 </w:t>
      </w:r>
    </w:p>
    <w:p w14:paraId="1E9B5F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b w:val="0"/>
          <w:sz w:val="21"/>
        </w:rPr>
        <w:t>我的理解：紧急性看的是是否有明确的截止时间压力，且现在不处理会立刻产生可见的负面后果（如项目延期、他人被阻塞、承诺无法履行）。紧急性往往来自外部时间表和他人期待，而不是事情本身的价值高低。</w:t>
      </w:r>
    </w:p>
    <w:p w14:paraId="553B8E7C">
      <w:pPr>
        <w:bidi w:val="0"/>
      </w:pPr>
      <w:r>
        <w:t>2、实务分析：请结合你所在小组的实际工作，完成以下四象限事务梳理：（10 分）</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300"/>
        <w:gridCol w:w="3090"/>
      </w:tblGrid>
      <w:tr w14:paraId="6A1F2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463C874">
            <w:pPr>
              <w:keepNext w:val="0"/>
              <w:keepLines w:val="0"/>
              <w:widowControl/>
              <w:suppressLineNumbers w:val="0"/>
              <w:spacing w:before="0" w:beforeAutospacing="0" w:after="0" w:afterAutospacing="0" w:line="360" w:lineRule="atLeast"/>
              <w:ind w:left="0" w:right="0"/>
              <w:jc w:val="left"/>
              <w:rPr>
                <w:b w:val="0"/>
                <w:bCs w:val="0"/>
                <w:color w:val="000000"/>
                <w:sz w:val="21"/>
                <w:szCs w:val="21"/>
              </w:rPr>
            </w:pPr>
            <w:r>
              <w:rPr>
                <w:rFonts w:ascii="宋体" w:hAnsi="宋体" w:eastAsia="宋体" w:cs="宋体"/>
                <w:b w:val="0"/>
                <w:bCs w:val="0"/>
                <w:color w:val="000000"/>
                <w:kern w:val="0"/>
                <w:sz w:val="21"/>
                <w:szCs w:val="21"/>
                <w:lang w:val="en-US" w:eastAsia="zh-CN" w:bidi="ar"/>
              </w:rPr>
              <w:t>重要且不紧急（请列举 2-3 项）</w:t>
            </w:r>
          </w:p>
        </w:tc>
        <w:tc>
          <w:tcPr>
            <w:tcW w:w="0" w:type="auto"/>
            <w:shd w:val="clear" w:color="auto" w:fill="auto"/>
            <w:vAlign w:val="center"/>
          </w:tcPr>
          <w:p w14:paraId="64C46A39">
            <w:pPr>
              <w:keepNext w:val="0"/>
              <w:keepLines w:val="0"/>
              <w:widowControl/>
              <w:suppressLineNumbers w:val="0"/>
              <w:spacing w:before="0" w:beforeAutospacing="0" w:after="0" w:afterAutospacing="0" w:line="360" w:lineRule="atLeast"/>
              <w:ind w:left="0" w:right="0"/>
              <w:jc w:val="left"/>
              <w:rPr>
                <w:b w:val="0"/>
                <w:bCs w:val="0"/>
                <w:color w:val="000000"/>
                <w:sz w:val="21"/>
                <w:szCs w:val="21"/>
              </w:rPr>
            </w:pPr>
            <w:r>
              <w:rPr>
                <w:rFonts w:ascii="宋体" w:hAnsi="宋体" w:eastAsia="宋体" w:cs="宋体"/>
                <w:b w:val="0"/>
                <w:bCs w:val="0"/>
                <w:color w:val="000000"/>
                <w:kern w:val="0"/>
                <w:sz w:val="21"/>
                <w:szCs w:val="21"/>
                <w:lang w:val="en-US" w:eastAsia="zh-CN" w:bidi="ar"/>
              </w:rPr>
              <w:t>重要且紧急（请列举 2-3 项）</w:t>
            </w:r>
          </w:p>
        </w:tc>
      </w:tr>
      <w:tr w14:paraId="710A1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r/>
            <w:r>
              <w:rPr>
                <w:rFonts w:ascii="宋体" w:hAnsi="宋体" w:eastAsia="宋体"/>
                <w:b w:val="0"/>
                <w:sz w:val="21"/>
              </w:rPr>
              <w:t>1. 定向链路层新架构统一与CBB平台化设计（架构文档、模块解耦、接口规范）——长期战略工作，暂无人天天催，但决定团队未来1-2年的开发效率</w:t>
            </w:r>
          </w:p>
          <w:p>
            <w:r>
              <w:rPr>
                <w:rFonts w:ascii="宋体" w:hAnsi="宋体" w:eastAsia="宋体"/>
                <w:b w:val="0"/>
                <w:sz w:val="21"/>
              </w:rPr>
              <w:t>2. 模块级自验证支持体系搭建（自测平台接入、自动化测试构建）——新发起工作，短期无外部deadline压力，但决定模块交付质量</w:t>
            </w:r>
          </w:p>
          <w:p>
            <w:r>
              <w:rPr>
                <w:rFonts w:ascii="宋体" w:hAnsi="宋体" w:eastAsia="宋体"/>
                <w:b w:val="0"/>
                <w:sz w:val="21"/>
              </w:rPr>
              <w:t>3. 副主任角色边界与职责分工的书面确认（与网络层同事的15项职责分工、"直接管理团队"边界锁定）——尚未到正式任命日期，容易被无限期推后</w:t>
            </w:r>
          </w:p>
        </w:tc>
        <w:tc>
          <w:tcPr>
            <w:tcW w:w="0" w:type="auto"/>
            <w:shd w:val="clear" w:color="auto" w:fill="auto"/>
            <w:vAlign w:val="center"/>
          </w:tcPr>
          <w:p>
            <w:r/>
            <w:r>
              <w:rPr>
                <w:rFonts w:ascii="宋体" w:hAnsi="宋体" w:eastAsia="宋体"/>
                <w:b w:val="0"/>
                <w:sz w:val="21"/>
              </w:rPr>
              <w:t>1. 与网络层同事的部门职责分工表谈判（15项职责逐项落地，有明确截止时间）</w:t>
            </w:r>
          </w:p>
          <w:p>
            <w:r>
              <w:rPr>
                <w:rFonts w:ascii="宋体" w:hAnsi="宋体" w:eastAsia="宋体"/>
                <w:b w:val="0"/>
                <w:sz w:val="21"/>
              </w:rPr>
              <w:t>2. 任霜请假前数据处理模块的backup交接方案确定（她即将休假，当前无backup人选）</w:t>
            </w:r>
          </w:p>
          <w:p>
            <w:r>
              <w:rPr>
                <w:rFonts w:ascii="宋体" w:hAnsi="宋体" w:eastAsia="宋体"/>
                <w:b w:val="0"/>
                <w:sz w:val="21"/>
              </w:rPr>
              <w:t>3. 年度重点交付项目的模块级自验证执行（临近里程碑，报告按时交付率是考核指标）</w:t>
            </w:r>
          </w:p>
        </w:tc>
      </w:tr>
      <w:tr w14:paraId="7D79A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EB7700C">
            <w:pPr>
              <w:keepNext w:val="0"/>
              <w:keepLines w:val="0"/>
              <w:widowControl/>
              <w:suppressLineNumbers w:val="0"/>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不重要且不紧急（请列举 1-2 项）</w:t>
            </w:r>
          </w:p>
        </w:tc>
        <w:tc>
          <w:tcPr>
            <w:tcW w:w="0" w:type="auto"/>
            <w:shd w:val="clear" w:color="auto" w:fill="auto"/>
            <w:vAlign w:val="center"/>
          </w:tcPr>
          <w:p w14:paraId="3FCD97F2">
            <w:pPr>
              <w:keepNext w:val="0"/>
              <w:keepLines w:val="0"/>
              <w:widowControl/>
              <w:suppressLineNumbers w:val="0"/>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不重要但紧急（请列举 1-2 项）</w:t>
            </w:r>
          </w:p>
        </w:tc>
      </w:tr>
      <w:tr w14:paraId="68A8D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r/>
            <w:r>
              <w:rPr>
                <w:rFonts w:ascii="宋体" w:hAnsi="宋体" w:eastAsia="宋体"/>
                <w:b w:val="0"/>
                <w:sz w:val="21"/>
              </w:rPr>
              <w:t>1. 非必要的跨团队日常对齐会议（不属于本职责范围、可路由给产品线或systems room处理的协调事项）</w:t>
            </w:r>
          </w:p>
          <w:p>
            <w:r>
              <w:rPr>
                <w:rFonts w:ascii="宋体" w:hAnsi="宋体" w:eastAsia="宋体"/>
                <w:b w:val="0"/>
                <w:sz w:val="21"/>
              </w:rPr>
              <w:t>2. 与交付无强相关的文档格式性整理工作</w:t>
            </w:r>
          </w:p>
        </w:tc>
        <w:tc>
          <w:tcPr>
            <w:tcW w:w="0" w:type="auto"/>
            <w:shd w:val="clear" w:color="auto" w:fill="auto"/>
            <w:vAlign w:val="center"/>
          </w:tcPr>
          <w:p>
            <w:r/>
            <w:r>
              <w:rPr>
                <w:rFonts w:ascii="宋体" w:hAnsi="宋体" w:eastAsia="宋体"/>
                <w:b w:val="0"/>
                <w:sz w:val="21"/>
              </w:rPr>
              <w:t>1. 产品线（如蔡敬等）临时提出的非计划内对齐需求或询问，需快速响应但对核心目标价值有限</w:t>
            </w:r>
          </w:p>
          <w:p>
            <w:r>
              <w:rPr>
                <w:rFonts w:ascii="宋体" w:hAnsi="宋体" w:eastAsia="宋体"/>
                <w:b w:val="0"/>
                <w:sz w:val="21"/>
              </w:rPr>
              <w:t>2. 突发性的跨部门信息问询/催办，属于"别人的紧急"而非自己目标的核心部分</w:t>
            </w:r>
          </w:p>
        </w:tc>
      </w:tr>
    </w:tbl>
    <w:p w14:paraId="678D5391">
      <w:pPr>
        <w:bidi w:val="0"/>
      </w:pPr>
      <w:r>
        <w:t>3、改进计划：针对第二题中你列出的「重要且不紧急」事务，请制定提前规划方案，以避免其转化为「重要且紧急」事务。（10 分）</w:t>
      </w:r>
    </w:p>
    <w:p w14:paraId="36FE01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 xml:space="preserve">①选择其中一项「重要且不紧急」事务，说明其如果未提前处理可能演变为「重要且紧急」的具体场景： </w:t>
      </w:r>
    </w:p>
    <w:p w14:paraId="36FE01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b w:val="0"/>
          <w:sz w:val="21"/>
        </w:rPr>
        <w:t>选择事务：定向链路层新架构统一与CBB平台化设计。场景：如果架构文档和模块划分工作被反复的项目交付任务打断、无限期推后，一旦2026.6.30架构文档产出节点临近，就会从"可以从容推进"的战略工作瞬间变成"必须连续加班赶工"的紧急任务；而架构设计需要连续思考，被压缩到最后反而更容易出现质量问题和返工风险。</w:t>
      </w:r>
    </w:p>
    <w:p w14:paraId="1979CD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 xml:space="preserve">②你打算采取哪些具体措施来提前规划和推进该事务？ </w:t>
      </w:r>
    </w:p>
    <w:p w14:paraId="1979CD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b w:val="0"/>
          <w:sz w:val="21"/>
        </w:rPr>
        <w:t>具体措施：①将架构设计工作拆分为可在半天内完成的任务颗粒度（而非笼统的"做架构"），每个任务对应一个具体交付物；②在被打断前写"断点交接卡"，记录当前进展、下一步动作和关键上下文，降低每次恢复工作的重建成本；③用git worktree等工具做环境隔离，减少在不同工作流之间切换的环境重建成本；④向上级申请每周固定的、受保护的架构工作时间块，并写入职责分工文档，使打断这块时间需要经过审批；⑤将实现层工作委托给湘湘、泰利，自己聚焦架构决策，避免陷入"最强执行者"陷阱。</w:t>
      </w:r>
    </w:p>
    <w:p w14:paraId="514868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③你预期推进后，该事务对小组工作的改善效果是什么？</w:t>
      </w:r>
    </w:p>
    <w:p w14:paraId="514868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b w:val="0"/>
          <w:sz w:val="21"/>
        </w:rPr>
        <w:t>预期改善效果：架构文档和开发指南能在2026.6.30前如期高质量产出，而非压线仓促交付；团队因模块划分和接口规范清晰，后续可并行开发、减少互相等待和返工；本人从"被打断—重新聚焦"的低效循环中解脱，同等工作时长下产出显著提升；也为后续CBB平台化和自测体系建设打下可复用的架构基础。</w:t>
      </w:r>
    </w:p>
    <w:p w14:paraId="113E8B17">
      <w:pPr>
        <w:numPr>
          <w:ilvl w:val="0"/>
          <w:numId w:val="0"/>
        </w:numPr>
        <w:rPr>
          <w:rFonts w:hint="eastAsia"/>
          <w:lang w:val="en-US" w:eastAsia="zh-CN"/>
        </w:rPr>
      </w:pPr>
    </w:p>
    <w:p w14:paraId="2A04B146">
      <w:pPr>
        <w:numPr>
          <w:ilvl w:val="0"/>
          <w:numId w:val="0"/>
        </w:numPr>
        <w:rPr>
          <w:rFonts w:hint="eastAsia"/>
          <w:lang w:val="en-US" w:eastAsia="zh-CN"/>
        </w:rPr>
      </w:pPr>
    </w:p>
    <w:p w14:paraId="04866879">
      <w:pPr>
        <w:pStyle w:val="3"/>
        <w:bidi w:val="0"/>
      </w:pPr>
      <w:r>
        <w:t>第三题（15 学分）【管理实践 - 目标拆解】</w:t>
      </w:r>
    </w:p>
    <w:p w14:paraId="567B82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请选择管理实践作业中的一个相关业务目标，将目标拆解每个周的具体工作，并将每个周的目标拆解成具体的工作任务（目标分析的核心不在于将大的目标分解为多个小目标，而在于将目标分解成多个任务）也就是说如果这些任务被有效地执行到位，那么目标将会被 100% 地实现。</w:t>
      </w:r>
    </w:p>
    <w:p w14:paraId="48782D80">
      <w:pPr>
        <w:numPr>
          <w:ilvl w:val="0"/>
          <w:numId w:val="0"/>
        </w:numPr>
        <w:rPr>
          <w:rFonts w:hint="eastAsia"/>
          <w:sz w:val="18"/>
          <w:szCs w:val="21"/>
          <w:lang w:val="en-US" w:eastAsia="zh-CN"/>
        </w:rPr>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2076"/>
          </w:tcPr>
          <w:p>
            <w:r/>
            <w:r>
              <w:rPr>
                <w:rFonts w:ascii="宋体" w:hAnsi="宋体" w:eastAsia="宋体"/>
                <w:b/>
                <w:sz w:val="21"/>
              </w:rPr>
              <w:t>目标</w:t>
            </w:r>
          </w:p>
        </w:tc>
        <w:tc>
          <w:tcPr>
            <w:tcW w:type="dxa" w:w="2076"/>
          </w:tcPr>
          <w:p>
            <w:r/>
            <w:r>
              <w:rPr>
                <w:rFonts w:ascii="宋体" w:hAnsi="宋体" w:eastAsia="宋体"/>
                <w:b/>
                <w:sz w:val="21"/>
              </w:rPr>
              <w:t>拆解任务</w:t>
            </w:r>
          </w:p>
        </w:tc>
        <w:tc>
          <w:tcPr>
            <w:tcW w:type="dxa" w:w="2076"/>
          </w:tcPr>
          <w:p>
            <w:r/>
            <w:r>
              <w:rPr>
                <w:rFonts w:ascii="宋体" w:hAnsi="宋体" w:eastAsia="宋体"/>
                <w:b/>
                <w:sz w:val="21"/>
              </w:rPr>
              <w:t>优先级</w:t>
            </w:r>
          </w:p>
        </w:tc>
        <w:tc>
          <w:tcPr>
            <w:tcW w:type="dxa" w:w="2076"/>
          </w:tcPr>
          <w:p>
            <w:r/>
            <w:r>
              <w:rPr>
                <w:rFonts w:ascii="宋体" w:hAnsi="宋体" w:eastAsia="宋体"/>
                <w:b/>
                <w:sz w:val="21"/>
              </w:rPr>
              <w:t>负责人</w:t>
            </w:r>
          </w:p>
        </w:tc>
      </w:tr>
      <w:tr>
        <w:tc>
          <w:tcPr>
            <w:tcW w:type="dxa" w:w="2076"/>
            <w:vMerge w:val="restart"/>
          </w:tcPr>
          <w:p>
            <w:r/>
            <w:r>
              <w:rPr>
                <w:rFonts w:ascii="宋体" w:hAnsi="宋体" w:eastAsia="宋体"/>
                <w:b w:val="0"/>
                <w:sz w:val="21"/>
              </w:rPr>
              <w:t>目标：定向链路层新架构文档及</w:t>
            </w:r>
          </w:p>
          <w:p>
            <w:r>
              <w:rPr>
                <w:rFonts w:ascii="宋体" w:hAnsi="宋体" w:eastAsia="宋体"/>
                <w:b w:val="0"/>
                <w:sz w:val="21"/>
              </w:rPr>
              <w:t>开发指南产出（2026.6.30节点）</w:t>
            </w:r>
          </w:p>
          <w:p>
            <w:r/>
            <w:r>
              <w:rPr>
                <w:rFonts w:ascii="宋体" w:hAnsi="宋体" w:eastAsia="宋体"/>
                <w:b w:val="0"/>
                <w:sz w:val="21"/>
              </w:rPr>
            </w:r>
          </w:p>
          <w:p>
            <w:r/>
            <w:r>
              <w:rPr>
                <w:rFonts w:ascii="宋体" w:hAnsi="宋体" w:eastAsia="宋体"/>
                <w:b w:val="0"/>
                <w:sz w:val="21"/>
              </w:rPr>
            </w:r>
          </w:p>
          <w:p>
            <w:r/>
            <w:r>
              <w:rPr>
                <w:rFonts w:ascii="宋体" w:hAnsi="宋体" w:eastAsia="宋体"/>
                <w:b w:val="0"/>
                <w:sz w:val="21"/>
              </w:rPr>
            </w:r>
          </w:p>
          <w:p>
            <w:r/>
            <w:r>
              <w:rPr>
                <w:rFonts w:ascii="宋体" w:hAnsi="宋体" w:eastAsia="宋体"/>
                <w:b w:val="0"/>
                <w:sz w:val="21"/>
              </w:rPr>
            </w:r>
          </w:p>
          <w:p>
            <w:r/>
            <w:r>
              <w:rPr>
                <w:rFonts w:ascii="宋体" w:hAnsi="宋体" w:eastAsia="宋体"/>
                <w:b w:val="0"/>
                <w:sz w:val="21"/>
              </w:rPr>
            </w:r>
          </w:p>
          <w:p>
            <w:r/>
            <w:r>
              <w:rPr>
                <w:rFonts w:ascii="宋体" w:hAnsi="宋体" w:eastAsia="宋体"/>
                <w:b w:val="0"/>
                <w:sz w:val="21"/>
              </w:rPr>
            </w:r>
          </w:p>
          <w:p>
            <w:r/>
            <w:r>
              <w:rPr>
                <w:rFonts w:ascii="宋体" w:hAnsi="宋体" w:eastAsia="宋体"/>
                <w:b w:val="0"/>
                <w:sz w:val="21"/>
              </w:rPr>
            </w:r>
          </w:p>
        </w:tc>
        <w:tc>
          <w:tcPr>
            <w:tcW w:type="dxa" w:w="2076"/>
          </w:tcPr>
          <w:p>
            <w:r/>
            <w:r>
              <w:rPr>
                <w:rFonts w:ascii="宋体" w:hAnsi="宋体" w:eastAsia="宋体"/>
                <w:b w:val="0"/>
                <w:sz w:val="21"/>
              </w:rPr>
              <w:t>第1周：梳理现有S1320V2链路层实现现状，识别现有耦合点和模块边界问题</w:t>
            </w:r>
          </w:p>
        </w:tc>
        <w:tc>
          <w:tcPr>
            <w:tcW w:type="dxa" w:w="2076"/>
          </w:tcPr>
          <w:p>
            <w:r/>
            <w:r>
              <w:rPr>
                <w:rFonts w:ascii="宋体" w:hAnsi="宋体" w:eastAsia="宋体"/>
                <w:b w:val="0"/>
                <w:sz w:val="21"/>
              </w:rPr>
              <w:t>高</w:t>
            </w:r>
          </w:p>
        </w:tc>
        <w:tc>
          <w:tcPr>
            <w:tcW w:type="dxa" w:w="2076"/>
          </w:tcPr>
          <w:p>
            <w:r/>
            <w:r>
              <w:rPr>
                <w:rFonts w:ascii="宋体" w:hAnsi="宋体" w:eastAsia="宋体"/>
                <w:b w:val="0"/>
                <w:sz w:val="21"/>
              </w:rPr>
              <w:t>周静</w:t>
            </w:r>
          </w:p>
        </w:tc>
      </w:tr>
      <w:tr>
        <w:tc>
          <w:tcPr>
            <w:tcW w:type="dxa" w:w="2076"/>
            <w:vMerge/>
          </w:tcPr>
          <w:p/>
        </w:tc>
        <w:tc>
          <w:tcPr>
            <w:tcW w:type="dxa" w:w="2076"/>
          </w:tcPr>
          <w:p>
            <w:r/>
            <w:r>
              <w:rPr>
                <w:rFonts w:ascii="宋体" w:hAnsi="宋体" w:eastAsia="宋体"/>
                <w:b w:val="0"/>
                <w:sz w:val="21"/>
              </w:rPr>
              <w:t>第2周：完成模块划分方案初稿，明确各模块职责边界</w:t>
            </w:r>
          </w:p>
        </w:tc>
        <w:tc>
          <w:tcPr>
            <w:tcW w:type="dxa" w:w="2076"/>
          </w:tcPr>
          <w:p>
            <w:r/>
            <w:r>
              <w:rPr>
                <w:rFonts w:ascii="宋体" w:hAnsi="宋体" w:eastAsia="宋体"/>
                <w:b w:val="0"/>
                <w:sz w:val="21"/>
              </w:rPr>
              <w:t>高</w:t>
            </w:r>
          </w:p>
        </w:tc>
        <w:tc>
          <w:tcPr>
            <w:tcW w:type="dxa" w:w="2076"/>
          </w:tcPr>
          <w:p>
            <w:r/>
            <w:r>
              <w:rPr>
                <w:rFonts w:ascii="宋体" w:hAnsi="宋体" w:eastAsia="宋体"/>
                <w:b w:val="0"/>
                <w:sz w:val="21"/>
              </w:rPr>
              <w:t>周静</w:t>
            </w:r>
          </w:p>
        </w:tc>
      </w:tr>
      <w:tr>
        <w:tc>
          <w:tcPr>
            <w:tcW w:type="dxa" w:w="2076"/>
            <w:vMerge/>
          </w:tcPr>
          <w:p/>
        </w:tc>
        <w:tc>
          <w:tcPr>
            <w:tcW w:type="dxa" w:w="2076"/>
          </w:tcPr>
          <w:p>
            <w:r/>
            <w:r>
              <w:rPr>
                <w:rFonts w:ascii="宋体" w:hAnsi="宋体" w:eastAsia="宋体"/>
                <w:b w:val="0"/>
                <w:sz w:val="21"/>
              </w:rPr>
              <w:t>第3周：定义模块间内部接口规范（头文件/IDL草案）</w:t>
            </w:r>
          </w:p>
        </w:tc>
        <w:tc>
          <w:tcPr>
            <w:tcW w:type="dxa" w:w="2076"/>
          </w:tcPr>
          <w:p>
            <w:r/>
            <w:r>
              <w:rPr>
                <w:rFonts w:ascii="宋体" w:hAnsi="宋体" w:eastAsia="宋体"/>
                <w:b w:val="0"/>
                <w:sz w:val="21"/>
              </w:rPr>
              <w:t>高</w:t>
            </w:r>
          </w:p>
        </w:tc>
        <w:tc>
          <w:tcPr>
            <w:tcW w:type="dxa" w:w="2076"/>
          </w:tcPr>
          <w:p>
            <w:r/>
            <w:r>
              <w:rPr>
                <w:rFonts w:ascii="宋体" w:hAnsi="宋体" w:eastAsia="宋体"/>
                <w:b w:val="0"/>
                <w:sz w:val="21"/>
              </w:rPr>
              <w:t>周静（牵头）、湘湘（评审）</w:t>
            </w:r>
          </w:p>
        </w:tc>
      </w:tr>
      <w:tr>
        <w:tc>
          <w:tcPr>
            <w:tcW w:type="dxa" w:w="2076"/>
            <w:vMerge/>
          </w:tcPr>
          <w:p/>
        </w:tc>
        <w:tc>
          <w:tcPr>
            <w:tcW w:type="dxa" w:w="2076"/>
          </w:tcPr>
          <w:p>
            <w:r/>
            <w:r>
              <w:rPr>
                <w:rFonts w:ascii="宋体" w:hAnsi="宋体" w:eastAsia="宋体"/>
                <w:b w:val="0"/>
                <w:sz w:val="21"/>
              </w:rPr>
              <w:t>第4周：设计公共基础设施（base）及开发约定草案</w:t>
            </w:r>
          </w:p>
        </w:tc>
        <w:tc>
          <w:tcPr>
            <w:tcW w:type="dxa" w:w="2076"/>
          </w:tcPr>
          <w:p>
            <w:r/>
            <w:r>
              <w:rPr>
                <w:rFonts w:ascii="宋体" w:hAnsi="宋体" w:eastAsia="宋体"/>
                <w:b w:val="0"/>
                <w:sz w:val="21"/>
              </w:rPr>
              <w:t>高</w:t>
            </w:r>
          </w:p>
        </w:tc>
        <w:tc>
          <w:tcPr>
            <w:tcW w:type="dxa" w:w="2076"/>
          </w:tcPr>
          <w:p>
            <w:r/>
            <w:r>
              <w:rPr>
                <w:rFonts w:ascii="宋体" w:hAnsi="宋体" w:eastAsia="宋体"/>
                <w:b w:val="0"/>
                <w:sz w:val="21"/>
              </w:rPr>
              <w:t>周静</w:t>
            </w:r>
          </w:p>
        </w:tc>
      </w:tr>
      <w:tr>
        <w:tc>
          <w:tcPr>
            <w:tcW w:type="dxa" w:w="2076"/>
            <w:vMerge/>
          </w:tcPr>
          <w:p/>
        </w:tc>
        <w:tc>
          <w:tcPr>
            <w:tcW w:type="dxa" w:w="2076"/>
          </w:tcPr>
          <w:p>
            <w:r/>
            <w:r>
              <w:rPr>
                <w:rFonts w:ascii="宋体" w:hAnsi="宋体" w:eastAsia="宋体"/>
                <w:b w:val="0"/>
                <w:sz w:val="21"/>
              </w:rPr>
              <w:t>第5周：组织架构评审会，收集湘湘、泰利、符兵反馈并修订</w:t>
            </w:r>
          </w:p>
        </w:tc>
        <w:tc>
          <w:tcPr>
            <w:tcW w:type="dxa" w:w="2076"/>
          </w:tcPr>
          <w:p>
            <w:r/>
            <w:r>
              <w:rPr>
                <w:rFonts w:ascii="宋体" w:hAnsi="宋体" w:eastAsia="宋体"/>
                <w:b w:val="0"/>
                <w:sz w:val="21"/>
              </w:rPr>
              <w:t>中</w:t>
            </w:r>
          </w:p>
        </w:tc>
        <w:tc>
          <w:tcPr>
            <w:tcW w:type="dxa" w:w="2076"/>
          </w:tcPr>
          <w:p>
            <w:r/>
            <w:r>
              <w:rPr>
                <w:rFonts w:ascii="宋体" w:hAnsi="宋体" w:eastAsia="宋体"/>
                <w:b w:val="0"/>
                <w:sz w:val="21"/>
              </w:rPr>
              <w:t>周静</w:t>
            </w:r>
          </w:p>
        </w:tc>
      </w:tr>
      <w:tr>
        <w:tc>
          <w:tcPr>
            <w:tcW w:type="dxa" w:w="2076"/>
            <w:vMerge/>
          </w:tcPr>
          <w:p/>
        </w:tc>
        <w:tc>
          <w:tcPr>
            <w:tcW w:type="dxa" w:w="2076"/>
          </w:tcPr>
          <w:p>
            <w:r/>
            <w:r>
              <w:rPr>
                <w:rFonts w:ascii="宋体" w:hAnsi="宋体" w:eastAsia="宋体"/>
                <w:b w:val="0"/>
                <w:sz w:val="21"/>
              </w:rPr>
              <w:t>第6周：补充公共数据结构、依赖关系说明，形成文档初稿</w:t>
            </w:r>
          </w:p>
        </w:tc>
        <w:tc>
          <w:tcPr>
            <w:tcW w:type="dxa" w:w="2076"/>
          </w:tcPr>
          <w:p>
            <w:r/>
            <w:r>
              <w:rPr>
                <w:rFonts w:ascii="宋体" w:hAnsi="宋体" w:eastAsia="宋体"/>
                <w:b w:val="0"/>
                <w:sz w:val="21"/>
              </w:rPr>
              <w:t>中</w:t>
            </w:r>
          </w:p>
        </w:tc>
        <w:tc>
          <w:tcPr>
            <w:tcW w:type="dxa" w:w="2076"/>
          </w:tcPr>
          <w:p>
            <w:r/>
            <w:r>
              <w:rPr>
                <w:rFonts w:ascii="宋体" w:hAnsi="宋体" w:eastAsia="宋体"/>
                <w:b w:val="0"/>
                <w:sz w:val="21"/>
              </w:rPr>
              <w:t>周静</w:t>
            </w:r>
          </w:p>
        </w:tc>
      </w:tr>
      <w:tr>
        <w:tc>
          <w:tcPr>
            <w:tcW w:type="dxa" w:w="2076"/>
            <w:vMerge/>
          </w:tcPr>
          <w:p/>
        </w:tc>
        <w:tc>
          <w:tcPr>
            <w:tcW w:type="dxa" w:w="2076"/>
          </w:tcPr>
          <w:p>
            <w:r/>
            <w:r>
              <w:rPr>
                <w:rFonts w:ascii="宋体" w:hAnsi="宋体" w:eastAsia="宋体"/>
                <w:b w:val="0"/>
                <w:sz w:val="21"/>
              </w:rPr>
              <w:t>第7周：编写开发指南（含模块开发模板雏形，结合AI辅助编程）</w:t>
            </w:r>
          </w:p>
        </w:tc>
        <w:tc>
          <w:tcPr>
            <w:tcW w:type="dxa" w:w="2076"/>
          </w:tcPr>
          <w:p>
            <w:r/>
            <w:r>
              <w:rPr>
                <w:rFonts w:ascii="宋体" w:hAnsi="宋体" w:eastAsia="宋体"/>
                <w:b w:val="0"/>
                <w:sz w:val="21"/>
              </w:rPr>
              <w:t>中</w:t>
            </w:r>
          </w:p>
        </w:tc>
        <w:tc>
          <w:tcPr>
            <w:tcW w:type="dxa" w:w="2076"/>
          </w:tcPr>
          <w:p>
            <w:r/>
            <w:r>
              <w:rPr>
                <w:rFonts w:ascii="宋体" w:hAnsi="宋体" w:eastAsia="宋体"/>
                <w:b w:val="0"/>
                <w:sz w:val="21"/>
              </w:rPr>
              <w:t>周静、湘湘</w:t>
            </w:r>
          </w:p>
        </w:tc>
      </w:tr>
      <w:tr>
        <w:tc>
          <w:tcPr>
            <w:tcW w:type="dxa" w:w="2076"/>
            <w:vMerge/>
          </w:tcPr>
          <w:p/>
        </w:tc>
        <w:tc>
          <w:tcPr>
            <w:tcW w:type="dxa" w:w="2076"/>
          </w:tcPr>
          <w:p>
            <w:r/>
            <w:r>
              <w:rPr>
                <w:rFonts w:ascii="宋体" w:hAnsi="宋体" w:eastAsia="宋体"/>
                <w:b w:val="0"/>
                <w:sz w:val="21"/>
              </w:rPr>
              <w:t>第8周：文档终审、定稿并发布，同步给全组</w:t>
            </w:r>
          </w:p>
        </w:tc>
        <w:tc>
          <w:tcPr>
            <w:tcW w:type="dxa" w:w="2076"/>
          </w:tcPr>
          <w:p>
            <w:r/>
            <w:r>
              <w:rPr>
                <w:rFonts w:ascii="宋体" w:hAnsi="宋体" w:eastAsia="宋体"/>
                <w:b w:val="0"/>
                <w:sz w:val="21"/>
              </w:rPr>
              <w:t>高</w:t>
            </w:r>
          </w:p>
        </w:tc>
        <w:tc>
          <w:tcPr>
            <w:tcW w:type="dxa" w:w="2076"/>
          </w:tcPr>
          <w:p>
            <w:r/>
            <w:r>
              <w:rPr>
                <w:rFonts w:ascii="宋体" w:hAnsi="宋体" w:eastAsia="宋体"/>
                <w:b w:val="0"/>
                <w:sz w:val="21"/>
              </w:rPr>
              <w:t>周静</w:t>
            </w:r>
          </w:p>
        </w:tc>
      </w:tr>
    </w:tbl>
    <w:p w14:paraId="0D772323">
      <w:pPr>
        <w:numPr>
          <w:ilvl w:val="0"/>
          <w:numId w:val="0"/>
        </w:numPr>
        <w:rPr>
          <w:rFonts w:hint="eastAsia"/>
          <w:lang w:val="en-US" w:eastAsia="zh-CN"/>
        </w:rPr>
      </w:pPr>
    </w:p>
    <w:p w14:paraId="7946B05C">
      <w:pPr>
        <w:numPr>
          <w:ilvl w:val="0"/>
          <w:numId w:val="0"/>
        </w:numPr>
        <w:rPr>
          <w:rFonts w:hint="eastAsia"/>
          <w:lang w:val="en-US" w:eastAsia="zh-CN"/>
        </w:rPr>
      </w:pPr>
    </w:p>
    <w:p w14:paraId="5775E29F">
      <w:pPr>
        <w:pStyle w:val="3"/>
        <w:bidi w:val="0"/>
      </w:pPr>
      <w:r>
        <w:t>第四题（15 学分）【管理实践 - 为员工提供肯定型反馈】</w:t>
      </w:r>
    </w:p>
    <w:p w14:paraId="4E72CB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平时注意员工的工作结果及行为，如果发现员工有好的结果及行为，可以使用肯定型反馈的方式，让员工知道你已经看到员工付出的努力及进步。请注意反馈的基本原则应用。</w:t>
      </w:r>
    </w:p>
    <w:p w14:paraId="5B763D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b w:val="0"/>
          <w:sz w:val="21"/>
        </w:rPr>
        <w:t>员工姓名：符兵　　　　　日期：2026年7月</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064"/>
        <w:gridCol w:w="3550"/>
      </w:tblGrid>
      <w:tr w14:paraId="7C508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4019" w:type="dxa"/>
            <w:shd w:val="clear" w:color="auto" w:fill="auto"/>
            <w:vAlign w:val="center"/>
          </w:tcPr>
          <w:p w14:paraId="35AC5C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情境｜任务描述：</w:t>
            </w:r>
          </w:p>
        </w:tc>
        <w:tc>
          <w:tcPr>
            <w:tcW w:w="3505" w:type="dxa"/>
            <w:shd w:val="clear" w:color="auto" w:fill="auto"/>
            <w:vAlign w:val="center"/>
          </w:tcPr>
          <w:p w14:paraId="36A1412A">
            <w:pPr>
              <w:keepNext w:val="0"/>
              <w:keepLines w:val="0"/>
              <w:widowControl/>
              <w:suppressLineNumbers w:val="0"/>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输入答案</w:t>
            </w:r>
          </w:p>
        </w:tc>
      </w:tr>
      <w:tr w14:paraId="7D9BA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019" w:type="dxa"/>
            <w:shd w:val="clear" w:color="auto" w:fill="auto"/>
            <w:vAlign w:val="center"/>
          </w:tcPr>
          <w:p w14:paraId="4FA6EDD3">
            <w:pPr>
              <w:keepNext w:val="0"/>
              <w:keepLines w:val="0"/>
              <w:widowControl/>
              <w:suppressLineNumbers w:val="0"/>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员工行为表现</w:t>
            </w:r>
          </w:p>
        </w:tc>
        <w:tc>
          <w:tcPr>
            <w:tcW w:w="3505" w:type="dxa"/>
            <w:shd w:val="clear" w:color="auto" w:fill="auto"/>
            <w:vAlign w:val="center"/>
          </w:tcPr>
          <w:p w14:paraId="34168289">
            <w:pPr>
              <w:keepNext w:val="0"/>
              <w:keepLines w:val="0"/>
              <w:widowControl/>
              <w:suppressLineNumbers w:val="0"/>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管理者的肯定</w:t>
            </w:r>
          </w:p>
        </w:tc>
      </w:tr>
      <w:tr w14:paraId="13F4D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019" w:type="dxa"/>
            <w:shd w:val="clear" w:color="auto" w:fill="auto"/>
            <w:vAlign w:val="center"/>
          </w:tcPr>
          <w:p>
            <w:r/>
            <w:r>
              <w:rPr>
                <w:rFonts w:ascii="宋体" w:hAnsi="宋体" w:eastAsia="宋体"/>
                <w:b w:val="0"/>
                <w:sz w:val="21"/>
              </w:rPr>
              <w:t>行为（A）：符兵从网络层协议岗转到链路层不久，主动利用业余时间系统学习并快速掌握了自适应模块的原理和实现逻辑，在最近一次模块交接讨论中，能准确说明该模块与资源管理模块之间的接口关系，并主动提出了两点关于参数范围的疑问</w:t>
            </w:r>
          </w:p>
        </w:tc>
        <w:tc>
          <w:tcPr>
            <w:tcW w:w="3505" w:type="dxa"/>
            <w:shd w:val="clear" w:color="auto" w:fill="auto"/>
            <w:vAlign w:val="center"/>
          </w:tcPr>
          <w:p>
            <w:r/>
            <w:r>
              <w:rPr>
                <w:rFonts w:ascii="宋体" w:hAnsi="宋体" w:eastAsia="宋体"/>
                <w:b w:val="0"/>
                <w:sz w:val="21"/>
              </w:rPr>
              <w:t>我注意到你这几周主动补齐自适应模块的知识，而且讨论时提的问题很具体，说明你不是简单看了一遍代码，是真的在琢磨这个模块是怎么工作的。</w:t>
            </w:r>
          </w:p>
        </w:tc>
      </w:tr>
      <w:tr w14:paraId="22619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4019" w:type="dxa"/>
            <w:shd w:val="clear" w:color="auto" w:fill="auto"/>
            <w:vAlign w:val="center"/>
          </w:tcPr>
          <w:p>
            <w:r/>
            <w:r>
              <w:rPr>
                <w:rFonts w:ascii="宋体" w:hAnsi="宋体" w:eastAsia="宋体"/>
                <w:b w:val="0"/>
                <w:sz w:val="21"/>
              </w:rPr>
              <w:t>结果（R）：使自适应模块的知识没有因为原负责人变动而出现空档，团队在模块交接期保持了连续性，也让后续排期敢于把该模块的部分维护工作分配给他</w:t>
            </w:r>
          </w:p>
        </w:tc>
        <w:tc>
          <w:tcPr>
            <w:tcW w:w="3505" w:type="dxa"/>
            <w:shd w:val="clear" w:color="auto" w:fill="auto"/>
            <w:vAlign w:val="center"/>
          </w:tcPr>
          <w:p>
            <w:r/>
            <w:r>
              <w:rPr>
                <w:rFonts w:ascii="宋体" w:hAnsi="宋体" w:eastAsia="宋体"/>
                <w:b w:val="0"/>
                <w:sz w:val="21"/>
              </w:rPr>
              <w:t>这个模块正好是团队目前的一个知识断点，你把它接住了，这个进展我看到了，也很认可，这对整个团队的模块交接连续性帮助很大。</w:t>
            </w:r>
          </w:p>
        </w:tc>
      </w:tr>
      <w:tr w14:paraId="4E074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019" w:type="dxa"/>
            <w:shd w:val="clear" w:color="auto" w:fill="auto"/>
            <w:vAlign w:val="center"/>
          </w:tcPr>
          <w:p>
            <w:r/>
            <w:r>
              <w:rPr>
                <w:rFonts w:ascii="宋体" w:hAnsi="宋体" w:eastAsia="宋体"/>
                <w:b w:val="0"/>
                <w:sz w:val="21"/>
              </w:rPr>
              <w:t>反馈心得笔记：符兵入职链路层时间不长，这次反馈重点强化他在"主动学习+能提出具体问题"这两个行为上得到的正向确认，而不是泛泛表扬"做得好"，目的是让他知道具体哪些行为值得延续，同时为下一步引导他系统学习资源管理模块做铺垫。</w:t>
            </w:r>
          </w:p>
        </w:tc>
        <w:tc>
          <w:tcPr>
            <w:tcW w:w="3505" w:type="dxa"/>
            <w:shd w:val="clear" w:color="auto" w:fill="auto"/>
            <w:vAlign w:val="center"/>
          </w:tcPr>
          <w:p w14:paraId="4F1C3C4B">
            <w:pPr>
              <w:keepNext w:val="0"/>
              <w:keepLines w:val="0"/>
              <w:widowControl/>
              <w:suppressLineNumbers w:val="0"/>
              <w:spacing w:before="0" w:beforeAutospacing="0" w:after="0" w:afterAutospacing="0" w:line="360" w:lineRule="atLeast"/>
              <w:ind w:left="0" w:right="0"/>
              <w:jc w:val="left"/>
              <w:rPr>
                <w:color w:val="000000"/>
                <w:sz w:val="21"/>
                <w:szCs w:val="21"/>
              </w:rPr>
            </w:pPr>
          </w:p>
        </w:tc>
      </w:tr>
    </w:tbl>
    <w:p w14:paraId="5ECEB980">
      <w:pPr>
        <w:pStyle w:val="3"/>
        <w:bidi w:val="0"/>
      </w:pPr>
      <w:r>
        <w:t>第五题（15 学分）【管理实践 - 为员工提供改善型反馈】</w:t>
      </w:r>
    </w:p>
    <w:p w14:paraId="7928E3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在检查工作的过程，发现员工的问题，并通过改善型反馈的方式为员工提供管理的意见，为每位员工提供一次反馈。请注意反馈的基本原则的应用。</w:t>
      </w:r>
    </w:p>
    <w:p w14:paraId="71897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1"/>
          <w:szCs w:val="21"/>
        </w:rPr>
      </w:pPr>
      <w:r>
        <w:rPr>
          <w:rFonts w:ascii="宋体" w:hAnsi="宋体" w:eastAsia="宋体"/>
          <w:b w:val="0"/>
          <w:sz w:val="21"/>
        </w:rPr>
        <w:t>员工姓名：泰利　　　　　日期：2026年7月</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189"/>
        <w:gridCol w:w="3875"/>
      </w:tblGrid>
      <w:tr w14:paraId="1A5F6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4144" w:type="dxa"/>
            <w:shd w:val="clear" w:color="auto" w:fill="auto"/>
            <w:vAlign w:val="center"/>
          </w:tcPr>
          <w:p w14:paraId="20C4E741">
            <w:pPr>
              <w:keepNext w:val="0"/>
              <w:keepLines w:val="0"/>
              <w:widowControl/>
              <w:suppressLineNumbers w:val="0"/>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情境｜任务描述：</w:t>
            </w:r>
          </w:p>
        </w:tc>
        <w:tc>
          <w:tcPr>
            <w:tcW w:w="3830" w:type="dxa"/>
            <w:shd w:val="clear" w:color="auto" w:fill="auto"/>
            <w:vAlign w:val="center"/>
          </w:tcPr>
          <w:p w14:paraId="1BC5CB21">
            <w:pPr>
              <w:keepNext w:val="0"/>
              <w:keepLines w:val="0"/>
              <w:widowControl/>
              <w:suppressLineNumbers w:val="0"/>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输入答案</w:t>
            </w:r>
          </w:p>
        </w:tc>
      </w:tr>
      <w:tr w14:paraId="67B77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144" w:type="dxa"/>
            <w:shd w:val="clear" w:color="auto" w:fill="auto"/>
            <w:vAlign w:val="center"/>
          </w:tcPr>
          <w:p w14:paraId="7EED43B9">
            <w:pPr>
              <w:keepNext w:val="0"/>
              <w:keepLines w:val="0"/>
              <w:widowControl/>
              <w:suppressLineNumbers w:val="0"/>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指出员工的问题</w:t>
            </w:r>
          </w:p>
        </w:tc>
        <w:tc>
          <w:tcPr>
            <w:tcW w:w="3830" w:type="dxa"/>
            <w:shd w:val="clear" w:color="auto" w:fill="auto"/>
            <w:vAlign w:val="center"/>
          </w:tcPr>
          <w:p w14:paraId="66BD7E8D">
            <w:pPr>
              <w:keepNext w:val="0"/>
              <w:keepLines w:val="0"/>
              <w:widowControl/>
              <w:suppressLineNumbers w:val="0"/>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给出管理的建议</w:t>
            </w:r>
          </w:p>
        </w:tc>
      </w:tr>
      <w:tr w14:paraId="5639C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144" w:type="dxa"/>
            <w:shd w:val="clear" w:color="auto" w:fill="auto"/>
            <w:vAlign w:val="center"/>
          </w:tcPr>
          <w:p>
            <w:r/>
            <w:r>
              <w:rPr>
                <w:rFonts w:ascii="宋体" w:hAnsi="宋体" w:eastAsia="宋体"/>
                <w:b w:val="0"/>
                <w:sz w:val="21"/>
              </w:rPr>
              <w:t>错误的行动（A）：4月1日备份中心方案第二轮评审中，评审专家提出的问题泰利没有及时理解和闭环跟踪，评审意见没有真正消化落地，只是走了回复流程</w:t>
            </w:r>
          </w:p>
        </w:tc>
        <w:tc>
          <w:tcPr>
            <w:tcW w:w="3830" w:type="dxa"/>
            <w:shd w:val="clear" w:color="auto" w:fill="auto"/>
            <w:vAlign w:val="center"/>
          </w:tcPr>
          <w:p>
            <w:r/>
            <w:r>
              <w:rPr>
                <w:rFonts w:ascii="宋体" w:hAnsi="宋体" w:eastAsia="宋体"/>
                <w:b w:val="0"/>
                <w:sz w:val="21"/>
              </w:rPr>
              <w:t>泰利，4.1那次评审专家提的问题，我理解你当时可能觉得已经回复过了，但从结果看，那些问题并没有真正被吃透、也没有跟踪到闭环——这是这次延期最根源的地方。以后评审提出的问题，不管当时觉得多小，都要写清楚"问题是什么、我们的理解是什么、什么时候关闭、谁确认"，而不是回复完就算完成。</w:t>
            </w:r>
          </w:p>
        </w:tc>
      </w:tr>
      <w:tr w14:paraId="2782A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144" w:type="dxa"/>
            <w:shd w:val="clear" w:color="auto" w:fill="auto"/>
            <w:vAlign w:val="center"/>
          </w:tcPr>
          <w:p>
            <w:r/>
            <w:r>
              <w:rPr>
                <w:rFonts w:ascii="宋体" w:hAnsi="宋体" w:eastAsia="宋体"/>
                <w:b w:val="0"/>
                <w:sz w:val="21"/>
              </w:rPr>
              <w:t>不好的结果（R）：5月15日交付节点才发现方案设计和代码开发出现偏差，需要重新纠偏和返工开发，项目交付因此延期</w:t>
            </w:r>
          </w:p>
        </w:tc>
        <w:tc>
          <w:tcPr>
            <w:tcW w:w="3830" w:type="dxa"/>
            <w:shd w:val="clear" w:color="auto" w:fill="auto"/>
            <w:vAlign w:val="center"/>
          </w:tcPr>
          <w:p>
            <w:r/>
            <w:r>
              <w:rPr>
                <w:rFonts w:ascii="宋体" w:hAnsi="宋体" w:eastAsia="宋体"/>
                <w:b w:val="0"/>
                <w:sz w:val="21"/>
              </w:rPr>
              <w:t>5.15发现偏差的时候已经没有缓冲时间了，只能压缩后面的排期去返工，这也直接影响了交付承诺。我们已经把这次的偏差纠正过来了，但这个教训我希望你记住：评审意见不闭环，风险不会消失，只会往后推、推到最不该发生的时间点上暴露。</w:t>
            </w:r>
          </w:p>
        </w:tc>
      </w:tr>
      <w:tr w14:paraId="217D2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144" w:type="dxa"/>
            <w:shd w:val="clear" w:color="auto" w:fill="auto"/>
            <w:vAlign w:val="center"/>
          </w:tcPr>
          <w:p>
            <w:r/>
            <w:r>
              <w:rPr>
                <w:rFonts w:ascii="宋体" w:hAnsi="宋体" w:eastAsia="宋体"/>
                <w:b w:val="0"/>
                <w:sz w:val="21"/>
              </w:rPr>
              <w:t>反馈心得笔记：这次反馈的关键是把"交付延期"这个结果，往前拆解到4.1评审意见未闭环这个具体行为动作上，让泰利看到问题不是"代码写错了"，而是"评审反馈处理机制没有跑完整"；同时给出可执行的改进方法（问题-理解-关闭时间-确认人四要素），避免同类问题在下一次评审再次发生。</w:t>
            </w:r>
          </w:p>
        </w:tc>
        <w:tc>
          <w:tcPr>
            <w:tcW w:w="3830" w:type="dxa"/>
            <w:shd w:val="clear" w:color="auto" w:fill="auto"/>
            <w:vAlign w:val="center"/>
          </w:tcPr>
          <w:p w14:paraId="4E8BDF84">
            <w:pPr>
              <w:keepNext w:val="0"/>
              <w:keepLines w:val="0"/>
              <w:widowControl/>
              <w:suppressLineNumbers w:val="0"/>
              <w:spacing w:before="0" w:beforeAutospacing="0" w:after="0" w:afterAutospacing="0" w:line="360" w:lineRule="atLeast"/>
              <w:ind w:left="0" w:right="0"/>
              <w:jc w:val="left"/>
              <w:rPr>
                <w:color w:val="000000"/>
                <w:sz w:val="21"/>
                <w:szCs w:val="21"/>
              </w:rPr>
            </w:pPr>
          </w:p>
        </w:tc>
      </w:tr>
    </w:tbl>
    <w:p w14:paraId="14CD5526">
      <w:pPr>
        <w:pStyle w:val="3"/>
        <w:bidi w:val="0"/>
      </w:pPr>
      <w:r>
        <w:t>第六题（20 学分）【管理实践 - 重点工作检查】</w:t>
      </w:r>
    </w:p>
    <w:p w14:paraId="404B14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1"/>
          <w:szCs w:val="21"/>
          <w:lang w:val="en-US" w:eastAsia="zh-CN" w:bidi="ar"/>
        </w:rPr>
        <w:t>检查是确保项目进度及保证业绩的重要方法，组长在跟组员就某任务目标达成一致后，可以通过定期的检查表来控制工作的进度，以确保任务的质量及效率。因此，组长需要以周为单位对重点项目及重点人群进行检查。请根据课上分享的工作检查表模板，在本次实践计划中，每完成一个的检查计划，您将获得 5 分，总共完成 4 个关键任务的检查，共计 20 分。（在检查节点的位置，写上检查的内容及检查方式）</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498"/>
        <w:gridCol w:w="1661"/>
        <w:gridCol w:w="1163"/>
        <w:gridCol w:w="3322"/>
        <w:gridCol w:w="1661"/>
      </w:tblGrid>
      <w:tr w14:paraId="1591C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498" w:type="dxa"/>
            <w:shd w:val="clear" w:color="auto" w:fill="auto"/>
            <w:vAlign w:val="center"/>
          </w:tcPr>
          <w:p w14:paraId="6DC342A5">
            <w:pPr>
              <w:keepNext w:val="0"/>
              <w:keepLines w:val="0"/>
              <w:widowControl/>
              <w:suppressLineNumbers w:val="0"/>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序号</w:t>
            </w:r>
          </w:p>
        </w:tc>
        <w:tc>
          <w:tcPr>
            <w:tcW w:w="1661" w:type="dxa"/>
            <w:shd w:val="clear" w:color="auto" w:fill="auto"/>
            <w:vAlign w:val="center"/>
          </w:tcPr>
          <w:p w14:paraId="65BAE361">
            <w:pPr>
              <w:keepNext w:val="0"/>
              <w:keepLines w:val="0"/>
              <w:widowControl/>
              <w:suppressLineNumbers w:val="0"/>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关键任务</w:t>
            </w:r>
          </w:p>
        </w:tc>
        <w:tc>
          <w:tcPr>
            <w:tcW w:w="1163" w:type="dxa"/>
            <w:shd w:val="clear" w:color="auto" w:fill="auto"/>
            <w:vAlign w:val="center"/>
          </w:tcPr>
          <w:p w14:paraId="7D08687E">
            <w:pPr>
              <w:keepNext w:val="0"/>
              <w:keepLines w:val="0"/>
              <w:widowControl/>
              <w:suppressLineNumbers w:val="0"/>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负责人</w:t>
            </w:r>
          </w:p>
        </w:tc>
        <w:tc>
          <w:tcPr>
            <w:tcW w:w="3322" w:type="dxa"/>
            <w:shd w:val="clear" w:color="auto" w:fill="auto"/>
            <w:vAlign w:val="center"/>
          </w:tcPr>
          <w:p w14:paraId="0A32A00B">
            <w:pPr>
              <w:keepNext w:val="0"/>
              <w:keepLines w:val="0"/>
              <w:widowControl/>
              <w:suppressLineNumbers w:val="0"/>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检查节点（99%、50%、1%）</w:t>
            </w:r>
          </w:p>
        </w:tc>
        <w:tc>
          <w:tcPr>
            <w:tcW w:w="1661" w:type="dxa"/>
            <w:shd w:val="clear" w:color="auto" w:fill="auto"/>
            <w:vAlign w:val="center"/>
          </w:tcPr>
          <w:p w14:paraId="1C9B0A25">
            <w:pPr>
              <w:keepNext w:val="0"/>
              <w:keepLines w:val="0"/>
              <w:widowControl/>
              <w:suppressLineNumbers w:val="0"/>
              <w:spacing w:before="0" w:beforeAutospacing="0" w:after="0" w:afterAutospacing="0" w:line="360" w:lineRule="atLeast"/>
              <w:ind w:left="0" w:right="0"/>
              <w:jc w:val="left"/>
              <w:rPr>
                <w:b/>
                <w:bCs/>
                <w:color w:val="000000"/>
                <w:sz w:val="21"/>
                <w:szCs w:val="21"/>
              </w:rPr>
            </w:pPr>
            <w:r>
              <w:rPr>
                <w:rFonts w:ascii="宋体" w:hAnsi="宋体" w:eastAsia="宋体" w:cs="宋体"/>
                <w:b/>
                <w:bCs/>
                <w:color w:val="000000"/>
                <w:kern w:val="0"/>
                <w:sz w:val="21"/>
                <w:szCs w:val="21"/>
                <w:lang w:val="en-US" w:eastAsia="zh-CN" w:bidi="ar"/>
              </w:rPr>
              <w:t>处理方式</w:t>
            </w:r>
          </w:p>
        </w:tc>
      </w:tr>
      <w:tr w14:paraId="2D38C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498" w:type="dxa"/>
            <w:shd w:val="clear" w:color="auto" w:fill="auto"/>
            <w:vAlign w:val="center"/>
          </w:tcPr>
          <w:p>
            <w:r/>
            <w:r>
              <w:rPr>
                <w:rFonts w:ascii="宋体" w:hAnsi="宋体" w:eastAsia="宋体"/>
                <w:b w:val="0"/>
                <w:sz w:val="21"/>
              </w:rPr>
              <w:t>1</w:t>
            </w:r>
          </w:p>
        </w:tc>
        <w:tc>
          <w:tcPr>
            <w:tcW w:w="1661" w:type="dxa"/>
            <w:shd w:val="clear" w:color="auto" w:fill="auto"/>
            <w:vAlign w:val="center"/>
          </w:tcPr>
          <w:p>
            <w:r/>
            <w:r>
              <w:rPr>
                <w:rFonts w:ascii="宋体" w:hAnsi="宋体" w:eastAsia="宋体"/>
                <w:b w:val="0"/>
                <w:sz w:val="21"/>
              </w:rPr>
              <w:t>定向链路层架构设计文档及开发指南产出</w:t>
            </w:r>
          </w:p>
        </w:tc>
        <w:tc>
          <w:tcPr>
            <w:tcW w:w="1163" w:type="dxa"/>
            <w:shd w:val="clear" w:color="auto" w:fill="auto"/>
            <w:vAlign w:val="center"/>
          </w:tcPr>
          <w:p>
            <w:r/>
            <w:r>
              <w:rPr>
                <w:rFonts w:ascii="宋体" w:hAnsi="宋体" w:eastAsia="宋体"/>
                <w:b w:val="0"/>
                <w:sz w:val="21"/>
              </w:rPr>
              <w:t>周静（本人牵头）</w:t>
            </w:r>
          </w:p>
        </w:tc>
        <w:tc>
          <w:tcPr>
            <w:tcW w:w="3322" w:type="dxa"/>
            <w:shd w:val="clear" w:color="auto" w:fill="auto"/>
            <w:vAlign w:val="center"/>
          </w:tcPr>
          <w:p>
            <w:r/>
            <w:r>
              <w:rPr>
                <w:rFonts w:ascii="宋体" w:hAnsi="宋体" w:eastAsia="宋体"/>
                <w:b w:val="0"/>
                <w:sz w:val="21"/>
              </w:rPr>
              <w:t>1%（启动）：确认现有S1320V2现状梳理范围和模块划分方案框架是否达成一致——方式：自查+与湘湘、泰利口头对齐</w:t>
            </w:r>
          </w:p>
          <w:p>
            <w:r>
              <w:rPr>
                <w:rFonts w:ascii="宋体" w:hAnsi="宋体" w:eastAsia="宋体"/>
                <w:b w:val="0"/>
                <w:sz w:val="21"/>
              </w:rPr>
              <w:t>50%（中期）：架构设计文档初稿、内部接口定义草案是否覆盖模块划分/接口定义/公共数据结构/依赖关系四要素——方式：组内评审会，湘湘、泰利参与评审</w:t>
            </w:r>
          </w:p>
          <w:p>
            <w:r>
              <w:rPr>
                <w:rFonts w:ascii="宋体" w:hAnsi="宋体" w:eastAsia="宋体"/>
                <w:b w:val="0"/>
                <w:sz w:val="21"/>
              </w:rPr>
              <w:t>99%（收尾）：终稿是否通过SE/科室主任评审，是否具备可直接指导其他工程师独立开发的可执行性——方式：正式评审会+书面确认单</w:t>
            </w:r>
          </w:p>
        </w:tc>
        <w:tc>
          <w:tcPr>
            <w:tcW w:w="1661" w:type="dxa"/>
            <w:shd w:val="clear" w:color="auto" w:fill="auto"/>
            <w:vAlign w:val="center"/>
          </w:tcPr>
          <w:p>
            <w:r/>
            <w:r>
              <w:rPr>
                <w:rFonts w:ascii="宋体" w:hAnsi="宋体" w:eastAsia="宋体"/>
                <w:b w:val="0"/>
                <w:sz w:val="21"/>
              </w:rPr>
              <w:t>如50%节点未达标，立即压缩任务颗粒度到半天可完成的单元，并用断点交接卡跟踪</w:t>
            </w:r>
          </w:p>
        </w:tc>
      </w:tr>
      <w:tr w14:paraId="3AF86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498" w:type="dxa"/>
            <w:shd w:val="clear" w:color="auto" w:fill="auto"/>
            <w:vAlign w:val="center"/>
          </w:tcPr>
          <w:p>
            <w:r/>
            <w:r>
              <w:rPr>
                <w:rFonts w:ascii="宋体" w:hAnsi="宋体" w:eastAsia="宋体"/>
                <w:b w:val="0"/>
                <w:sz w:val="21"/>
              </w:rPr>
              <w:t>2</w:t>
            </w:r>
          </w:p>
        </w:tc>
        <w:tc>
          <w:tcPr>
            <w:tcW w:w="1661" w:type="dxa"/>
            <w:shd w:val="clear" w:color="auto" w:fill="auto"/>
            <w:vAlign w:val="center"/>
          </w:tcPr>
          <w:p>
            <w:r/>
            <w:r>
              <w:rPr>
                <w:rFonts w:ascii="宋体" w:hAnsi="宋体" w:eastAsia="宋体"/>
                <w:b w:val="0"/>
                <w:sz w:val="21"/>
              </w:rPr>
              <w:t>链路层数据面模块化V2.0——资源管理/自适应速率功率等子模块开发</w:t>
            </w:r>
          </w:p>
        </w:tc>
        <w:tc>
          <w:tcPr>
            <w:tcW w:w="1163" w:type="dxa"/>
            <w:shd w:val="clear" w:color="auto" w:fill="auto"/>
            <w:vAlign w:val="center"/>
          </w:tcPr>
          <w:p>
            <w:r/>
            <w:r>
              <w:rPr>
                <w:rFonts w:ascii="宋体" w:hAnsi="宋体" w:eastAsia="宋体"/>
                <w:b w:val="0"/>
                <w:sz w:val="21"/>
              </w:rPr>
              <w:t>湘湘、泰利</w:t>
            </w:r>
          </w:p>
        </w:tc>
        <w:tc>
          <w:tcPr>
            <w:tcW w:w="3322" w:type="dxa"/>
            <w:shd w:val="clear" w:color="auto" w:fill="auto"/>
            <w:vAlign w:val="center"/>
          </w:tcPr>
          <w:p>
            <w:r/>
            <w:r>
              <w:rPr>
                <w:rFonts w:ascii="宋体" w:hAnsi="宋体" w:eastAsia="宋体"/>
                <w:b w:val="0"/>
                <w:sz w:val="21"/>
              </w:rPr>
              <w:t>1%：子模块任务分工和接口约定是否明确到人——方式：任务分配确认表</w:t>
            </w:r>
          </w:p>
          <w:p>
            <w:r>
              <w:rPr>
                <w:rFonts w:ascii="宋体" w:hAnsi="宋体" w:eastAsia="宋体"/>
                <w:b w:val="0"/>
                <w:sz w:val="21"/>
              </w:rPr>
              <w:t>50%：模块测试用例覆盖率是否达到中期目标（≥50%），文档是否已按模板起草——方式：代码审查+覆盖率报告抽查</w:t>
            </w:r>
          </w:p>
          <w:p>
            <w:r>
              <w:rPr>
                <w:rFonts w:ascii="宋体" w:hAnsi="宋体" w:eastAsia="宋体"/>
                <w:b w:val="0"/>
                <w:sz w:val="21"/>
              </w:rPr>
              <w:t>99%：测试覆盖率是否≥90%，模块结构是否满足独立文件管理、无循环依赖——方式：正式代码评审+架构巡检</w:t>
            </w:r>
          </w:p>
        </w:tc>
        <w:tc>
          <w:tcPr>
            <w:tcW w:w="1661" w:type="dxa"/>
            <w:shd w:val="clear" w:color="auto" w:fill="auto"/>
            <w:vAlign w:val="center"/>
          </w:tcPr>
          <w:p>
            <w:r/>
            <w:r>
              <w:rPr>
                <w:rFonts w:ascii="宋体" w:hAnsi="宋体" w:eastAsia="宋体"/>
                <w:b w:val="0"/>
                <w:sz w:val="21"/>
              </w:rPr>
              <w:t>覆盖率未达标的模块暂停排期新任务，优先补齐测试后再进入下一阶段</w:t>
            </w:r>
          </w:p>
        </w:tc>
      </w:tr>
      <w:tr w14:paraId="2BC3E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98" w:type="dxa"/>
            <w:shd w:val="clear" w:color="auto" w:fill="auto"/>
            <w:vAlign w:val="center"/>
          </w:tcPr>
          <w:p>
            <w:r/>
            <w:r>
              <w:rPr>
                <w:rFonts w:ascii="宋体" w:hAnsi="宋体" w:eastAsia="宋体"/>
                <w:b w:val="0"/>
                <w:sz w:val="21"/>
              </w:rPr>
              <w:t>3</w:t>
            </w:r>
          </w:p>
        </w:tc>
        <w:tc>
          <w:tcPr>
            <w:tcW w:w="1661" w:type="dxa"/>
            <w:shd w:val="clear" w:color="auto" w:fill="auto"/>
            <w:vAlign w:val="center"/>
          </w:tcPr>
          <w:p>
            <w:r/>
            <w:r>
              <w:rPr>
                <w:rFonts w:ascii="宋体" w:hAnsi="宋体" w:eastAsia="宋体"/>
                <w:b w:val="0"/>
                <w:sz w:val="21"/>
              </w:rPr>
              <w:t>模块级自验证支持——自研仿真验证平台接入</w:t>
            </w:r>
          </w:p>
        </w:tc>
        <w:tc>
          <w:tcPr>
            <w:tcW w:w="1163" w:type="dxa"/>
            <w:shd w:val="clear" w:color="auto" w:fill="auto"/>
            <w:vAlign w:val="center"/>
          </w:tcPr>
          <w:p>
            <w:r/>
            <w:r>
              <w:rPr>
                <w:rFonts w:ascii="宋体" w:hAnsi="宋体" w:eastAsia="宋体"/>
                <w:b w:val="0"/>
                <w:sz w:val="21"/>
              </w:rPr>
              <w:t>周静（牵头）+各模块负责人</w:t>
            </w:r>
          </w:p>
        </w:tc>
        <w:tc>
          <w:tcPr>
            <w:tcW w:w="3322" w:type="dxa"/>
            <w:shd w:val="clear" w:color="auto" w:fill="auto"/>
            <w:vAlign w:val="center"/>
          </w:tcPr>
          <w:p>
            <w:r/>
            <w:r>
              <w:rPr>
                <w:rFonts w:ascii="宋体" w:hAnsi="宋体" w:eastAsia="宋体"/>
                <w:b w:val="0"/>
                <w:sz w:val="21"/>
              </w:rPr>
              <w:t>1%：待接入模块清单及优先级是否确认——方式：清单确认会</w:t>
            </w:r>
          </w:p>
          <w:p>
            <w:r>
              <w:rPr>
                <w:rFonts w:ascii="宋体" w:hAnsi="宋体" w:eastAsia="宋体"/>
                <w:b w:val="0"/>
                <w:sz w:val="21"/>
              </w:rPr>
              <w:t>50%：重点交付项目的自验证执行率是否达到中期目标（≥50%）——方式：平台执行记录核查</w:t>
            </w:r>
          </w:p>
          <w:p>
            <w:r>
              <w:rPr>
                <w:rFonts w:ascii="宋体" w:hAnsi="宋体" w:eastAsia="宋体"/>
                <w:b w:val="0"/>
                <w:sz w:val="21"/>
              </w:rPr>
              <w:t>99%：自验证执行率是否≥90%，缺陷闭环率是否达到100%——方式：自验证报告归档核查+缺陷跟踪表核对</w:t>
            </w:r>
          </w:p>
        </w:tc>
        <w:tc>
          <w:tcPr>
            <w:tcW w:w="1661" w:type="dxa"/>
            <w:shd w:val="clear" w:color="auto" w:fill="auto"/>
            <w:vAlign w:val="center"/>
          </w:tcPr>
          <w:p>
            <w:r/>
            <w:r>
              <w:rPr>
                <w:rFonts w:ascii="宋体" w:hAnsi="宋体" w:eastAsia="宋体"/>
                <w:b w:val="0"/>
                <w:sz w:val="21"/>
              </w:rPr>
              <w:t>闭环率未达100%的缺陷逐条升级跟踪，纳入下周检查重点</w:t>
            </w:r>
          </w:p>
        </w:tc>
      </w:tr>
      <w:tr w14:paraId="3737C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98" w:type="dxa"/>
            <w:shd w:val="clear" w:color="auto" w:fill="auto"/>
            <w:vAlign w:val="center"/>
          </w:tcPr>
          <w:p>
            <w:r/>
            <w:r>
              <w:rPr>
                <w:rFonts w:ascii="宋体" w:hAnsi="宋体" w:eastAsia="宋体"/>
                <w:b w:val="0"/>
                <w:sz w:val="21"/>
              </w:rPr>
              <w:t>4</w:t>
            </w:r>
          </w:p>
        </w:tc>
        <w:tc>
          <w:tcPr>
            <w:tcW w:w="1661" w:type="dxa"/>
            <w:shd w:val="clear" w:color="auto" w:fill="auto"/>
            <w:vAlign w:val="center"/>
          </w:tcPr>
          <w:p>
            <w:r/>
            <w:r>
              <w:rPr>
                <w:rFonts w:ascii="宋体" w:hAnsi="宋体" w:eastAsia="宋体"/>
                <w:b w:val="0"/>
                <w:sz w:val="21"/>
              </w:rPr>
              <w:t>任霜请假前数据处理模块backup交接</w:t>
            </w:r>
          </w:p>
        </w:tc>
        <w:tc>
          <w:tcPr>
            <w:tcW w:w="1163" w:type="dxa"/>
            <w:shd w:val="clear" w:color="auto" w:fill="auto"/>
            <w:vAlign w:val="center"/>
          </w:tcPr>
          <w:p>
            <w:r/>
            <w:r>
              <w:rPr>
                <w:rFonts w:ascii="宋体" w:hAnsi="宋体" w:eastAsia="宋体"/>
                <w:b w:val="0"/>
                <w:sz w:val="21"/>
              </w:rPr>
              <w:t>任霜+backup承接人（符兵）</w:t>
            </w:r>
          </w:p>
        </w:tc>
        <w:tc>
          <w:tcPr>
            <w:tcW w:w="3322" w:type="dxa"/>
            <w:shd w:val="clear" w:color="auto" w:fill="auto"/>
            <w:vAlign w:val="center"/>
          </w:tcPr>
          <w:p>
            <w:r/>
            <w:r>
              <w:rPr>
                <w:rFonts w:ascii="宋体" w:hAnsi="宋体" w:eastAsia="宋体"/>
                <w:b w:val="0"/>
                <w:sz w:val="21"/>
              </w:rPr>
              <w:t>1%：backup人选是否确定，交接计划是否制定——方式：交接计划评审</w:t>
            </w:r>
          </w:p>
          <w:p>
            <w:r>
              <w:rPr>
                <w:rFonts w:ascii="宋体" w:hAnsi="宋体" w:eastAsia="宋体"/>
                <w:b w:val="0"/>
                <w:sz w:val="21"/>
              </w:rPr>
              <w:t>50%：backup人是否已完成模块核心逻辑独立走读并能复现关键场景——方式：现场提问/实操验证</w:t>
            </w:r>
          </w:p>
          <w:p>
            <w:r>
              <w:rPr>
                <w:rFonts w:ascii="宋体" w:hAnsi="宋体" w:eastAsia="宋体"/>
                <w:b w:val="0"/>
                <w:sz w:val="21"/>
              </w:rPr>
              <w:t>99%：backup人是否能独立处理模块常见问题，请假期间应急联系机制是否明确——方式：模拟应急演练+书面应急预案确认</w:t>
            </w:r>
          </w:p>
        </w:tc>
        <w:tc>
          <w:tcPr>
            <w:tcW w:w="1661" w:type="dxa"/>
            <w:shd w:val="clear" w:color="auto" w:fill="auto"/>
            <w:vAlign w:val="center"/>
          </w:tcPr>
          <w:p>
            <w:r/>
            <w:r>
              <w:rPr>
                <w:rFonts w:ascii="宋体" w:hAnsi="宋体" w:eastAsia="宋体"/>
                <w:b w:val="0"/>
                <w:sz w:val="21"/>
              </w:rPr>
              <w:t>如50%节点backup尚不能独立复现场景，安排任霜专项带教补课，压缩到请假前完成</w:t>
            </w:r>
          </w:p>
        </w:tc>
      </w:tr>
      <w:tr w14:paraId="6EE39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98" w:type="dxa"/>
            <w:shd w:val="clear" w:color="auto" w:fill="auto"/>
            <w:vAlign w:val="center"/>
          </w:tcPr>
          <w:p w14:paraId="477A6C49">
            <w:pPr>
              <w:keepNext w:val="0"/>
              <w:keepLines w:val="0"/>
              <w:widowControl/>
              <w:suppressLineNumbers w:val="0"/>
              <w:spacing w:before="0" w:beforeAutospacing="0" w:after="0" w:afterAutospacing="0" w:line="360" w:lineRule="atLeast"/>
              <w:ind w:left="0" w:right="0"/>
              <w:jc w:val="left"/>
              <w:rPr>
                <w:color w:val="000000"/>
                <w:sz w:val="21"/>
                <w:szCs w:val="21"/>
              </w:rPr>
            </w:pPr>
            <w:r>
              <w:rPr>
                <w:rFonts w:ascii="宋体" w:hAnsi="宋体" w:eastAsia="宋体" w:cs="宋体"/>
                <w:color w:val="000000"/>
                <w:kern w:val="0"/>
                <w:sz w:val="21"/>
                <w:szCs w:val="21"/>
                <w:lang w:val="en-US" w:eastAsia="zh-CN" w:bidi="ar"/>
              </w:rPr>
              <w:t>5</w:t>
            </w:r>
          </w:p>
        </w:tc>
        <w:tc>
          <w:tcPr>
            <w:tcW w:w="1661" w:type="dxa"/>
            <w:shd w:val="clear" w:color="auto" w:fill="auto"/>
            <w:vAlign w:val="center"/>
          </w:tcPr>
          <w:p w14:paraId="27F53132">
            <w:pPr>
              <w:jc w:val="left"/>
              <w:rPr>
                <w:rFonts w:hint="eastAsia" w:ascii="宋体"/>
                <w:color w:val="000000"/>
                <w:sz w:val="21"/>
                <w:szCs w:val="21"/>
              </w:rPr>
            </w:pPr>
          </w:p>
        </w:tc>
        <w:tc>
          <w:tcPr>
            <w:tcW w:w="1163" w:type="dxa"/>
            <w:shd w:val="clear" w:color="auto" w:fill="auto"/>
            <w:vAlign w:val="center"/>
          </w:tcPr>
          <w:p w14:paraId="7309FC7A">
            <w:pPr>
              <w:jc w:val="left"/>
              <w:rPr>
                <w:rFonts w:hint="eastAsia" w:ascii="宋体"/>
                <w:color w:val="000000"/>
                <w:sz w:val="21"/>
                <w:szCs w:val="21"/>
              </w:rPr>
            </w:pPr>
          </w:p>
        </w:tc>
        <w:tc>
          <w:tcPr>
            <w:tcW w:w="3322" w:type="dxa"/>
            <w:shd w:val="clear" w:color="auto" w:fill="auto"/>
            <w:vAlign w:val="center"/>
          </w:tcPr>
          <w:p w14:paraId="736457EF">
            <w:pPr>
              <w:jc w:val="left"/>
              <w:rPr>
                <w:rFonts w:hint="eastAsia" w:ascii="宋体"/>
                <w:color w:val="000000"/>
                <w:sz w:val="21"/>
                <w:szCs w:val="21"/>
              </w:rPr>
            </w:pPr>
          </w:p>
        </w:tc>
        <w:tc>
          <w:tcPr>
            <w:tcW w:w="1661" w:type="dxa"/>
            <w:shd w:val="clear" w:color="auto" w:fill="auto"/>
            <w:vAlign w:val="center"/>
          </w:tcPr>
          <w:p w14:paraId="12A5F135">
            <w:pPr>
              <w:jc w:val="left"/>
              <w:rPr>
                <w:rFonts w:hint="eastAsia" w:ascii="宋体"/>
                <w:color w:val="000000"/>
                <w:sz w:val="21"/>
                <w:szCs w:val="21"/>
              </w:rPr>
            </w:pPr>
          </w:p>
        </w:tc>
      </w:tr>
    </w:tbl>
    <w:p w14:paraId="3C8E6AF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C6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link w:val="6"/>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6">
    <w:name w:val="标题 3 Char"/>
    <w:link w:val="3"/>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2026-07-07T09:12:11Z</dcterms:created>
  <dc:creator>ASDA</dc:creator>
  <cp:lastModifiedBy>息心</cp:lastModifiedBy>
  <dcterms:modified xsi:type="dcterms:W3CDTF">2026-07-07T09:12:13Z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eyJoZGlkIjoiYmIyZTI5ODBjNzk1MzVkNTRmYzBjMTIxY2NlOTY4NTAiLCJ1c2VySWQiOiI3NjU1NzQxNzgifQ==</vt:lpwstr>
  </property>
  <property fmtid="{D5CDD505-2E9C-101B-9397-08002B2CF9AE}" pid="4" name="ICV">
    <vt:lpwstr>AE8533BB57934C48BB8F1A849DA34E44_12</vt:lpwstr>
  </property>
</Properties>
</file>