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Evolucion del mercado laboral e ingresos reales</w:t>
      </w:r>
    </w:p>
    <w:p>
      <w:pPr>
        <w:jc w:val="center"/>
      </w:pPr>
      <w:r>
        <w:t>Analisis comparativo de Neuquen-Plottier y Mar del Plata, EPH 2016T2-2025T4</w:t>
      </w:r>
    </w:p>
    <w:p>
      <w:r>
        <w:t>Fuente: elaboracion propia con microdatos EPH-INDEC e IPC nacional.</w:t>
      </w:r>
    </w:p>
    <w:p>
      <w:pPr>
        <w:pStyle w:val="Heading1"/>
      </w:pPr>
      <w:r>
        <w:t>1. Introduccion</w:t>
      </w:r>
    </w:p>
    <w:p>
      <w:pPr>
        <w:jc w:val="both"/>
      </w:pPr>
      <w:r>
        <w:rPr>
          <w:sz w:val="21"/>
        </w:rPr>
        <w:t>El objetivo del trabajo es analizar la evolucion de la tasa de actividad, la tasa de empleo, la tasa de desocupacion y los ingresos de la poblacion en dos aglomerados urbanos relevados por la Encuesta Permanente de Hogares (EPH). La comparacion se concentra en Neuquen-Plottier, identificado con el codigo de aglomerado 17, y Mar del Plata, identificado con el codigo 34. La seleccion permite contrastar dos mercados laborales con perfiles distintos: uno asociado a la dinamica patagonica y energetica, y otro con fuerte presencia de servicios, turismo y estacionalidad.</w:t>
      </w:r>
    </w:p>
    <w:p>
      <w:pPr>
        <w:jc w:val="both"/>
      </w:pPr>
      <w:r>
        <w:rPr>
          <w:sz w:val="21"/>
        </w:rPr>
        <w:t>El periodo analizado cubre desde el segundo trimestre de 2016 hasta el cuarto trimestre de 2025, que es el tramo disponible en las bases usuarias descargadas desde INDEC. Para que los ingresos sean comparables en el tiempo, se los ajusta por inflacion mediante el IPC Nivel General Nacional, base diciembre de 2016. Los valores monetarios se expresan a precios del cuarto trimestre de 2025.</w:t>
      </w:r>
    </w:p>
    <w:p>
      <w:pPr>
        <w:pStyle w:val="Heading1"/>
      </w:pPr>
      <w:r>
        <w:t>2. Datos y metodologia</w:t>
      </w:r>
    </w:p>
    <w:p>
      <w:pPr>
        <w:jc w:val="both"/>
      </w:pPr>
      <w:r>
        <w:rPr>
          <w:sz w:val="21"/>
        </w:rPr>
        <w:t>Se utilizan los microdatos de personas de la EPH. Las tasas laborales se calcularon con el ponderador PONDERA. La poblacion economicamente activa (PEA) se define como la suma ponderada de ocupados y desocupados. La tasa de actividad es PEA sobre poblacion total ponderada; la tasa de empleo es ocupados sobre poblacion total ponderada; y la tasa de desocupacion es desocupados sobre PEA. Para ingresos laborales se usa P21, ingreso de la ocupacion principal, y se pondera con PONDIIO cuando esta disponible.</w:t>
      </w:r>
    </w:p>
    <w:p>
      <w:pPr>
        <w:jc w:val="both"/>
      </w:pPr>
      <w:r>
        <w:rPr>
          <w:sz w:val="21"/>
        </w:rPr>
        <w:t>Ademas del analisis agregado por trimestre y aglomerado, se incorporan variables sociodemograficas y laborales: sexo, edad, nivel educativo, rama de actividad (PP04B_COD) y ocupacion (PP04D_COD). Estas variables permiten pasar de una descripcion puramente univariada a una lectura multivariada de la evolucion de los indicadores.</w:t>
      </w:r>
    </w:p>
    <w:p>
      <w:pPr>
        <w:jc w:val="both"/>
      </w:pPr>
      <w:r>
        <w:rPr>
          <w:sz w:val="21"/>
        </w:rPr>
        <w:t>El procesamiento fue realizado en Python mediante pandas, numpy, matplotlib, seaborn y scikit-learn. La eleccion del lenguaje no modifica la metodologia estadistica aplicada: las operaciones realizadas equivalen a procedimientos habituales de R, como agrupar y resumir datos, unir tablas, construir graficos y estimar modelos de regresion. Por ejemplo, los agrupamientos de pandas cumplen el mismo rol que group_by/summarise en dplyr, los cruces de tablas equivalen a joins y los graficos generados con seaborn/matplotlib cumplen una funcion similar a los realizados con ggplot2.</w:t>
      </w:r>
    </w:p>
    <w:p>
      <w:pPr>
        <w:pStyle w:val="Caption"/>
      </w:pPr>
      <w:r>
        <w:t>Tabla 1. Resumen inicial-final de indicadores seleccionados</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center"/>
            <w:shd w:fill="D9EAF7"/>
          </w:tcPr>
          <w:p>
            <w:pPr>
              <w:jc w:val="center"/>
            </w:pPr>
            <w:r/>
            <w:r>
              <w:rPr>
                <w:b/>
                <w:sz w:val="16"/>
              </w:rPr>
              <w:t>Aglomerado</w:t>
            </w:r>
          </w:p>
        </w:tc>
        <w:tc>
          <w:tcPr>
            <w:tcW w:type="dxa" w:w="1120"/>
            <w:vAlign w:val="center"/>
            <w:shd w:fill="D9EAF7"/>
          </w:tcPr>
          <w:p>
            <w:pPr>
              <w:jc w:val="center"/>
            </w:pPr>
            <w:r/>
            <w:r>
              <w:rPr>
                <w:b/>
                <w:sz w:val="16"/>
              </w:rPr>
              <w:t>Actividad inicial</w:t>
            </w:r>
          </w:p>
        </w:tc>
        <w:tc>
          <w:tcPr>
            <w:tcW w:type="dxa" w:w="1120"/>
            <w:vAlign w:val="center"/>
            <w:shd w:fill="D9EAF7"/>
          </w:tcPr>
          <w:p>
            <w:pPr>
              <w:jc w:val="center"/>
            </w:pPr>
            <w:r/>
            <w:r>
              <w:rPr>
                <w:b/>
                <w:sz w:val="16"/>
              </w:rPr>
              <w:t>Actividad final</w:t>
            </w:r>
          </w:p>
        </w:tc>
        <w:tc>
          <w:tcPr>
            <w:tcW w:type="dxa" w:w="1120"/>
            <w:vAlign w:val="center"/>
            <w:shd w:fill="D9EAF7"/>
          </w:tcPr>
          <w:p>
            <w:pPr>
              <w:jc w:val="center"/>
            </w:pPr>
            <w:r/>
            <w:r>
              <w:rPr>
                <w:b/>
                <w:sz w:val="16"/>
              </w:rPr>
              <w:t>Empleo inicial</w:t>
            </w:r>
          </w:p>
        </w:tc>
        <w:tc>
          <w:tcPr>
            <w:tcW w:type="dxa" w:w="1120"/>
            <w:vAlign w:val="center"/>
            <w:shd w:fill="D9EAF7"/>
          </w:tcPr>
          <w:p>
            <w:pPr>
              <w:jc w:val="center"/>
            </w:pPr>
            <w:r/>
            <w:r>
              <w:rPr>
                <w:b/>
                <w:sz w:val="16"/>
              </w:rPr>
              <w:t>Empleo final</w:t>
            </w:r>
          </w:p>
        </w:tc>
        <w:tc>
          <w:tcPr>
            <w:tcW w:type="dxa" w:w="1120"/>
            <w:vAlign w:val="center"/>
            <w:shd w:fill="D9EAF7"/>
          </w:tcPr>
          <w:p>
            <w:pPr>
              <w:jc w:val="center"/>
            </w:pPr>
            <w:r/>
            <w:r>
              <w:rPr>
                <w:b/>
                <w:sz w:val="16"/>
              </w:rPr>
              <w:t>Desoc. inicial</w:t>
            </w:r>
          </w:p>
        </w:tc>
        <w:tc>
          <w:tcPr>
            <w:tcW w:type="dxa" w:w="1120"/>
            <w:vAlign w:val="center"/>
            <w:shd w:fill="D9EAF7"/>
          </w:tcPr>
          <w:p>
            <w:pPr>
              <w:jc w:val="center"/>
            </w:pPr>
            <w:r/>
            <w:r>
              <w:rPr>
                <w:b/>
                <w:sz w:val="16"/>
              </w:rPr>
              <w:t>Desoc. final</w:t>
            </w:r>
          </w:p>
        </w:tc>
        <w:tc>
          <w:tcPr>
            <w:tcW w:type="dxa" w:w="1120"/>
            <w:vAlign w:val="center"/>
            <w:shd w:fill="D9EAF7"/>
          </w:tcPr>
          <w:p>
            <w:pPr>
              <w:jc w:val="center"/>
            </w:pPr>
            <w:r/>
            <w:r>
              <w:rPr>
                <w:b/>
                <w:sz w:val="16"/>
              </w:rPr>
              <w:t>Ingreso mediano inicial</w:t>
            </w:r>
          </w:p>
        </w:tc>
        <w:tc>
          <w:tcPr>
            <w:tcW w:type="dxa" w:w="1120"/>
            <w:vAlign w:val="center"/>
            <w:shd w:fill="D9EAF7"/>
          </w:tcPr>
          <w:p>
            <w:pPr>
              <w:jc w:val="center"/>
            </w:pPr>
            <w:r/>
            <w:r>
              <w:rPr>
                <w:b/>
                <w:sz w:val="16"/>
              </w:rPr>
              <w:t>Ingreso mediano final</w:t>
            </w:r>
          </w:p>
        </w:tc>
      </w:tr>
      <w:tr>
        <w:tc>
          <w:tcPr>
            <w:tcW w:type="dxa" w:w="1120"/>
            <w:vAlign w:val="center"/>
          </w:tcPr>
          <w:p>
            <w:pPr>
              <w:jc w:val="center"/>
            </w:pPr>
            <w:r/>
            <w:r>
              <w:rPr>
                <w:b w:val="0"/>
                <w:sz w:val="16"/>
              </w:rPr>
              <w:t>Mar del Plata</w:t>
            </w:r>
          </w:p>
        </w:tc>
        <w:tc>
          <w:tcPr>
            <w:tcW w:type="dxa" w:w="1120"/>
            <w:vAlign w:val="center"/>
          </w:tcPr>
          <w:p>
            <w:pPr>
              <w:jc w:val="center"/>
            </w:pPr>
            <w:r/>
            <w:r>
              <w:rPr>
                <w:b w:val="0"/>
                <w:sz w:val="16"/>
              </w:rPr>
              <w:t>45.8%</w:t>
            </w:r>
          </w:p>
        </w:tc>
        <w:tc>
          <w:tcPr>
            <w:tcW w:type="dxa" w:w="1120"/>
            <w:vAlign w:val="center"/>
          </w:tcPr>
          <w:p>
            <w:pPr>
              <w:jc w:val="center"/>
            </w:pPr>
            <w:r/>
            <w:r>
              <w:rPr>
                <w:b w:val="0"/>
                <w:sz w:val="16"/>
              </w:rPr>
              <w:t>52.2%</w:t>
            </w:r>
          </w:p>
        </w:tc>
        <w:tc>
          <w:tcPr>
            <w:tcW w:type="dxa" w:w="1120"/>
            <w:vAlign w:val="center"/>
          </w:tcPr>
          <w:p>
            <w:pPr>
              <w:jc w:val="center"/>
            </w:pPr>
            <w:r/>
            <w:r>
              <w:rPr>
                <w:b w:val="0"/>
                <w:sz w:val="16"/>
              </w:rPr>
              <w:t>40.5%</w:t>
            </w:r>
          </w:p>
        </w:tc>
        <w:tc>
          <w:tcPr>
            <w:tcW w:type="dxa" w:w="1120"/>
            <w:vAlign w:val="center"/>
          </w:tcPr>
          <w:p>
            <w:pPr>
              <w:jc w:val="center"/>
            </w:pPr>
            <w:r/>
            <w:r>
              <w:rPr>
                <w:b w:val="0"/>
                <w:sz w:val="16"/>
              </w:rPr>
              <w:t>47.2%</w:t>
            </w:r>
          </w:p>
        </w:tc>
        <w:tc>
          <w:tcPr>
            <w:tcW w:type="dxa" w:w="1120"/>
            <w:vAlign w:val="center"/>
          </w:tcPr>
          <w:p>
            <w:pPr>
              <w:jc w:val="center"/>
            </w:pPr>
            <w:r/>
            <w:r>
              <w:rPr>
                <w:b w:val="0"/>
                <w:sz w:val="16"/>
              </w:rPr>
              <w:t>11.6%</w:t>
            </w:r>
          </w:p>
        </w:tc>
        <w:tc>
          <w:tcPr>
            <w:tcW w:type="dxa" w:w="1120"/>
            <w:vAlign w:val="center"/>
          </w:tcPr>
          <w:p>
            <w:pPr>
              <w:jc w:val="center"/>
            </w:pPr>
            <w:r/>
            <w:r>
              <w:rPr>
                <w:b w:val="0"/>
                <w:sz w:val="16"/>
              </w:rPr>
              <w:t>9.5%</w:t>
            </w:r>
          </w:p>
        </w:tc>
        <w:tc>
          <w:tcPr>
            <w:tcW w:type="dxa" w:w="1120"/>
            <w:vAlign w:val="center"/>
          </w:tcPr>
          <w:p>
            <w:pPr>
              <w:jc w:val="center"/>
            </w:pPr>
            <w:r/>
            <w:r>
              <w:rPr>
                <w:b w:val="0"/>
                <w:sz w:val="16"/>
              </w:rPr>
              <w:t>$985.553</w:t>
            </w:r>
          </w:p>
        </w:tc>
        <w:tc>
          <w:tcPr>
            <w:tcW w:type="dxa" w:w="1120"/>
            <w:vAlign w:val="center"/>
          </w:tcPr>
          <w:p>
            <w:pPr>
              <w:jc w:val="center"/>
            </w:pPr>
            <w:r/>
            <w:r>
              <w:rPr>
                <w:b w:val="0"/>
                <w:sz w:val="16"/>
              </w:rPr>
              <w:t>$1.000.000</w:t>
            </w:r>
          </w:p>
        </w:tc>
      </w:tr>
      <w:tr>
        <w:tc>
          <w:tcPr>
            <w:tcW w:type="dxa" w:w="1120"/>
            <w:vAlign w:val="center"/>
          </w:tcPr>
          <w:p>
            <w:pPr>
              <w:jc w:val="center"/>
            </w:pPr>
            <w:r/>
            <w:r>
              <w:rPr>
                <w:b w:val="0"/>
                <w:sz w:val="16"/>
              </w:rPr>
              <w:t>Neuquen-Plottier</w:t>
            </w:r>
          </w:p>
        </w:tc>
        <w:tc>
          <w:tcPr>
            <w:tcW w:type="dxa" w:w="1120"/>
            <w:vAlign w:val="center"/>
          </w:tcPr>
          <w:p>
            <w:pPr>
              <w:jc w:val="center"/>
            </w:pPr>
            <w:r/>
            <w:r>
              <w:rPr>
                <w:b w:val="0"/>
                <w:sz w:val="16"/>
              </w:rPr>
              <w:t>46.2%</w:t>
            </w:r>
          </w:p>
        </w:tc>
        <w:tc>
          <w:tcPr>
            <w:tcW w:type="dxa" w:w="1120"/>
            <w:vAlign w:val="center"/>
          </w:tcPr>
          <w:p>
            <w:pPr>
              <w:jc w:val="center"/>
            </w:pPr>
            <w:r/>
            <w:r>
              <w:rPr>
                <w:b w:val="0"/>
                <w:sz w:val="16"/>
              </w:rPr>
              <w:t>45.7%</w:t>
            </w:r>
          </w:p>
        </w:tc>
        <w:tc>
          <w:tcPr>
            <w:tcW w:type="dxa" w:w="1120"/>
            <w:vAlign w:val="center"/>
          </w:tcPr>
          <w:p>
            <w:pPr>
              <w:jc w:val="center"/>
            </w:pPr>
            <w:r/>
            <w:r>
              <w:rPr>
                <w:b w:val="0"/>
                <w:sz w:val="16"/>
              </w:rPr>
              <w:t>42.2%</w:t>
            </w:r>
          </w:p>
        </w:tc>
        <w:tc>
          <w:tcPr>
            <w:tcW w:type="dxa" w:w="1120"/>
            <w:vAlign w:val="center"/>
          </w:tcPr>
          <w:p>
            <w:pPr>
              <w:jc w:val="center"/>
            </w:pPr>
            <w:r/>
            <w:r>
              <w:rPr>
                <w:b w:val="0"/>
                <w:sz w:val="16"/>
              </w:rPr>
              <w:t>44.7%</w:t>
            </w:r>
          </w:p>
        </w:tc>
        <w:tc>
          <w:tcPr>
            <w:tcW w:type="dxa" w:w="1120"/>
            <w:vAlign w:val="center"/>
          </w:tcPr>
          <w:p>
            <w:pPr>
              <w:jc w:val="center"/>
            </w:pPr>
            <w:r/>
            <w:r>
              <w:rPr>
                <w:b w:val="0"/>
                <w:sz w:val="16"/>
              </w:rPr>
              <w:t>8.6%</w:t>
            </w:r>
          </w:p>
        </w:tc>
        <w:tc>
          <w:tcPr>
            <w:tcW w:type="dxa" w:w="1120"/>
            <w:vAlign w:val="center"/>
          </w:tcPr>
          <w:p>
            <w:pPr>
              <w:jc w:val="center"/>
            </w:pPr>
            <w:r/>
            <w:r>
              <w:rPr>
                <w:b w:val="0"/>
                <w:sz w:val="16"/>
              </w:rPr>
              <w:t>2.3%</w:t>
            </w:r>
          </w:p>
        </w:tc>
        <w:tc>
          <w:tcPr>
            <w:tcW w:type="dxa" w:w="1120"/>
            <w:vAlign w:val="center"/>
          </w:tcPr>
          <w:p>
            <w:pPr>
              <w:jc w:val="center"/>
            </w:pPr>
            <w:r/>
            <w:r>
              <w:rPr>
                <w:b w:val="0"/>
                <w:sz w:val="16"/>
              </w:rPr>
              <w:t>$1.182.664</w:t>
            </w:r>
          </w:p>
        </w:tc>
        <w:tc>
          <w:tcPr>
            <w:tcW w:type="dxa" w:w="1120"/>
            <w:vAlign w:val="center"/>
          </w:tcPr>
          <w:p>
            <w:pPr>
              <w:jc w:val="center"/>
            </w:pPr>
            <w:r/>
            <w:r>
              <w:rPr>
                <w:b w:val="0"/>
                <w:sz w:val="16"/>
              </w:rPr>
              <w:t>$1.300.000</w:t>
            </w:r>
          </w:p>
        </w:tc>
      </w:tr>
    </w:tbl>
    <w:p>
      <w:pPr>
        <w:pStyle w:val="Heading1"/>
      </w:pPr>
      <w:r>
        <w:t>3. Evolucion de actividad, empleo y desocupacion</w:t>
      </w:r>
    </w:p>
    <w:p>
      <w:pPr>
        <w:jc w:val="both"/>
      </w:pPr>
      <w:r>
        <w:rPr>
          <w:sz w:val="21"/>
        </w:rPr>
        <w:t>La evolucion de las tasas laborales muestra diferencias relevantes entre los aglomerados. Mar del Plata parte en 2016T2 con una tasa de actividad de 45,8% y llega a 52,2% en 2025T4. Su tasa de empleo tambien aumenta, de 40,5% a 47,2%. Sin embargo, la desocupacion continua siendo relativamente elevada al final del periodo: 9,5% en 2025T4. Esto sugiere una recuperacion de la participacion y del empleo, aunque con persistencia de presion sobre el mercado de trabajo.</w:t>
      </w:r>
    </w:p>
    <w:p>
      <w:pPr>
        <w:jc w:val="both"/>
      </w:pPr>
      <w:r>
        <w:rPr>
          <w:sz w:val="21"/>
        </w:rPr>
        <w:t>Neuquen-Plottier muestra una trayectoria distinta. La tasa de actividad se mantiene alrededor de niveles similares entre 2016T2 y 2025T4, pasando de 46,2% a 45,7%. La tasa de empleo, en cambio, sube de 42,2% a 44,7%, mientras que la desocupacion cae de 8,6% a 2,3%. En terminos comparativos, el cierre del periodo muestra un mercado laboral mas ajustado en Neuquen-Plottier que en Mar del Plata.</w:t>
      </w:r>
    </w:p>
    <w:p>
      <w:pPr>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tasa_actividad.png"/>
                    <pic:cNvPicPr/>
                  </pic:nvPicPr>
                  <pic:blipFill>
                    <a:blip r:embed="rId9"/>
                    <a:stretch>
                      <a:fillRect/>
                    </a:stretch>
                  </pic:blipFill>
                  <pic:spPr>
                    <a:xfrm>
                      <a:off x="0" y="0"/>
                      <a:ext cx="5303520" cy="2651760"/>
                    </a:xfrm>
                    <a:prstGeom prst="rect"/>
                  </pic:spPr>
                </pic:pic>
              </a:graphicData>
            </a:graphic>
          </wp:inline>
        </w:drawing>
      </w:r>
    </w:p>
    <w:p>
      <w:pPr>
        <w:pStyle w:val="Caption"/>
        <w:jc w:val="center"/>
      </w:pPr>
      <w:r>
        <w:t>Figura 1. Tasa de actividad por trimestre</w:t>
      </w:r>
    </w:p>
    <w:p>
      <w:pPr>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tasa_empleo.png"/>
                    <pic:cNvPicPr/>
                  </pic:nvPicPr>
                  <pic:blipFill>
                    <a:blip r:embed="rId10"/>
                    <a:stretch>
                      <a:fillRect/>
                    </a:stretch>
                  </pic:blipFill>
                  <pic:spPr>
                    <a:xfrm>
                      <a:off x="0" y="0"/>
                      <a:ext cx="5303520" cy="2651760"/>
                    </a:xfrm>
                    <a:prstGeom prst="rect"/>
                  </pic:spPr>
                </pic:pic>
              </a:graphicData>
            </a:graphic>
          </wp:inline>
        </w:drawing>
      </w:r>
    </w:p>
    <w:p>
      <w:pPr>
        <w:pStyle w:val="Caption"/>
        <w:jc w:val="center"/>
      </w:pPr>
      <w:r>
        <w:t>Figura 2. Tasa de empleo por trimestre</w:t>
      </w:r>
    </w:p>
    <w:p>
      <w:pPr>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tasa_desocupacion.png"/>
                    <pic:cNvPicPr/>
                  </pic:nvPicPr>
                  <pic:blipFill>
                    <a:blip r:embed="rId11"/>
                    <a:stretch>
                      <a:fillRect/>
                    </a:stretch>
                  </pic:blipFill>
                  <pic:spPr>
                    <a:xfrm>
                      <a:off x="0" y="0"/>
                      <a:ext cx="5303520" cy="2651760"/>
                    </a:xfrm>
                    <a:prstGeom prst="rect"/>
                  </pic:spPr>
                </pic:pic>
              </a:graphicData>
            </a:graphic>
          </wp:inline>
        </w:drawing>
      </w:r>
    </w:p>
    <w:p>
      <w:pPr>
        <w:pStyle w:val="Caption"/>
        <w:jc w:val="center"/>
      </w:pPr>
      <w:r>
        <w:t>Figura 3. Tasa de desocupacion por trimestre</w:t>
      </w:r>
    </w:p>
    <w:p>
      <w:pPr>
        <w:jc w:val="both"/>
      </w:pPr>
      <w:r>
        <w:rPr>
          <w:sz w:val="21"/>
        </w:rPr>
        <w:t>El shock de 2020 aparece con claridad en ambas series. En 2020T2, Mar del Plata alcanza una desocupacion de 26,0%, mientras que Neuquen-Plottier llega a 13,5%. La diferencia de magnitudes refuerza la importancia de comparar aglomerados: los efectos de una misma coyuntura macroeconomica no se traducen de forma identica en todos los mercados laborales urbanos.</w:t>
      </w:r>
    </w:p>
    <w:p>
      <w:pPr>
        <w:pStyle w:val="Heading1"/>
      </w:pPr>
      <w:r>
        <w:t>4. Ingresos reales y medidas de posicion</w:t>
      </w:r>
    </w:p>
    <w:p>
      <w:pPr>
        <w:jc w:val="both"/>
      </w:pPr>
      <w:r>
        <w:rPr>
          <w:sz w:val="21"/>
        </w:rPr>
        <w:t>Para analizar ingresos se trabaja con valores reales, deflactados por IPC. Dado que los ingresos suelen tener distribuciones asimetricas, el analisis prioriza la mediana y los percentiles 25, 75 y 90, ademas de la media. Esto permite interpretar no solo el nivel promedio, sino tambien la posicion de distintos tramos de la distribucion.</w:t>
      </w:r>
    </w:p>
    <w:p>
      <w:pPr>
        <w:pStyle w:val="Caption"/>
      </w:pPr>
      <w:r>
        <w:t>Tabla 2. Ingresos reales de ocupados, medidas seleccionadas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pPr>
              <w:jc w:val="center"/>
            </w:pPr>
            <w:r/>
            <w:r>
              <w:rPr>
                <w:b/>
                <w:sz w:val="16"/>
              </w:rPr>
              <w:t>Periodo</w:t>
            </w:r>
          </w:p>
        </w:tc>
        <w:tc>
          <w:tcPr>
            <w:tcW w:type="dxa" w:w="1440"/>
            <w:vAlign w:val="center"/>
            <w:shd w:fill="D9EAF7"/>
          </w:tcPr>
          <w:p>
            <w:pPr>
              <w:jc w:val="center"/>
            </w:pPr>
            <w:r/>
            <w:r>
              <w:rPr>
                <w:b/>
                <w:sz w:val="16"/>
              </w:rPr>
              <w:t>Aglomerado</w:t>
            </w:r>
          </w:p>
        </w:tc>
        <w:tc>
          <w:tcPr>
            <w:tcW w:type="dxa" w:w="1440"/>
            <w:vAlign w:val="center"/>
            <w:shd w:fill="D9EAF7"/>
          </w:tcPr>
          <w:p>
            <w:pPr>
              <w:jc w:val="center"/>
            </w:pPr>
            <w:r/>
            <w:r>
              <w:rPr>
                <w:b/>
                <w:sz w:val="16"/>
              </w:rPr>
              <w:t>Media</w:t>
            </w:r>
          </w:p>
        </w:tc>
        <w:tc>
          <w:tcPr>
            <w:tcW w:type="dxa" w:w="1440"/>
            <w:vAlign w:val="center"/>
            <w:shd w:fill="D9EAF7"/>
          </w:tcPr>
          <w:p>
            <w:pPr>
              <w:jc w:val="center"/>
            </w:pPr>
            <w:r/>
            <w:r>
              <w:rPr>
                <w:b/>
                <w:sz w:val="16"/>
              </w:rPr>
              <w:t>Mediana</w:t>
            </w:r>
          </w:p>
        </w:tc>
        <w:tc>
          <w:tcPr>
            <w:tcW w:type="dxa" w:w="1440"/>
            <w:vAlign w:val="center"/>
            <w:shd w:fill="D9EAF7"/>
          </w:tcPr>
          <w:p>
            <w:pPr>
              <w:jc w:val="center"/>
            </w:pPr>
            <w:r/>
            <w:r>
              <w:rPr>
                <w:b/>
                <w:sz w:val="16"/>
              </w:rPr>
              <w:t>P25</w:t>
            </w:r>
          </w:p>
        </w:tc>
        <w:tc>
          <w:tcPr>
            <w:tcW w:type="dxa" w:w="1440"/>
            <w:vAlign w:val="center"/>
            <w:shd w:fill="D9EAF7"/>
          </w:tcPr>
          <w:p>
            <w:pPr>
              <w:jc w:val="center"/>
            </w:pPr>
            <w:r/>
            <w:r>
              <w:rPr>
                <w:b/>
                <w:sz w:val="16"/>
              </w:rPr>
              <w:t>P75</w:t>
            </w:r>
          </w:p>
        </w:tc>
        <w:tc>
          <w:tcPr>
            <w:tcW w:type="dxa" w:w="1440"/>
            <w:vAlign w:val="center"/>
            <w:shd w:fill="D9EAF7"/>
          </w:tcPr>
          <w:p>
            <w:pPr>
              <w:jc w:val="center"/>
            </w:pPr>
            <w:r/>
            <w:r>
              <w:rPr>
                <w:b/>
                <w:sz w:val="16"/>
              </w:rPr>
              <w:t>P90</w:t>
            </w:r>
          </w:p>
        </w:tc>
      </w:tr>
      <w:tr>
        <w:tc>
          <w:tcPr>
            <w:tcW w:type="dxa" w:w="1440"/>
            <w:vAlign w:val="center"/>
          </w:tcPr>
          <w:p>
            <w:pPr>
              <w:jc w:val="center"/>
            </w:pPr>
            <w:r/>
            <w:r>
              <w:rPr>
                <w:b w:val="0"/>
                <w:sz w:val="16"/>
              </w:rPr>
              <w:t>2016T4</w:t>
            </w:r>
          </w:p>
        </w:tc>
        <w:tc>
          <w:tcPr>
            <w:tcW w:type="dxa" w:w="1440"/>
            <w:vAlign w:val="center"/>
          </w:tcPr>
          <w:p>
            <w:pPr>
              <w:jc w:val="center"/>
            </w:pPr>
            <w:r/>
            <w:r>
              <w:rPr>
                <w:b w:val="0"/>
                <w:sz w:val="16"/>
              </w:rPr>
              <w:t>Mar del Plata</w:t>
            </w:r>
          </w:p>
        </w:tc>
        <w:tc>
          <w:tcPr>
            <w:tcW w:type="dxa" w:w="1440"/>
            <w:vAlign w:val="center"/>
          </w:tcPr>
          <w:p>
            <w:pPr>
              <w:jc w:val="center"/>
            </w:pPr>
            <w:r/>
            <w:r>
              <w:rPr>
                <w:b w:val="0"/>
                <w:sz w:val="16"/>
              </w:rPr>
              <w:t>$1.205.053</w:t>
            </w:r>
          </w:p>
        </w:tc>
        <w:tc>
          <w:tcPr>
            <w:tcW w:type="dxa" w:w="1440"/>
            <w:vAlign w:val="center"/>
          </w:tcPr>
          <w:p>
            <w:pPr>
              <w:jc w:val="center"/>
            </w:pPr>
            <w:r/>
            <w:r>
              <w:rPr>
                <w:b w:val="0"/>
                <w:sz w:val="16"/>
              </w:rPr>
              <w:t>$985.553</w:t>
            </w:r>
          </w:p>
        </w:tc>
        <w:tc>
          <w:tcPr>
            <w:tcW w:type="dxa" w:w="1440"/>
            <w:vAlign w:val="center"/>
          </w:tcPr>
          <w:p>
            <w:pPr>
              <w:jc w:val="center"/>
            </w:pPr>
            <w:r/>
            <w:r>
              <w:rPr>
                <w:b w:val="0"/>
                <w:sz w:val="16"/>
              </w:rPr>
              <w:t>$492.777</w:t>
            </w:r>
          </w:p>
        </w:tc>
        <w:tc>
          <w:tcPr>
            <w:tcW w:type="dxa" w:w="1440"/>
            <w:vAlign w:val="center"/>
          </w:tcPr>
          <w:p>
            <w:pPr>
              <w:jc w:val="center"/>
            </w:pPr>
            <w:r/>
            <w:r>
              <w:rPr>
                <w:b w:val="0"/>
                <w:sz w:val="16"/>
              </w:rPr>
              <w:t>$1.478.330</w:t>
            </w:r>
          </w:p>
        </w:tc>
        <w:tc>
          <w:tcPr>
            <w:tcW w:type="dxa" w:w="1440"/>
            <w:vAlign w:val="center"/>
          </w:tcPr>
          <w:p>
            <w:pPr>
              <w:jc w:val="center"/>
            </w:pPr>
            <w:r/>
            <w:r>
              <w:rPr>
                <w:b w:val="0"/>
                <w:sz w:val="16"/>
              </w:rPr>
              <w:t>$2.069.661</w:t>
            </w:r>
          </w:p>
        </w:tc>
      </w:tr>
      <w:tr>
        <w:tc>
          <w:tcPr>
            <w:tcW w:type="dxa" w:w="1440"/>
            <w:vAlign w:val="center"/>
          </w:tcPr>
          <w:p>
            <w:pPr>
              <w:jc w:val="center"/>
            </w:pPr>
            <w:r/>
            <w:r>
              <w:rPr>
                <w:b w:val="0"/>
                <w:sz w:val="16"/>
              </w:rPr>
              <w:t>2020T2</w:t>
            </w:r>
          </w:p>
        </w:tc>
        <w:tc>
          <w:tcPr>
            <w:tcW w:type="dxa" w:w="1440"/>
            <w:vAlign w:val="center"/>
          </w:tcPr>
          <w:p>
            <w:pPr>
              <w:jc w:val="center"/>
            </w:pPr>
            <w:r/>
            <w:r>
              <w:rPr>
                <w:b w:val="0"/>
                <w:sz w:val="16"/>
              </w:rPr>
              <w:t>Mar del Plata</w:t>
            </w:r>
          </w:p>
        </w:tc>
        <w:tc>
          <w:tcPr>
            <w:tcW w:type="dxa" w:w="1440"/>
            <w:vAlign w:val="center"/>
          </w:tcPr>
          <w:p>
            <w:pPr>
              <w:jc w:val="center"/>
            </w:pPr>
            <w:r/>
            <w:r>
              <w:rPr>
                <w:b w:val="0"/>
                <w:sz w:val="16"/>
              </w:rPr>
              <w:t>$1.124.726</w:t>
            </w:r>
          </w:p>
        </w:tc>
        <w:tc>
          <w:tcPr>
            <w:tcW w:type="dxa" w:w="1440"/>
            <w:vAlign w:val="center"/>
          </w:tcPr>
          <w:p>
            <w:pPr>
              <w:jc w:val="center"/>
            </w:pPr>
            <w:r/>
            <w:r>
              <w:rPr>
                <w:b w:val="0"/>
                <w:sz w:val="16"/>
              </w:rPr>
              <w:t>$936.633</w:t>
            </w:r>
          </w:p>
        </w:tc>
        <w:tc>
          <w:tcPr>
            <w:tcW w:type="dxa" w:w="1440"/>
            <w:vAlign w:val="center"/>
          </w:tcPr>
          <w:p>
            <w:pPr>
              <w:jc w:val="center"/>
            </w:pPr>
            <w:r/>
            <w:r>
              <w:rPr>
                <w:b w:val="0"/>
                <w:sz w:val="16"/>
              </w:rPr>
              <w:t>$624.422</w:t>
            </w:r>
          </w:p>
        </w:tc>
        <w:tc>
          <w:tcPr>
            <w:tcW w:type="dxa" w:w="1440"/>
            <w:vAlign w:val="center"/>
          </w:tcPr>
          <w:p>
            <w:pPr>
              <w:jc w:val="center"/>
            </w:pPr>
            <w:r/>
            <w:r>
              <w:rPr>
                <w:b w:val="0"/>
                <w:sz w:val="16"/>
              </w:rPr>
              <w:t>$1.248.844</w:t>
            </w:r>
          </w:p>
        </w:tc>
        <w:tc>
          <w:tcPr>
            <w:tcW w:type="dxa" w:w="1440"/>
            <w:vAlign w:val="center"/>
          </w:tcPr>
          <w:p>
            <w:pPr>
              <w:jc w:val="center"/>
            </w:pPr>
            <w:r/>
            <w:r>
              <w:rPr>
                <w:b w:val="0"/>
                <w:sz w:val="16"/>
              </w:rPr>
              <w:t>$1.873.266</w:t>
            </w:r>
          </w:p>
        </w:tc>
      </w:tr>
      <w:tr>
        <w:tc>
          <w:tcPr>
            <w:tcW w:type="dxa" w:w="1440"/>
            <w:vAlign w:val="center"/>
          </w:tcPr>
          <w:p>
            <w:pPr>
              <w:jc w:val="center"/>
            </w:pPr>
            <w:r/>
            <w:r>
              <w:rPr>
                <w:b w:val="0"/>
                <w:sz w:val="16"/>
              </w:rPr>
              <w:t>2025T4</w:t>
            </w:r>
          </w:p>
        </w:tc>
        <w:tc>
          <w:tcPr>
            <w:tcW w:type="dxa" w:w="1440"/>
            <w:vAlign w:val="center"/>
          </w:tcPr>
          <w:p>
            <w:pPr>
              <w:jc w:val="center"/>
            </w:pPr>
            <w:r/>
            <w:r>
              <w:rPr>
                <w:b w:val="0"/>
                <w:sz w:val="16"/>
              </w:rPr>
              <w:t>Mar del Plata</w:t>
            </w:r>
          </w:p>
        </w:tc>
        <w:tc>
          <w:tcPr>
            <w:tcW w:type="dxa" w:w="1440"/>
            <w:vAlign w:val="center"/>
          </w:tcPr>
          <w:p>
            <w:pPr>
              <w:jc w:val="center"/>
            </w:pPr>
            <w:r/>
            <w:r>
              <w:rPr>
                <w:b w:val="0"/>
                <w:sz w:val="16"/>
              </w:rPr>
              <w:t>$1.192.570</w:t>
            </w:r>
          </w:p>
        </w:tc>
        <w:tc>
          <w:tcPr>
            <w:tcW w:type="dxa" w:w="1440"/>
            <w:vAlign w:val="center"/>
          </w:tcPr>
          <w:p>
            <w:pPr>
              <w:jc w:val="center"/>
            </w:pPr>
            <w:r/>
            <w:r>
              <w:rPr>
                <w:b w:val="0"/>
                <w:sz w:val="16"/>
              </w:rPr>
              <w:t>$1.000.000</w:t>
            </w:r>
          </w:p>
        </w:tc>
        <w:tc>
          <w:tcPr>
            <w:tcW w:type="dxa" w:w="1440"/>
            <w:vAlign w:val="center"/>
          </w:tcPr>
          <w:p>
            <w:pPr>
              <w:jc w:val="center"/>
            </w:pPr>
            <w:r/>
            <w:r>
              <w:rPr>
                <w:b w:val="0"/>
                <w:sz w:val="16"/>
              </w:rPr>
              <w:t>$600.000</w:t>
            </w:r>
          </w:p>
        </w:tc>
        <w:tc>
          <w:tcPr>
            <w:tcW w:type="dxa" w:w="1440"/>
            <w:vAlign w:val="center"/>
          </w:tcPr>
          <w:p>
            <w:pPr>
              <w:jc w:val="center"/>
            </w:pPr>
            <w:r/>
            <w:r>
              <w:rPr>
                <w:b w:val="0"/>
                <w:sz w:val="16"/>
              </w:rPr>
              <w:t>$1.400.000</w:t>
            </w:r>
          </w:p>
        </w:tc>
        <w:tc>
          <w:tcPr>
            <w:tcW w:type="dxa" w:w="1440"/>
            <w:vAlign w:val="center"/>
          </w:tcPr>
          <w:p>
            <w:pPr>
              <w:jc w:val="center"/>
            </w:pPr>
            <w:r/>
            <w:r>
              <w:rPr>
                <w:b w:val="0"/>
                <w:sz w:val="16"/>
              </w:rPr>
              <w:t>$2.200.000</w:t>
            </w:r>
          </w:p>
        </w:tc>
      </w:tr>
      <w:tr>
        <w:tc>
          <w:tcPr>
            <w:tcW w:type="dxa" w:w="1440"/>
            <w:vAlign w:val="center"/>
          </w:tcPr>
          <w:p>
            <w:pPr>
              <w:jc w:val="center"/>
            </w:pPr>
            <w:r/>
            <w:r>
              <w:rPr>
                <w:b w:val="0"/>
                <w:sz w:val="16"/>
              </w:rPr>
              <w:t>2016T4</w:t>
            </w:r>
          </w:p>
        </w:tc>
        <w:tc>
          <w:tcPr>
            <w:tcW w:type="dxa" w:w="1440"/>
            <w:vAlign w:val="center"/>
          </w:tcPr>
          <w:p>
            <w:pPr>
              <w:jc w:val="center"/>
            </w:pPr>
            <w:r/>
            <w:r>
              <w:rPr>
                <w:b w:val="0"/>
                <w:sz w:val="16"/>
              </w:rPr>
              <w:t>Neuquen-Plottier</w:t>
            </w:r>
          </w:p>
        </w:tc>
        <w:tc>
          <w:tcPr>
            <w:tcW w:type="dxa" w:w="1440"/>
            <w:vAlign w:val="center"/>
          </w:tcPr>
          <w:p>
            <w:pPr>
              <w:jc w:val="center"/>
            </w:pPr>
            <w:r/>
            <w:r>
              <w:rPr>
                <w:b w:val="0"/>
                <w:sz w:val="16"/>
              </w:rPr>
              <w:t>$1.267.900</w:t>
            </w:r>
          </w:p>
        </w:tc>
        <w:tc>
          <w:tcPr>
            <w:tcW w:type="dxa" w:w="1440"/>
            <w:vAlign w:val="center"/>
          </w:tcPr>
          <w:p>
            <w:pPr>
              <w:jc w:val="center"/>
            </w:pPr>
            <w:r/>
            <w:r>
              <w:rPr>
                <w:b w:val="0"/>
                <w:sz w:val="16"/>
              </w:rPr>
              <w:t>$1.182.664</w:t>
            </w:r>
          </w:p>
        </w:tc>
        <w:tc>
          <w:tcPr>
            <w:tcW w:type="dxa" w:w="1440"/>
            <w:vAlign w:val="center"/>
          </w:tcPr>
          <w:p>
            <w:pPr>
              <w:jc w:val="center"/>
            </w:pPr>
            <w:r/>
            <w:r>
              <w:rPr>
                <w:b w:val="0"/>
                <w:sz w:val="16"/>
              </w:rPr>
              <w:t>$788.442</w:t>
            </w:r>
          </w:p>
        </w:tc>
        <w:tc>
          <w:tcPr>
            <w:tcW w:type="dxa" w:w="1440"/>
            <w:vAlign w:val="center"/>
          </w:tcPr>
          <w:p>
            <w:pPr>
              <w:jc w:val="center"/>
            </w:pPr>
            <w:r/>
            <w:r>
              <w:rPr>
                <w:b w:val="0"/>
                <w:sz w:val="16"/>
              </w:rPr>
              <w:t>$1.576.885</w:t>
            </w:r>
          </w:p>
        </w:tc>
        <w:tc>
          <w:tcPr>
            <w:tcW w:type="dxa" w:w="1440"/>
            <w:vAlign w:val="center"/>
          </w:tcPr>
          <w:p>
            <w:pPr>
              <w:jc w:val="center"/>
            </w:pPr>
            <w:r/>
            <w:r>
              <w:rPr>
                <w:b w:val="0"/>
                <w:sz w:val="16"/>
              </w:rPr>
              <w:t>$1.971.106</w:t>
            </w:r>
          </w:p>
        </w:tc>
      </w:tr>
      <w:tr>
        <w:tc>
          <w:tcPr>
            <w:tcW w:type="dxa" w:w="1440"/>
            <w:vAlign w:val="center"/>
          </w:tcPr>
          <w:p>
            <w:pPr>
              <w:jc w:val="center"/>
            </w:pPr>
            <w:r/>
            <w:r>
              <w:rPr>
                <w:b w:val="0"/>
                <w:sz w:val="16"/>
              </w:rPr>
              <w:t>2020T2</w:t>
            </w:r>
          </w:p>
        </w:tc>
        <w:tc>
          <w:tcPr>
            <w:tcW w:type="dxa" w:w="1440"/>
            <w:vAlign w:val="center"/>
          </w:tcPr>
          <w:p>
            <w:pPr>
              <w:jc w:val="center"/>
            </w:pPr>
            <w:r/>
            <w:r>
              <w:rPr>
                <w:b w:val="0"/>
                <w:sz w:val="16"/>
              </w:rPr>
              <w:t>Neuquen-Plottier</w:t>
            </w:r>
          </w:p>
        </w:tc>
        <w:tc>
          <w:tcPr>
            <w:tcW w:type="dxa" w:w="1440"/>
            <w:vAlign w:val="center"/>
          </w:tcPr>
          <w:p>
            <w:pPr>
              <w:jc w:val="center"/>
            </w:pPr>
            <w:r/>
            <w:r>
              <w:rPr>
                <w:b w:val="0"/>
                <w:sz w:val="16"/>
              </w:rPr>
              <w:t>$1.263.295</w:t>
            </w:r>
          </w:p>
        </w:tc>
        <w:tc>
          <w:tcPr>
            <w:tcW w:type="dxa" w:w="1440"/>
            <w:vAlign w:val="center"/>
          </w:tcPr>
          <w:p>
            <w:pPr>
              <w:jc w:val="center"/>
            </w:pPr>
            <w:r/>
            <w:r>
              <w:rPr>
                <w:b w:val="0"/>
                <w:sz w:val="16"/>
              </w:rPr>
              <w:t>$1.030.296</w:t>
            </w:r>
          </w:p>
        </w:tc>
        <w:tc>
          <w:tcPr>
            <w:tcW w:type="dxa" w:w="1440"/>
            <w:vAlign w:val="center"/>
          </w:tcPr>
          <w:p>
            <w:pPr>
              <w:jc w:val="center"/>
            </w:pPr>
            <w:r/>
            <w:r>
              <w:rPr>
                <w:b w:val="0"/>
                <w:sz w:val="16"/>
              </w:rPr>
              <w:t>$561.980</w:t>
            </w:r>
          </w:p>
        </w:tc>
        <w:tc>
          <w:tcPr>
            <w:tcW w:type="dxa" w:w="1440"/>
            <w:vAlign w:val="center"/>
          </w:tcPr>
          <w:p>
            <w:pPr>
              <w:jc w:val="center"/>
            </w:pPr>
            <w:r/>
            <w:r>
              <w:rPr>
                <w:b w:val="0"/>
                <w:sz w:val="16"/>
              </w:rPr>
              <w:t>$1.717.160</w:t>
            </w:r>
          </w:p>
        </w:tc>
        <w:tc>
          <w:tcPr>
            <w:tcW w:type="dxa" w:w="1440"/>
            <w:vAlign w:val="center"/>
          </w:tcPr>
          <w:p>
            <w:pPr>
              <w:jc w:val="center"/>
            </w:pPr>
            <w:r/>
            <w:r>
              <w:rPr>
                <w:b w:val="0"/>
                <w:sz w:val="16"/>
              </w:rPr>
              <w:t>$2.497.688</w:t>
            </w:r>
          </w:p>
        </w:tc>
      </w:tr>
      <w:tr>
        <w:tc>
          <w:tcPr>
            <w:tcW w:type="dxa" w:w="1440"/>
            <w:vAlign w:val="center"/>
          </w:tcPr>
          <w:p>
            <w:pPr>
              <w:jc w:val="center"/>
            </w:pPr>
            <w:r/>
            <w:r>
              <w:rPr>
                <w:b w:val="0"/>
                <w:sz w:val="16"/>
              </w:rPr>
              <w:t>2025T4</w:t>
            </w:r>
          </w:p>
        </w:tc>
        <w:tc>
          <w:tcPr>
            <w:tcW w:type="dxa" w:w="1440"/>
            <w:vAlign w:val="center"/>
          </w:tcPr>
          <w:p>
            <w:pPr>
              <w:jc w:val="center"/>
            </w:pPr>
            <w:r/>
            <w:r>
              <w:rPr>
                <w:b w:val="0"/>
                <w:sz w:val="16"/>
              </w:rPr>
              <w:t>Neuquen-Plottier</w:t>
            </w:r>
          </w:p>
        </w:tc>
        <w:tc>
          <w:tcPr>
            <w:tcW w:type="dxa" w:w="1440"/>
            <w:vAlign w:val="center"/>
          </w:tcPr>
          <w:p>
            <w:pPr>
              <w:jc w:val="center"/>
            </w:pPr>
            <w:r/>
            <w:r>
              <w:rPr>
                <w:b w:val="0"/>
                <w:sz w:val="16"/>
              </w:rPr>
              <w:t>$1.641.473</w:t>
            </w:r>
          </w:p>
        </w:tc>
        <w:tc>
          <w:tcPr>
            <w:tcW w:type="dxa" w:w="1440"/>
            <w:vAlign w:val="center"/>
          </w:tcPr>
          <w:p>
            <w:pPr>
              <w:jc w:val="center"/>
            </w:pPr>
            <w:r/>
            <w:r>
              <w:rPr>
                <w:b w:val="0"/>
                <w:sz w:val="16"/>
              </w:rPr>
              <w:t>$1.300.000</w:t>
            </w:r>
          </w:p>
        </w:tc>
        <w:tc>
          <w:tcPr>
            <w:tcW w:type="dxa" w:w="1440"/>
            <w:vAlign w:val="center"/>
          </w:tcPr>
          <w:p>
            <w:pPr>
              <w:jc w:val="center"/>
            </w:pPr>
            <w:r/>
            <w:r>
              <w:rPr>
                <w:b w:val="0"/>
                <w:sz w:val="16"/>
              </w:rPr>
              <w:t>$850.000</w:t>
            </w:r>
          </w:p>
        </w:tc>
        <w:tc>
          <w:tcPr>
            <w:tcW w:type="dxa" w:w="1440"/>
            <w:vAlign w:val="center"/>
          </w:tcPr>
          <w:p>
            <w:pPr>
              <w:jc w:val="center"/>
            </w:pPr>
            <w:r/>
            <w:r>
              <w:rPr>
                <w:b w:val="0"/>
                <w:sz w:val="16"/>
              </w:rPr>
              <w:t>$2.000.000</w:t>
            </w:r>
          </w:p>
        </w:tc>
        <w:tc>
          <w:tcPr>
            <w:tcW w:type="dxa" w:w="1440"/>
            <w:vAlign w:val="center"/>
          </w:tcPr>
          <w:p>
            <w:pPr>
              <w:jc w:val="center"/>
            </w:pPr>
            <w:r/>
            <w:r>
              <w:rPr>
                <w:b w:val="0"/>
                <w:sz w:val="16"/>
              </w:rPr>
              <w:t>$3.000.000</w:t>
            </w:r>
          </w:p>
        </w:tc>
      </w:tr>
    </w:tbl>
    <w:p>
      <w:pPr>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ingreso_mediano_real.png"/>
                    <pic:cNvPicPr/>
                  </pic:nvPicPr>
                  <pic:blipFill>
                    <a:blip r:embed="rId12"/>
                    <a:stretch>
                      <a:fillRect/>
                    </a:stretch>
                  </pic:blipFill>
                  <pic:spPr>
                    <a:xfrm>
                      <a:off x="0" y="0"/>
                      <a:ext cx="5303520" cy="2651760"/>
                    </a:xfrm>
                    <a:prstGeom prst="rect"/>
                  </pic:spPr>
                </pic:pic>
              </a:graphicData>
            </a:graphic>
          </wp:inline>
        </w:drawing>
      </w:r>
    </w:p>
    <w:p>
      <w:pPr>
        <w:pStyle w:val="Caption"/>
        <w:jc w:val="center"/>
      </w:pPr>
      <w:r>
        <w:t>Figura 4. Ingreso mediano real de ocupados</w:t>
      </w:r>
    </w:p>
    <w:p>
      <w:pPr>
        <w:jc w:val="center"/>
      </w:pPr>
      <w:r>
        <w:drawing>
          <wp:inline xmlns:a="http://schemas.openxmlformats.org/drawingml/2006/main" xmlns:pic="http://schemas.openxmlformats.org/drawingml/2006/picture">
            <wp:extent cx="5303520" cy="2946400"/>
            <wp:docPr id="5" name="Picture 5"/>
            <wp:cNvGraphicFramePr>
              <a:graphicFrameLocks noChangeAspect="1"/>
            </wp:cNvGraphicFramePr>
            <a:graphic>
              <a:graphicData uri="http://schemas.openxmlformats.org/drawingml/2006/picture">
                <pic:pic>
                  <pic:nvPicPr>
                    <pic:cNvPr id="0" name="boxplot_ingresos_reales_2025.png"/>
                    <pic:cNvPicPr/>
                  </pic:nvPicPr>
                  <pic:blipFill>
                    <a:blip r:embed="rId13"/>
                    <a:stretch>
                      <a:fillRect/>
                    </a:stretch>
                  </pic:blipFill>
                  <pic:spPr>
                    <a:xfrm>
                      <a:off x="0" y="0"/>
                      <a:ext cx="5303520" cy="2946400"/>
                    </a:xfrm>
                    <a:prstGeom prst="rect"/>
                  </pic:spPr>
                </pic:pic>
              </a:graphicData>
            </a:graphic>
          </wp:inline>
        </w:drawing>
      </w:r>
    </w:p>
    <w:p>
      <w:pPr>
        <w:pStyle w:val="Caption"/>
        <w:jc w:val="center"/>
      </w:pPr>
      <w:r>
        <w:t>Figura 5. Distribucion de ingresos reales en 2025</w:t>
      </w:r>
    </w:p>
    <w:p>
      <w:pPr>
        <w:jc w:val="both"/>
      </w:pPr>
      <w:r>
        <w:rPr>
          <w:sz w:val="21"/>
        </w:rPr>
        <w:t>En 2025T4, la mediana del ingreso real de la ocupacion principal es de $1.000.000 en Mar del Plata y de $1.300.000 en Neuquen-Plottier. La diferencia tambien se observa en los tramos superiores: el percentil 90 alcanza $2.200.000 en Mar del Plata y $3.000.000 en Neuquen-Plottier. Estos resultados son compatibles con una estructura de ingresos mas alta y dispersa en Neuquen-Plottier.</w:t>
      </w:r>
    </w:p>
    <w:p>
      <w:pPr>
        <w:pStyle w:val="Heading1"/>
      </w:pPr>
      <w:r>
        <w:t>5. Exploracion univariada, no respuesta y valores atipicos</w:t>
      </w:r>
    </w:p>
    <w:p>
      <w:pPr>
        <w:jc w:val="both"/>
      </w:pPr>
      <w:r>
        <w:rPr>
          <w:sz w:val="21"/>
        </w:rPr>
        <w:t>La exploracion univariada permite evaluar la calidad inicial de las variables. Para cada variable relevante se calcularon casos, faltantes, media, mediana, percentiles extremos y valores atipicos mediante el criterio del rango intercuartilico. En ingresos, la presencia de ceros, valores negativos y valores extremos obliga a tomar decisiones explicitas antes de estimar medidas de tendencia central o ajustar modelos.</w:t>
      </w:r>
    </w:p>
    <w:p>
      <w:pPr>
        <w:pStyle w:val="Caption"/>
      </w:pPr>
      <w:r>
        <w:t>Tabla 3. Exploracion univariada de variables seleccionadas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pPr>
              <w:jc w:val="center"/>
            </w:pPr>
            <w:r/>
            <w:r>
              <w:rPr>
                <w:b/>
                <w:sz w:val="16"/>
              </w:rPr>
              <w:t>Variable</w:t>
            </w:r>
          </w:p>
        </w:tc>
        <w:tc>
          <w:tcPr>
            <w:tcW w:type="dxa" w:w="1680"/>
            <w:vAlign w:val="center"/>
            <w:shd w:fill="D9EAF7"/>
          </w:tcPr>
          <w:p>
            <w:pPr>
              <w:jc w:val="center"/>
            </w:pPr>
            <w:r/>
            <w:r>
              <w:rPr>
                <w:b/>
                <w:sz w:val="16"/>
              </w:rPr>
              <w:t>Faltantes %</w:t>
            </w:r>
          </w:p>
        </w:tc>
        <w:tc>
          <w:tcPr>
            <w:tcW w:type="dxa" w:w="1680"/>
            <w:vAlign w:val="center"/>
            <w:shd w:fill="D9EAF7"/>
          </w:tcPr>
          <w:p>
            <w:pPr>
              <w:jc w:val="center"/>
            </w:pPr>
            <w:r/>
            <w:r>
              <w:rPr>
                <w:b/>
                <w:sz w:val="16"/>
              </w:rPr>
              <w:t>Mediana</w:t>
            </w:r>
          </w:p>
        </w:tc>
        <w:tc>
          <w:tcPr>
            <w:tcW w:type="dxa" w:w="1680"/>
            <w:vAlign w:val="center"/>
            <w:shd w:fill="D9EAF7"/>
          </w:tcPr>
          <w:p>
            <w:pPr>
              <w:jc w:val="center"/>
            </w:pPr>
            <w:r/>
            <w:r>
              <w:rPr>
                <w:b/>
                <w:sz w:val="16"/>
              </w:rPr>
              <w:t>P01</w:t>
            </w:r>
          </w:p>
        </w:tc>
        <w:tc>
          <w:tcPr>
            <w:tcW w:type="dxa" w:w="1680"/>
            <w:vAlign w:val="center"/>
            <w:shd w:fill="D9EAF7"/>
          </w:tcPr>
          <w:p>
            <w:pPr>
              <w:jc w:val="center"/>
            </w:pPr>
            <w:r/>
            <w:r>
              <w:rPr>
                <w:b/>
                <w:sz w:val="16"/>
              </w:rPr>
              <w:t>P99</w:t>
            </w:r>
          </w:p>
        </w:tc>
        <w:tc>
          <w:tcPr>
            <w:tcW w:type="dxa" w:w="1680"/>
            <w:vAlign w:val="center"/>
            <w:shd w:fill="D9EAF7"/>
          </w:tcPr>
          <w:p>
            <w:pPr>
              <w:jc w:val="center"/>
            </w:pPr>
            <w:r/>
            <w:r>
              <w:rPr>
                <w:b/>
                <w:sz w:val="16"/>
              </w:rPr>
              <w:t>Atipicos IQR</w:t>
            </w:r>
          </w:p>
        </w:tc>
      </w:tr>
      <w:tr>
        <w:tc>
          <w:tcPr>
            <w:tcW w:type="dxa" w:w="1680"/>
            <w:vAlign w:val="center"/>
          </w:tcPr>
          <w:p>
            <w:pPr>
              <w:jc w:val="center"/>
            </w:pPr>
            <w:r/>
            <w:r>
              <w:rPr>
                <w:b w:val="0"/>
                <w:sz w:val="16"/>
              </w:rPr>
              <w:t>P21</w:t>
            </w:r>
          </w:p>
        </w:tc>
        <w:tc>
          <w:tcPr>
            <w:tcW w:type="dxa" w:w="1680"/>
            <w:vAlign w:val="center"/>
          </w:tcPr>
          <w:p>
            <w:pPr>
              <w:jc w:val="center"/>
            </w:pPr>
            <w:r/>
            <w:r>
              <w:rPr>
                <w:b w:val="0"/>
                <w:sz w:val="16"/>
              </w:rPr>
              <w:t>0.0%</w:t>
            </w:r>
          </w:p>
        </w:tc>
        <w:tc>
          <w:tcPr>
            <w:tcW w:type="dxa" w:w="1680"/>
            <w:vAlign w:val="center"/>
          </w:tcPr>
          <w:p>
            <w:pPr>
              <w:jc w:val="center"/>
            </w:pPr>
            <w:r/>
            <w:r>
              <w:rPr>
                <w:b w:val="0"/>
                <w:sz w:val="16"/>
              </w:rPr>
              <w:t>0.0</w:t>
            </w:r>
          </w:p>
        </w:tc>
        <w:tc>
          <w:tcPr>
            <w:tcW w:type="dxa" w:w="1680"/>
            <w:vAlign w:val="center"/>
          </w:tcPr>
          <w:p>
            <w:pPr>
              <w:jc w:val="center"/>
            </w:pPr>
            <w:r/>
            <w:r>
              <w:rPr>
                <w:b w:val="0"/>
                <w:sz w:val="16"/>
              </w:rPr>
              <w:t>-9.0</w:t>
            </w:r>
          </w:p>
        </w:tc>
        <w:tc>
          <w:tcPr>
            <w:tcW w:type="dxa" w:w="1680"/>
            <w:vAlign w:val="center"/>
          </w:tcPr>
          <w:p>
            <w:pPr>
              <w:jc w:val="center"/>
            </w:pPr>
            <w:r/>
            <w:r>
              <w:rPr>
                <w:b w:val="0"/>
                <w:sz w:val="16"/>
              </w:rPr>
              <w:t>1500000.0</w:t>
            </w:r>
          </w:p>
        </w:tc>
        <w:tc>
          <w:tcPr>
            <w:tcW w:type="dxa" w:w="1680"/>
            <w:vAlign w:val="center"/>
          </w:tcPr>
          <w:p>
            <w:pPr>
              <w:jc w:val="center"/>
            </w:pPr>
            <w:r/>
            <w:r>
              <w:rPr>
                <w:b w:val="0"/>
                <w:sz w:val="16"/>
              </w:rPr>
              <w:t>14164</w:t>
            </w:r>
          </w:p>
        </w:tc>
      </w:tr>
      <w:tr>
        <w:tc>
          <w:tcPr>
            <w:tcW w:type="dxa" w:w="1680"/>
            <w:vAlign w:val="center"/>
          </w:tcPr>
          <w:p>
            <w:pPr>
              <w:jc w:val="center"/>
            </w:pPr>
            <w:r/>
            <w:r>
              <w:rPr>
                <w:b w:val="0"/>
                <w:sz w:val="16"/>
              </w:rPr>
              <w:t>ITF</w:t>
            </w:r>
          </w:p>
        </w:tc>
        <w:tc>
          <w:tcPr>
            <w:tcW w:type="dxa" w:w="1680"/>
            <w:vAlign w:val="center"/>
          </w:tcPr>
          <w:p>
            <w:pPr>
              <w:jc w:val="center"/>
            </w:pPr>
            <w:r/>
            <w:r>
              <w:rPr>
                <w:b w:val="0"/>
                <w:sz w:val="16"/>
              </w:rPr>
              <w:t>0.0%</w:t>
            </w:r>
          </w:p>
        </w:tc>
        <w:tc>
          <w:tcPr>
            <w:tcW w:type="dxa" w:w="1680"/>
            <w:vAlign w:val="center"/>
          </w:tcPr>
          <w:p>
            <w:pPr>
              <w:jc w:val="center"/>
            </w:pPr>
            <w:r/>
            <w:r>
              <w:rPr>
                <w:b w:val="0"/>
                <w:sz w:val="16"/>
              </w:rPr>
              <w:t>22000.0</w:t>
            </w:r>
          </w:p>
        </w:tc>
        <w:tc>
          <w:tcPr>
            <w:tcW w:type="dxa" w:w="1680"/>
            <w:vAlign w:val="center"/>
          </w:tcPr>
          <w:p>
            <w:pPr>
              <w:jc w:val="center"/>
            </w:pPr>
            <w:r/>
            <w:r>
              <w:rPr>
                <w:b w:val="0"/>
                <w:sz w:val="16"/>
              </w:rPr>
              <w:t>0.0</w:t>
            </w:r>
          </w:p>
        </w:tc>
        <w:tc>
          <w:tcPr>
            <w:tcW w:type="dxa" w:w="1680"/>
            <w:vAlign w:val="center"/>
          </w:tcPr>
          <w:p>
            <w:pPr>
              <w:jc w:val="center"/>
            </w:pPr>
            <w:r/>
            <w:r>
              <w:rPr>
                <w:b w:val="0"/>
                <w:sz w:val="16"/>
              </w:rPr>
              <w:t>3500000.0</w:t>
            </w:r>
          </w:p>
        </w:tc>
        <w:tc>
          <w:tcPr>
            <w:tcW w:type="dxa" w:w="1680"/>
            <w:vAlign w:val="center"/>
          </w:tcPr>
          <w:p>
            <w:pPr>
              <w:jc w:val="center"/>
            </w:pPr>
            <w:r/>
            <w:r>
              <w:rPr>
                <w:b w:val="0"/>
                <w:sz w:val="16"/>
              </w:rPr>
              <w:t>12790</w:t>
            </w:r>
          </w:p>
        </w:tc>
      </w:tr>
      <w:tr>
        <w:tc>
          <w:tcPr>
            <w:tcW w:type="dxa" w:w="1680"/>
            <w:vAlign w:val="center"/>
          </w:tcPr>
          <w:p>
            <w:pPr>
              <w:jc w:val="center"/>
            </w:pPr>
            <w:r/>
            <w:r>
              <w:rPr>
                <w:b w:val="0"/>
                <w:sz w:val="16"/>
              </w:rPr>
              <w:t>IPCF</w:t>
            </w:r>
          </w:p>
        </w:tc>
        <w:tc>
          <w:tcPr>
            <w:tcW w:type="dxa" w:w="1680"/>
            <w:vAlign w:val="center"/>
          </w:tcPr>
          <w:p>
            <w:pPr>
              <w:jc w:val="center"/>
            </w:pPr>
            <w:r/>
            <w:r>
              <w:rPr>
                <w:b w:val="0"/>
                <w:sz w:val="16"/>
              </w:rPr>
              <w:t>12.3%</w:t>
            </w:r>
          </w:p>
        </w:tc>
        <w:tc>
          <w:tcPr>
            <w:tcW w:type="dxa" w:w="1680"/>
            <w:vAlign w:val="center"/>
          </w:tcPr>
          <w:p>
            <w:pPr>
              <w:jc w:val="center"/>
            </w:pPr>
            <w:r/>
            <w:r>
              <w:rPr>
                <w:b w:val="0"/>
                <w:sz w:val="16"/>
              </w:rPr>
              <w:t>5300.0</w:t>
            </w:r>
          </w:p>
        </w:tc>
        <w:tc>
          <w:tcPr>
            <w:tcW w:type="dxa" w:w="1680"/>
            <w:vAlign w:val="center"/>
          </w:tcPr>
          <w:p>
            <w:pPr>
              <w:jc w:val="center"/>
            </w:pPr>
            <w:r/>
            <w:r>
              <w:rPr>
                <w:b w:val="0"/>
                <w:sz w:val="16"/>
              </w:rPr>
              <w:t>0.0</w:t>
            </w:r>
          </w:p>
        </w:tc>
        <w:tc>
          <w:tcPr>
            <w:tcW w:type="dxa" w:w="1680"/>
            <w:vAlign w:val="center"/>
          </w:tcPr>
          <w:p>
            <w:pPr>
              <w:jc w:val="center"/>
            </w:pPr>
            <w:r/>
            <w:r>
              <w:rPr>
                <w:b w:val="0"/>
                <w:sz w:val="16"/>
              </w:rPr>
              <w:t>1300000.0</w:t>
            </w:r>
          </w:p>
        </w:tc>
        <w:tc>
          <w:tcPr>
            <w:tcW w:type="dxa" w:w="1680"/>
            <w:vAlign w:val="center"/>
          </w:tcPr>
          <w:p>
            <w:pPr>
              <w:jc w:val="center"/>
            </w:pPr>
            <w:r/>
            <w:r>
              <w:rPr>
                <w:b w:val="0"/>
                <w:sz w:val="16"/>
              </w:rPr>
              <w:t>11340</w:t>
            </w:r>
          </w:p>
        </w:tc>
      </w:tr>
      <w:tr>
        <w:tc>
          <w:tcPr>
            <w:tcW w:type="dxa" w:w="1680"/>
            <w:vAlign w:val="center"/>
          </w:tcPr>
          <w:p>
            <w:pPr>
              <w:jc w:val="center"/>
            </w:pPr>
            <w:r/>
            <w:r>
              <w:rPr>
                <w:b w:val="0"/>
                <w:sz w:val="16"/>
              </w:rPr>
              <w:t>CH06</w:t>
            </w:r>
          </w:p>
        </w:tc>
        <w:tc>
          <w:tcPr>
            <w:tcW w:type="dxa" w:w="1680"/>
            <w:vAlign w:val="center"/>
          </w:tcPr>
          <w:p>
            <w:pPr>
              <w:jc w:val="center"/>
            </w:pPr>
            <w:r/>
            <w:r>
              <w:rPr>
                <w:b w:val="0"/>
                <w:sz w:val="16"/>
              </w:rPr>
              <w:t>0.0%</w:t>
            </w:r>
          </w:p>
        </w:tc>
        <w:tc>
          <w:tcPr>
            <w:tcW w:type="dxa" w:w="1680"/>
            <w:vAlign w:val="center"/>
          </w:tcPr>
          <w:p>
            <w:pPr>
              <w:jc w:val="center"/>
            </w:pPr>
            <w:r/>
            <w:r>
              <w:rPr>
                <w:b w:val="0"/>
                <w:sz w:val="16"/>
              </w:rPr>
              <w:t>35.0</w:t>
            </w:r>
          </w:p>
        </w:tc>
        <w:tc>
          <w:tcPr>
            <w:tcW w:type="dxa" w:w="1680"/>
            <w:vAlign w:val="center"/>
          </w:tcPr>
          <w:p>
            <w:pPr>
              <w:jc w:val="center"/>
            </w:pPr>
            <w:r/>
            <w:r>
              <w:rPr>
                <w:b w:val="0"/>
                <w:sz w:val="16"/>
              </w:rPr>
              <w:t>1.0</w:t>
            </w:r>
          </w:p>
        </w:tc>
        <w:tc>
          <w:tcPr>
            <w:tcW w:type="dxa" w:w="1680"/>
            <w:vAlign w:val="center"/>
          </w:tcPr>
          <w:p>
            <w:pPr>
              <w:jc w:val="center"/>
            </w:pPr>
            <w:r/>
            <w:r>
              <w:rPr>
                <w:b w:val="0"/>
                <w:sz w:val="16"/>
              </w:rPr>
              <w:t>86.0</w:t>
            </w:r>
          </w:p>
        </w:tc>
        <w:tc>
          <w:tcPr>
            <w:tcW w:type="dxa" w:w="1680"/>
            <w:vAlign w:val="center"/>
          </w:tcPr>
          <w:p>
            <w:pPr>
              <w:jc w:val="center"/>
            </w:pPr>
            <w:r/>
            <w:r>
              <w:rPr>
                <w:b w:val="0"/>
                <w:sz w:val="16"/>
              </w:rPr>
              <w:t>0</w:t>
            </w:r>
          </w:p>
        </w:tc>
      </w:tr>
      <w:tr>
        <w:tc>
          <w:tcPr>
            <w:tcW w:type="dxa" w:w="1680"/>
            <w:vAlign w:val="center"/>
          </w:tcPr>
          <w:p>
            <w:pPr>
              <w:jc w:val="center"/>
            </w:pPr>
            <w:r/>
            <w:r>
              <w:rPr>
                <w:b w:val="0"/>
                <w:sz w:val="16"/>
              </w:rPr>
              <w:t>NIVEL_ED</w:t>
            </w:r>
          </w:p>
        </w:tc>
        <w:tc>
          <w:tcPr>
            <w:tcW w:type="dxa" w:w="1680"/>
            <w:vAlign w:val="center"/>
          </w:tcPr>
          <w:p>
            <w:pPr>
              <w:jc w:val="center"/>
            </w:pPr>
            <w:r/>
            <w:r>
              <w:rPr>
                <w:b w:val="0"/>
                <w:sz w:val="16"/>
              </w:rPr>
              <w:t>0.0%</w:t>
            </w:r>
          </w:p>
        </w:tc>
        <w:tc>
          <w:tcPr>
            <w:tcW w:type="dxa" w:w="1680"/>
            <w:vAlign w:val="center"/>
          </w:tcPr>
          <w:p>
            <w:pPr>
              <w:jc w:val="center"/>
            </w:pPr>
            <w:r/>
            <w:r>
              <w:rPr>
                <w:b w:val="0"/>
                <w:sz w:val="16"/>
              </w:rPr>
              <w:t>4.0</w:t>
            </w:r>
          </w:p>
        </w:tc>
        <w:tc>
          <w:tcPr>
            <w:tcW w:type="dxa" w:w="1680"/>
            <w:vAlign w:val="center"/>
          </w:tcPr>
          <w:p>
            <w:pPr>
              <w:jc w:val="center"/>
            </w:pPr>
            <w:r/>
            <w:r>
              <w:rPr>
                <w:b w:val="0"/>
                <w:sz w:val="16"/>
              </w:rPr>
              <w:t>1.0</w:t>
            </w:r>
          </w:p>
        </w:tc>
        <w:tc>
          <w:tcPr>
            <w:tcW w:type="dxa" w:w="1680"/>
            <w:vAlign w:val="center"/>
          </w:tcPr>
          <w:p>
            <w:pPr>
              <w:jc w:val="center"/>
            </w:pPr>
            <w:r/>
            <w:r>
              <w:rPr>
                <w:b w:val="0"/>
                <w:sz w:val="16"/>
              </w:rPr>
              <w:t>7.0</w:t>
            </w:r>
          </w:p>
        </w:tc>
        <w:tc>
          <w:tcPr>
            <w:tcW w:type="dxa" w:w="1680"/>
            <w:vAlign w:val="center"/>
          </w:tcPr>
          <w:p>
            <w:pPr>
              <w:jc w:val="center"/>
            </w:pPr>
            <w:r/>
            <w:r>
              <w:rPr>
                <w:b w:val="0"/>
                <w:sz w:val="16"/>
              </w:rPr>
              <w:t>0</w:t>
            </w:r>
          </w:p>
        </w:tc>
      </w:tr>
      <w:tr>
        <w:tc>
          <w:tcPr>
            <w:tcW w:type="dxa" w:w="1680"/>
            <w:vAlign w:val="center"/>
          </w:tcPr>
          <w:p>
            <w:pPr>
              <w:jc w:val="center"/>
            </w:pPr>
            <w:r/>
            <w:r>
              <w:rPr>
                <w:b w:val="0"/>
                <w:sz w:val="16"/>
              </w:rPr>
              <w:t>PP04B_COD</w:t>
            </w:r>
          </w:p>
        </w:tc>
        <w:tc>
          <w:tcPr>
            <w:tcW w:type="dxa" w:w="1680"/>
            <w:vAlign w:val="center"/>
          </w:tcPr>
          <w:p>
            <w:pPr>
              <w:jc w:val="center"/>
            </w:pPr>
            <w:r/>
            <w:r>
              <w:rPr>
                <w:b w:val="0"/>
                <w:sz w:val="16"/>
              </w:rPr>
              <w:t>56.2%</w:t>
            </w:r>
          </w:p>
        </w:tc>
        <w:tc>
          <w:tcPr>
            <w:tcW w:type="dxa" w:w="1680"/>
            <w:vAlign w:val="center"/>
          </w:tcPr>
          <w:p>
            <w:pPr>
              <w:jc w:val="center"/>
            </w:pPr>
            <w:r/>
            <w:r>
              <w:rPr>
                <w:b w:val="0"/>
                <w:sz w:val="16"/>
              </w:rPr>
              <w:t>5601.0</w:t>
            </w:r>
          </w:p>
        </w:tc>
        <w:tc>
          <w:tcPr>
            <w:tcW w:type="dxa" w:w="1680"/>
            <w:vAlign w:val="center"/>
          </w:tcPr>
          <w:p>
            <w:pPr>
              <w:jc w:val="center"/>
            </w:pPr>
            <w:r/>
            <w:r>
              <w:rPr>
                <w:b w:val="0"/>
                <w:sz w:val="16"/>
              </w:rPr>
              <w:t>300.0</w:t>
            </w:r>
          </w:p>
        </w:tc>
        <w:tc>
          <w:tcPr>
            <w:tcW w:type="dxa" w:w="1680"/>
            <w:vAlign w:val="center"/>
          </w:tcPr>
          <w:p>
            <w:pPr>
              <w:jc w:val="center"/>
            </w:pPr>
            <w:r/>
            <w:r>
              <w:rPr>
                <w:b w:val="0"/>
                <w:sz w:val="16"/>
              </w:rPr>
              <w:t>9700.0</w:t>
            </w:r>
          </w:p>
        </w:tc>
        <w:tc>
          <w:tcPr>
            <w:tcW w:type="dxa" w:w="1680"/>
            <w:vAlign w:val="center"/>
          </w:tcPr>
          <w:p>
            <w:pPr>
              <w:jc w:val="center"/>
            </w:pPr>
            <w:r/>
            <w:r>
              <w:rPr>
                <w:b w:val="0"/>
                <w:sz w:val="16"/>
              </w:rPr>
              <w:t>0</w:t>
            </w:r>
          </w:p>
        </w:tc>
      </w:tr>
      <w:tr>
        <w:tc>
          <w:tcPr>
            <w:tcW w:type="dxa" w:w="1680"/>
            <w:vAlign w:val="center"/>
          </w:tcPr>
          <w:p>
            <w:pPr>
              <w:jc w:val="center"/>
            </w:pPr>
            <w:r/>
            <w:r>
              <w:rPr>
                <w:b w:val="0"/>
                <w:sz w:val="16"/>
              </w:rPr>
              <w:t>PP04D_COD</w:t>
            </w:r>
          </w:p>
        </w:tc>
        <w:tc>
          <w:tcPr>
            <w:tcW w:type="dxa" w:w="1680"/>
            <w:vAlign w:val="center"/>
          </w:tcPr>
          <w:p>
            <w:pPr>
              <w:jc w:val="center"/>
            </w:pPr>
            <w:r/>
            <w:r>
              <w:rPr>
                <w:b w:val="0"/>
                <w:sz w:val="16"/>
              </w:rPr>
              <w:t>56.2%</w:t>
            </w:r>
          </w:p>
        </w:tc>
        <w:tc>
          <w:tcPr>
            <w:tcW w:type="dxa" w:w="1680"/>
            <w:vAlign w:val="center"/>
          </w:tcPr>
          <w:p>
            <w:pPr>
              <w:jc w:val="center"/>
            </w:pPr>
            <w:r/>
            <w:r>
              <w:rPr>
                <w:b w:val="0"/>
                <w:sz w:val="16"/>
              </w:rPr>
              <w:t>41333.0</w:t>
            </w:r>
          </w:p>
        </w:tc>
        <w:tc>
          <w:tcPr>
            <w:tcW w:type="dxa" w:w="1680"/>
            <w:vAlign w:val="center"/>
          </w:tcPr>
          <w:p>
            <w:pPr>
              <w:jc w:val="center"/>
            </w:pPr>
            <w:r/>
            <w:r>
              <w:rPr>
                <w:b w:val="0"/>
                <w:sz w:val="16"/>
              </w:rPr>
              <w:t>5001.0</w:t>
            </w:r>
          </w:p>
        </w:tc>
        <w:tc>
          <w:tcPr>
            <w:tcW w:type="dxa" w:w="1680"/>
            <w:vAlign w:val="center"/>
          </w:tcPr>
          <w:p>
            <w:pPr>
              <w:jc w:val="center"/>
            </w:pPr>
            <w:r/>
            <w:r>
              <w:rPr>
                <w:b w:val="0"/>
                <w:sz w:val="16"/>
              </w:rPr>
              <w:t>92112.0</w:t>
            </w:r>
          </w:p>
        </w:tc>
        <w:tc>
          <w:tcPr>
            <w:tcW w:type="dxa" w:w="1680"/>
            <w:vAlign w:val="center"/>
          </w:tcPr>
          <w:p>
            <w:pPr>
              <w:jc w:val="center"/>
            </w:pPr>
            <w:r/>
            <w:r>
              <w:rPr>
                <w:b w:val="0"/>
                <w:sz w:val="16"/>
              </w:rPr>
              <w:t>0</w:t>
            </w:r>
          </w:p>
        </w:tc>
      </w:tr>
    </w:tbl>
    <w:p>
      <w:pPr>
        <w:jc w:val="both"/>
      </w:pPr>
      <w:r>
        <w:rPr>
          <w:sz w:val="21"/>
        </w:rPr>
        <w:t>En P21 se observa una mediana igual a cero cuando se considera toda la poblacion, lo cual es esperable porque incluye personas no ocupadas o sin ingreso laboral. Por eso el analisis de ingresos se restringe a ocupados y a ingresos positivos para el calculo de medidas reales. Para la imputacion se considera no respuesta operativa cuando P21 es faltante o negativo; los ceros no se imputan automaticamente porque pueden representar ausencia efectiva de ingreso laboral.</w:t>
      </w:r>
    </w:p>
    <w:p>
      <w:pPr>
        <w:pStyle w:val="Heading1"/>
      </w:pPr>
      <w:r>
        <w:t>6. Analisis multivariado por sexo, edad y educacion</w:t>
      </w:r>
    </w:p>
    <w:p>
      <w:pPr>
        <w:jc w:val="both"/>
      </w:pPr>
      <w:r>
        <w:rPr>
          <w:sz w:val="21"/>
        </w:rPr>
        <w:t>El analisis por subgrupos muestra que la evolucion agregada no afecta por igual a toda la poblacion. La tasa de desocupacion por sexo permite observar brechas de insercion laboral, mientras que la tasa de empleo por nivel educativo muestra la relacion positiva entre credenciales educativas y participacion efectiva en el empleo. Estas aperturas complementan la comparacion entre aglomerados y evitan interpretar los promedios como situaciones homogeneas.</w:t>
      </w:r>
    </w:p>
    <w:p>
      <w:pPr>
        <w:jc w:val="center"/>
      </w:pPr>
      <w:r>
        <w:drawing>
          <wp:inline xmlns:a="http://schemas.openxmlformats.org/drawingml/2006/main" xmlns:pic="http://schemas.openxmlformats.org/drawingml/2006/picture">
            <wp:extent cx="5303520" cy="2651760"/>
            <wp:docPr id="6" name="Picture 6"/>
            <wp:cNvGraphicFramePr>
              <a:graphicFrameLocks noChangeAspect="1"/>
            </wp:cNvGraphicFramePr>
            <a:graphic>
              <a:graphicData uri="http://schemas.openxmlformats.org/drawingml/2006/picture">
                <pic:pic>
                  <pic:nvPicPr>
                    <pic:cNvPr id="0" name="desocupacion_por_sexo.png"/>
                    <pic:cNvPicPr/>
                  </pic:nvPicPr>
                  <pic:blipFill>
                    <a:blip r:embed="rId14"/>
                    <a:stretch>
                      <a:fillRect/>
                    </a:stretch>
                  </pic:blipFill>
                  <pic:spPr>
                    <a:xfrm>
                      <a:off x="0" y="0"/>
                      <a:ext cx="5303520" cy="2651760"/>
                    </a:xfrm>
                    <a:prstGeom prst="rect"/>
                  </pic:spPr>
                </pic:pic>
              </a:graphicData>
            </a:graphic>
          </wp:inline>
        </w:drawing>
      </w:r>
    </w:p>
    <w:p>
      <w:pPr>
        <w:pStyle w:val="Caption"/>
        <w:jc w:val="center"/>
      </w:pPr>
      <w:r>
        <w:t>Figura 6. Tasa de desocupacion por sexo</w:t>
      </w:r>
    </w:p>
    <w:p>
      <w:pPr>
        <w:jc w:val="center"/>
      </w:pPr>
      <w:r>
        <w:drawing>
          <wp:inline xmlns:a="http://schemas.openxmlformats.org/drawingml/2006/main" xmlns:pic="http://schemas.openxmlformats.org/drawingml/2006/picture">
            <wp:extent cx="5303520" cy="2410691"/>
            <wp:docPr id="7" name="Picture 7"/>
            <wp:cNvGraphicFramePr>
              <a:graphicFrameLocks noChangeAspect="1"/>
            </wp:cNvGraphicFramePr>
            <a:graphic>
              <a:graphicData uri="http://schemas.openxmlformats.org/drawingml/2006/picture">
                <pic:pic>
                  <pic:nvPicPr>
                    <pic:cNvPr id="0" name="empleo_por_nivel_educativo_2025.png"/>
                    <pic:cNvPicPr/>
                  </pic:nvPicPr>
                  <pic:blipFill>
                    <a:blip r:embed="rId15"/>
                    <a:stretch>
                      <a:fillRect/>
                    </a:stretch>
                  </pic:blipFill>
                  <pic:spPr>
                    <a:xfrm>
                      <a:off x="0" y="0"/>
                      <a:ext cx="5303520" cy="2410691"/>
                    </a:xfrm>
                    <a:prstGeom prst="rect"/>
                  </pic:spPr>
                </pic:pic>
              </a:graphicData>
            </a:graphic>
          </wp:inline>
        </w:drawing>
      </w:r>
    </w:p>
    <w:p>
      <w:pPr>
        <w:pStyle w:val="Caption"/>
        <w:jc w:val="center"/>
      </w:pPr>
      <w:r>
        <w:t>Figura 7. Tasa de empleo por nivel educativo</w:t>
      </w:r>
    </w:p>
    <w:p>
      <w:pPr>
        <w:pStyle w:val="Caption"/>
      </w:pPr>
      <w:r>
        <w:t>Tabla 4. Indicadores por nivel educativo, 2025</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jc w:val="center"/>
            </w:pPr>
            <w:r/>
            <w:r>
              <w:rPr>
                <w:b/>
                <w:sz w:val="16"/>
              </w:rPr>
              <w:t>Aglomerado</w:t>
            </w:r>
          </w:p>
        </w:tc>
        <w:tc>
          <w:tcPr>
            <w:tcW w:type="dxa" w:w="2520"/>
            <w:vAlign w:val="center"/>
            <w:shd w:fill="D9EAF7"/>
          </w:tcPr>
          <w:p>
            <w:pPr>
              <w:jc w:val="center"/>
            </w:pPr>
            <w:r/>
            <w:r>
              <w:rPr>
                <w:b/>
                <w:sz w:val="16"/>
              </w:rPr>
              <w:t>Nivel educativo</w:t>
            </w:r>
          </w:p>
        </w:tc>
        <w:tc>
          <w:tcPr>
            <w:tcW w:type="dxa" w:w="2520"/>
            <w:vAlign w:val="center"/>
            <w:shd w:fill="D9EAF7"/>
          </w:tcPr>
          <w:p>
            <w:pPr>
              <w:jc w:val="center"/>
            </w:pPr>
            <w:r/>
            <w:r>
              <w:rPr>
                <w:b/>
                <w:sz w:val="16"/>
              </w:rPr>
              <w:t>Tasa empleo</w:t>
            </w:r>
          </w:p>
        </w:tc>
        <w:tc>
          <w:tcPr>
            <w:tcW w:type="dxa" w:w="2520"/>
            <w:vAlign w:val="center"/>
            <w:shd w:fill="D9EAF7"/>
          </w:tcPr>
          <w:p>
            <w:pPr>
              <w:jc w:val="center"/>
            </w:pPr>
            <w:r/>
            <w:r>
              <w:rPr>
                <w:b/>
                <w:sz w:val="16"/>
              </w:rPr>
              <w:t>Tasa desocupacion</w:t>
            </w:r>
          </w:p>
        </w:tc>
      </w:tr>
      <w:tr>
        <w:tc>
          <w:tcPr>
            <w:tcW w:type="dxa" w:w="2520"/>
            <w:vAlign w:val="center"/>
          </w:tcPr>
          <w:p>
            <w:pPr>
              <w:jc w:val="center"/>
            </w:pPr>
            <w:r/>
            <w:r>
              <w:rPr>
                <w:b w:val="0"/>
                <w:sz w:val="16"/>
              </w:rPr>
              <w:t>Mar del Plata</w:t>
            </w:r>
          </w:p>
        </w:tc>
        <w:tc>
          <w:tcPr>
            <w:tcW w:type="dxa" w:w="2520"/>
            <w:vAlign w:val="center"/>
          </w:tcPr>
          <w:p>
            <w:pPr>
              <w:jc w:val="center"/>
            </w:pPr>
            <w:r/>
            <w:r>
              <w:rPr>
                <w:b w:val="0"/>
                <w:sz w:val="16"/>
              </w:rPr>
              <w:t>Primaria completa</w:t>
            </w:r>
          </w:p>
        </w:tc>
        <w:tc>
          <w:tcPr>
            <w:tcW w:type="dxa" w:w="2520"/>
            <w:vAlign w:val="center"/>
          </w:tcPr>
          <w:p>
            <w:pPr>
              <w:jc w:val="center"/>
            </w:pPr>
            <w:r/>
            <w:r>
              <w:rPr>
                <w:b w:val="0"/>
                <w:sz w:val="16"/>
              </w:rPr>
              <w:t>43.2%</w:t>
            </w:r>
          </w:p>
        </w:tc>
        <w:tc>
          <w:tcPr>
            <w:tcW w:type="dxa" w:w="2520"/>
            <w:vAlign w:val="center"/>
          </w:tcPr>
          <w:p>
            <w:pPr>
              <w:jc w:val="center"/>
            </w:pPr>
            <w:r/>
            <w:r>
              <w:rPr>
                <w:b w:val="0"/>
                <w:sz w:val="16"/>
              </w:rPr>
              <w:t>5.2%</w:t>
            </w:r>
          </w:p>
        </w:tc>
      </w:tr>
      <w:tr>
        <w:tc>
          <w:tcPr>
            <w:tcW w:type="dxa" w:w="2520"/>
            <w:vAlign w:val="center"/>
          </w:tcPr>
          <w:p>
            <w:pPr>
              <w:jc w:val="center"/>
            </w:pPr>
            <w:r/>
            <w:r>
              <w:rPr>
                <w:b w:val="0"/>
                <w:sz w:val="16"/>
              </w:rPr>
              <w:t>Mar del Plata</w:t>
            </w:r>
          </w:p>
        </w:tc>
        <w:tc>
          <w:tcPr>
            <w:tcW w:type="dxa" w:w="2520"/>
            <w:vAlign w:val="center"/>
          </w:tcPr>
          <w:p>
            <w:pPr>
              <w:jc w:val="center"/>
            </w:pPr>
            <w:r/>
            <w:r>
              <w:rPr>
                <w:b w:val="0"/>
                <w:sz w:val="16"/>
              </w:rPr>
              <w:t>Primaria incompleta</w:t>
            </w:r>
          </w:p>
        </w:tc>
        <w:tc>
          <w:tcPr>
            <w:tcW w:type="dxa" w:w="2520"/>
            <w:vAlign w:val="center"/>
          </w:tcPr>
          <w:p>
            <w:pPr>
              <w:jc w:val="center"/>
            </w:pPr>
            <w:r/>
            <w:r>
              <w:rPr>
                <w:b w:val="0"/>
                <w:sz w:val="16"/>
              </w:rPr>
              <w:t>11.7%</w:t>
            </w:r>
          </w:p>
        </w:tc>
        <w:tc>
          <w:tcPr>
            <w:tcW w:type="dxa" w:w="2520"/>
            <w:vAlign w:val="center"/>
          </w:tcPr>
          <w:p>
            <w:pPr>
              <w:jc w:val="center"/>
            </w:pPr>
            <w:r/>
            <w:r>
              <w:rPr>
                <w:b w:val="0"/>
                <w:sz w:val="16"/>
              </w:rPr>
              <w:t>7.9%</w:t>
            </w:r>
          </w:p>
        </w:tc>
      </w:tr>
      <w:tr>
        <w:tc>
          <w:tcPr>
            <w:tcW w:type="dxa" w:w="2520"/>
            <w:vAlign w:val="center"/>
          </w:tcPr>
          <w:p>
            <w:pPr>
              <w:jc w:val="center"/>
            </w:pPr>
            <w:r/>
            <w:r>
              <w:rPr>
                <w:b w:val="0"/>
                <w:sz w:val="16"/>
              </w:rPr>
              <w:t>Mar del Plata</w:t>
            </w:r>
          </w:p>
        </w:tc>
        <w:tc>
          <w:tcPr>
            <w:tcW w:type="dxa" w:w="2520"/>
            <w:vAlign w:val="center"/>
          </w:tcPr>
          <w:p>
            <w:pPr>
              <w:jc w:val="center"/>
            </w:pPr>
            <w:r/>
            <w:r>
              <w:rPr>
                <w:b w:val="0"/>
                <w:sz w:val="16"/>
              </w:rPr>
              <w:t>Secundaria completa</w:t>
            </w:r>
          </w:p>
        </w:tc>
        <w:tc>
          <w:tcPr>
            <w:tcW w:type="dxa" w:w="2520"/>
            <w:vAlign w:val="center"/>
          </w:tcPr>
          <w:p>
            <w:pPr>
              <w:jc w:val="center"/>
            </w:pPr>
            <w:r/>
            <w:r>
              <w:rPr>
                <w:b w:val="0"/>
                <w:sz w:val="16"/>
              </w:rPr>
              <w:t>68.2%</w:t>
            </w:r>
          </w:p>
        </w:tc>
        <w:tc>
          <w:tcPr>
            <w:tcW w:type="dxa" w:w="2520"/>
            <w:vAlign w:val="center"/>
          </w:tcPr>
          <w:p>
            <w:pPr>
              <w:jc w:val="center"/>
            </w:pPr>
            <w:r/>
            <w:r>
              <w:rPr>
                <w:b w:val="0"/>
                <w:sz w:val="16"/>
              </w:rPr>
              <w:t>7.0%</w:t>
            </w:r>
          </w:p>
        </w:tc>
      </w:tr>
      <w:tr>
        <w:tc>
          <w:tcPr>
            <w:tcW w:type="dxa" w:w="2520"/>
            <w:vAlign w:val="center"/>
          </w:tcPr>
          <w:p>
            <w:pPr>
              <w:jc w:val="center"/>
            </w:pPr>
            <w:r/>
            <w:r>
              <w:rPr>
                <w:b w:val="0"/>
                <w:sz w:val="16"/>
              </w:rPr>
              <w:t>Mar del Plata</w:t>
            </w:r>
          </w:p>
        </w:tc>
        <w:tc>
          <w:tcPr>
            <w:tcW w:type="dxa" w:w="2520"/>
            <w:vAlign w:val="center"/>
          </w:tcPr>
          <w:p>
            <w:pPr>
              <w:jc w:val="center"/>
            </w:pPr>
            <w:r/>
            <w:r>
              <w:rPr>
                <w:b w:val="0"/>
                <w:sz w:val="16"/>
              </w:rPr>
              <w:t>Secundaria incompleta</w:t>
            </w:r>
          </w:p>
        </w:tc>
        <w:tc>
          <w:tcPr>
            <w:tcW w:type="dxa" w:w="2520"/>
            <w:vAlign w:val="center"/>
          </w:tcPr>
          <w:p>
            <w:pPr>
              <w:jc w:val="center"/>
            </w:pPr>
            <w:r/>
            <w:r>
              <w:rPr>
                <w:b w:val="0"/>
                <w:sz w:val="16"/>
              </w:rPr>
              <w:t>30.8%</w:t>
            </w:r>
          </w:p>
        </w:tc>
        <w:tc>
          <w:tcPr>
            <w:tcW w:type="dxa" w:w="2520"/>
            <w:vAlign w:val="center"/>
          </w:tcPr>
          <w:p>
            <w:pPr>
              <w:jc w:val="center"/>
            </w:pPr>
            <w:r/>
            <w:r>
              <w:rPr>
                <w:b w:val="0"/>
                <w:sz w:val="16"/>
              </w:rPr>
              <w:t>12.1%</w:t>
            </w:r>
          </w:p>
        </w:tc>
      </w:tr>
      <w:tr>
        <w:tc>
          <w:tcPr>
            <w:tcW w:type="dxa" w:w="2520"/>
            <w:vAlign w:val="center"/>
          </w:tcPr>
          <w:p>
            <w:pPr>
              <w:jc w:val="center"/>
            </w:pPr>
            <w:r/>
            <w:r>
              <w:rPr>
                <w:b w:val="0"/>
                <w:sz w:val="16"/>
              </w:rPr>
              <w:t>Mar del Plata</w:t>
            </w:r>
          </w:p>
        </w:tc>
        <w:tc>
          <w:tcPr>
            <w:tcW w:type="dxa" w:w="2520"/>
            <w:vAlign w:val="center"/>
          </w:tcPr>
          <w:p>
            <w:pPr>
              <w:jc w:val="center"/>
            </w:pPr>
            <w:r/>
            <w:r>
              <w:rPr>
                <w:b w:val="0"/>
                <w:sz w:val="16"/>
              </w:rPr>
              <w:t>Sin instruccion</w:t>
            </w:r>
          </w:p>
        </w:tc>
        <w:tc>
          <w:tcPr>
            <w:tcW w:type="dxa" w:w="2520"/>
            <w:vAlign w:val="center"/>
          </w:tcPr>
          <w:p>
            <w:pPr>
              <w:jc w:val="center"/>
            </w:pPr>
            <w:r/>
            <w:r>
              <w:rPr>
                <w:b w:val="0"/>
                <w:sz w:val="16"/>
              </w:rPr>
              <w:t>3.0%</w:t>
            </w:r>
          </w:p>
        </w:tc>
        <w:tc>
          <w:tcPr>
            <w:tcW w:type="dxa" w:w="2520"/>
            <w:vAlign w:val="center"/>
          </w:tcPr>
          <w:p>
            <w:pPr>
              <w:jc w:val="center"/>
            </w:pPr>
            <w:r/>
            <w:r>
              <w:rPr>
                <w:b w:val="0"/>
                <w:sz w:val="16"/>
              </w:rPr>
              <w:t>15.0%</w:t>
            </w:r>
          </w:p>
        </w:tc>
      </w:tr>
      <w:tr>
        <w:tc>
          <w:tcPr>
            <w:tcW w:type="dxa" w:w="2520"/>
            <w:vAlign w:val="center"/>
          </w:tcPr>
          <w:p>
            <w:pPr>
              <w:jc w:val="center"/>
            </w:pPr>
            <w:r/>
            <w:r>
              <w:rPr>
                <w:b w:val="0"/>
                <w:sz w:val="16"/>
              </w:rPr>
              <w:t>Mar del Plata</w:t>
            </w:r>
          </w:p>
        </w:tc>
        <w:tc>
          <w:tcPr>
            <w:tcW w:type="dxa" w:w="2520"/>
            <w:vAlign w:val="center"/>
          </w:tcPr>
          <w:p>
            <w:pPr>
              <w:jc w:val="center"/>
            </w:pPr>
            <w:r/>
            <w:r>
              <w:rPr>
                <w:b w:val="0"/>
                <w:sz w:val="16"/>
              </w:rPr>
              <w:t>Superior/univ. completa</w:t>
            </w:r>
          </w:p>
        </w:tc>
        <w:tc>
          <w:tcPr>
            <w:tcW w:type="dxa" w:w="2520"/>
            <w:vAlign w:val="center"/>
          </w:tcPr>
          <w:p>
            <w:pPr>
              <w:jc w:val="center"/>
            </w:pPr>
            <w:r/>
            <w:r>
              <w:rPr>
                <w:b w:val="0"/>
                <w:sz w:val="16"/>
              </w:rPr>
              <w:t>71.4%</w:t>
            </w:r>
          </w:p>
        </w:tc>
        <w:tc>
          <w:tcPr>
            <w:tcW w:type="dxa" w:w="2520"/>
            <w:vAlign w:val="center"/>
          </w:tcPr>
          <w:p>
            <w:pPr>
              <w:jc w:val="center"/>
            </w:pPr>
            <w:r/>
            <w:r>
              <w:rPr>
                <w:b w:val="0"/>
                <w:sz w:val="16"/>
              </w:rPr>
              <w:t>1.6%</w:t>
            </w:r>
          </w:p>
        </w:tc>
      </w:tr>
      <w:tr>
        <w:tc>
          <w:tcPr>
            <w:tcW w:type="dxa" w:w="2520"/>
            <w:vAlign w:val="center"/>
          </w:tcPr>
          <w:p>
            <w:pPr>
              <w:jc w:val="center"/>
            </w:pPr>
            <w:r/>
            <w:r>
              <w:rPr>
                <w:b w:val="0"/>
                <w:sz w:val="16"/>
              </w:rPr>
              <w:t>Mar del Plata</w:t>
            </w:r>
          </w:p>
        </w:tc>
        <w:tc>
          <w:tcPr>
            <w:tcW w:type="dxa" w:w="2520"/>
            <w:vAlign w:val="center"/>
          </w:tcPr>
          <w:p>
            <w:pPr>
              <w:jc w:val="center"/>
            </w:pPr>
            <w:r/>
            <w:r>
              <w:rPr>
                <w:b w:val="0"/>
                <w:sz w:val="16"/>
              </w:rPr>
              <w:t>Superior/univ. incompleta</w:t>
            </w:r>
          </w:p>
        </w:tc>
        <w:tc>
          <w:tcPr>
            <w:tcW w:type="dxa" w:w="2520"/>
            <w:vAlign w:val="center"/>
          </w:tcPr>
          <w:p>
            <w:pPr>
              <w:jc w:val="center"/>
            </w:pPr>
            <w:r/>
            <w:r>
              <w:rPr>
                <w:b w:val="0"/>
                <w:sz w:val="16"/>
              </w:rPr>
              <w:t>60.1%</w:t>
            </w:r>
          </w:p>
        </w:tc>
        <w:tc>
          <w:tcPr>
            <w:tcW w:type="dxa" w:w="2520"/>
            <w:vAlign w:val="center"/>
          </w:tcPr>
          <w:p>
            <w:pPr>
              <w:jc w:val="center"/>
            </w:pPr>
            <w:r/>
            <w:r>
              <w:rPr>
                <w:b w:val="0"/>
                <w:sz w:val="16"/>
              </w:rPr>
              <w:t>11.9%</w:t>
            </w:r>
          </w:p>
        </w:tc>
      </w:tr>
      <w:tr>
        <w:tc>
          <w:tcPr>
            <w:tcW w:type="dxa" w:w="2520"/>
            <w:vAlign w:val="center"/>
          </w:tcPr>
          <w:p>
            <w:pPr>
              <w:jc w:val="center"/>
            </w:pPr>
            <w:r/>
            <w:r>
              <w:rPr>
                <w:b w:val="0"/>
                <w:sz w:val="16"/>
              </w:rPr>
              <w:t>Neuquen-Plottier</w:t>
            </w:r>
          </w:p>
        </w:tc>
        <w:tc>
          <w:tcPr>
            <w:tcW w:type="dxa" w:w="2520"/>
            <w:vAlign w:val="center"/>
          </w:tcPr>
          <w:p>
            <w:pPr>
              <w:jc w:val="center"/>
            </w:pPr>
            <w:r/>
            <w:r>
              <w:rPr>
                <w:b w:val="0"/>
                <w:sz w:val="16"/>
              </w:rPr>
              <w:t>Primaria completa</w:t>
            </w:r>
          </w:p>
        </w:tc>
        <w:tc>
          <w:tcPr>
            <w:tcW w:type="dxa" w:w="2520"/>
            <w:vAlign w:val="center"/>
          </w:tcPr>
          <w:p>
            <w:pPr>
              <w:jc w:val="center"/>
            </w:pPr>
            <w:r/>
            <w:r>
              <w:rPr>
                <w:b w:val="0"/>
                <w:sz w:val="16"/>
              </w:rPr>
              <w:t>44.7%</w:t>
            </w:r>
          </w:p>
        </w:tc>
        <w:tc>
          <w:tcPr>
            <w:tcW w:type="dxa" w:w="2520"/>
            <w:vAlign w:val="center"/>
          </w:tcPr>
          <w:p>
            <w:pPr>
              <w:jc w:val="center"/>
            </w:pPr>
            <w:r/>
            <w:r>
              <w:rPr>
                <w:b w:val="0"/>
                <w:sz w:val="16"/>
              </w:rPr>
              <w:t>5.5%</w:t>
            </w:r>
          </w:p>
        </w:tc>
      </w:tr>
      <w:tr>
        <w:tc>
          <w:tcPr>
            <w:tcW w:type="dxa" w:w="2520"/>
            <w:vAlign w:val="center"/>
          </w:tcPr>
          <w:p>
            <w:pPr>
              <w:jc w:val="center"/>
            </w:pPr>
            <w:r/>
            <w:r>
              <w:rPr>
                <w:b w:val="0"/>
                <w:sz w:val="16"/>
              </w:rPr>
              <w:t>Neuquen-Plottier</w:t>
            </w:r>
          </w:p>
        </w:tc>
        <w:tc>
          <w:tcPr>
            <w:tcW w:type="dxa" w:w="2520"/>
            <w:vAlign w:val="center"/>
          </w:tcPr>
          <w:p>
            <w:pPr>
              <w:jc w:val="center"/>
            </w:pPr>
            <w:r/>
            <w:r>
              <w:rPr>
                <w:b w:val="0"/>
                <w:sz w:val="16"/>
              </w:rPr>
              <w:t>Primaria incompleta</w:t>
            </w:r>
          </w:p>
        </w:tc>
        <w:tc>
          <w:tcPr>
            <w:tcW w:type="dxa" w:w="2520"/>
            <w:vAlign w:val="center"/>
          </w:tcPr>
          <w:p>
            <w:pPr>
              <w:jc w:val="center"/>
            </w:pPr>
            <w:r/>
            <w:r>
              <w:rPr>
                <w:b w:val="0"/>
                <w:sz w:val="16"/>
              </w:rPr>
              <w:t>4.4%</w:t>
            </w:r>
          </w:p>
        </w:tc>
        <w:tc>
          <w:tcPr>
            <w:tcW w:type="dxa" w:w="2520"/>
            <w:vAlign w:val="center"/>
          </w:tcPr>
          <w:p>
            <w:pPr>
              <w:jc w:val="center"/>
            </w:pPr>
            <w:r/>
            <w:r>
              <w:rPr>
                <w:b w:val="0"/>
                <w:sz w:val="16"/>
              </w:rPr>
              <w:t>14.4%</w:t>
            </w:r>
          </w:p>
        </w:tc>
      </w:tr>
      <w:tr>
        <w:tc>
          <w:tcPr>
            <w:tcW w:type="dxa" w:w="2520"/>
            <w:vAlign w:val="center"/>
          </w:tcPr>
          <w:p>
            <w:pPr>
              <w:jc w:val="center"/>
            </w:pPr>
            <w:r/>
            <w:r>
              <w:rPr>
                <w:b w:val="0"/>
                <w:sz w:val="16"/>
              </w:rPr>
              <w:t>Neuquen-Plottier</w:t>
            </w:r>
          </w:p>
        </w:tc>
        <w:tc>
          <w:tcPr>
            <w:tcW w:type="dxa" w:w="2520"/>
            <w:vAlign w:val="center"/>
          </w:tcPr>
          <w:p>
            <w:pPr>
              <w:jc w:val="center"/>
            </w:pPr>
            <w:r/>
            <w:r>
              <w:rPr>
                <w:b w:val="0"/>
                <w:sz w:val="16"/>
              </w:rPr>
              <w:t>Secundaria completa</w:t>
            </w:r>
          </w:p>
        </w:tc>
        <w:tc>
          <w:tcPr>
            <w:tcW w:type="dxa" w:w="2520"/>
            <w:vAlign w:val="center"/>
          </w:tcPr>
          <w:p>
            <w:pPr>
              <w:jc w:val="center"/>
            </w:pPr>
            <w:r/>
            <w:r>
              <w:rPr>
                <w:b w:val="0"/>
                <w:sz w:val="16"/>
              </w:rPr>
              <w:t>70.9%</w:t>
            </w:r>
          </w:p>
        </w:tc>
        <w:tc>
          <w:tcPr>
            <w:tcW w:type="dxa" w:w="2520"/>
            <w:vAlign w:val="center"/>
          </w:tcPr>
          <w:p>
            <w:pPr>
              <w:jc w:val="center"/>
            </w:pPr>
            <w:r/>
            <w:r>
              <w:rPr>
                <w:b w:val="0"/>
                <w:sz w:val="16"/>
              </w:rPr>
              <w:t>4.2%</w:t>
            </w:r>
          </w:p>
        </w:tc>
      </w:tr>
      <w:tr>
        <w:tc>
          <w:tcPr>
            <w:tcW w:type="dxa" w:w="2520"/>
            <w:vAlign w:val="center"/>
          </w:tcPr>
          <w:p>
            <w:pPr>
              <w:jc w:val="center"/>
            </w:pPr>
            <w:r/>
            <w:r>
              <w:rPr>
                <w:b w:val="0"/>
                <w:sz w:val="16"/>
              </w:rPr>
              <w:t>Neuquen-Plottier</w:t>
            </w:r>
          </w:p>
        </w:tc>
        <w:tc>
          <w:tcPr>
            <w:tcW w:type="dxa" w:w="2520"/>
            <w:vAlign w:val="center"/>
          </w:tcPr>
          <w:p>
            <w:pPr>
              <w:jc w:val="center"/>
            </w:pPr>
            <w:r/>
            <w:r>
              <w:rPr>
                <w:b w:val="0"/>
                <w:sz w:val="16"/>
              </w:rPr>
              <w:t>Secundaria incompleta</w:t>
            </w:r>
          </w:p>
        </w:tc>
        <w:tc>
          <w:tcPr>
            <w:tcW w:type="dxa" w:w="2520"/>
            <w:vAlign w:val="center"/>
          </w:tcPr>
          <w:p>
            <w:pPr>
              <w:jc w:val="center"/>
            </w:pPr>
            <w:r/>
            <w:r>
              <w:rPr>
                <w:b w:val="0"/>
                <w:sz w:val="16"/>
              </w:rPr>
              <w:t>37.5%</w:t>
            </w:r>
          </w:p>
        </w:tc>
        <w:tc>
          <w:tcPr>
            <w:tcW w:type="dxa" w:w="2520"/>
            <w:vAlign w:val="center"/>
          </w:tcPr>
          <w:p>
            <w:pPr>
              <w:jc w:val="center"/>
            </w:pPr>
            <w:r/>
            <w:r>
              <w:rPr>
                <w:b w:val="0"/>
                <w:sz w:val="16"/>
              </w:rPr>
              <w:t>5.6%</w:t>
            </w:r>
          </w:p>
        </w:tc>
      </w:tr>
      <w:tr>
        <w:tc>
          <w:tcPr>
            <w:tcW w:type="dxa" w:w="2520"/>
            <w:vAlign w:val="center"/>
          </w:tcPr>
          <w:p>
            <w:pPr>
              <w:jc w:val="center"/>
            </w:pPr>
            <w:r/>
            <w:r>
              <w:rPr>
                <w:b w:val="0"/>
                <w:sz w:val="16"/>
              </w:rPr>
              <w:t>Neuquen-Plottier</w:t>
            </w:r>
          </w:p>
        </w:tc>
        <w:tc>
          <w:tcPr>
            <w:tcW w:type="dxa" w:w="2520"/>
            <w:vAlign w:val="center"/>
          </w:tcPr>
          <w:p>
            <w:pPr>
              <w:jc w:val="center"/>
            </w:pPr>
            <w:r/>
            <w:r>
              <w:rPr>
                <w:b w:val="0"/>
                <w:sz w:val="16"/>
              </w:rPr>
              <w:t>Sin instruccion</w:t>
            </w:r>
          </w:p>
        </w:tc>
        <w:tc>
          <w:tcPr>
            <w:tcW w:type="dxa" w:w="2520"/>
            <w:vAlign w:val="center"/>
          </w:tcPr>
          <w:p>
            <w:pPr>
              <w:jc w:val="center"/>
            </w:pPr>
            <w:r/>
            <w:r>
              <w:rPr>
                <w:b w:val="0"/>
                <w:sz w:val="16"/>
              </w:rPr>
              <w:t>2.0%</w:t>
            </w:r>
          </w:p>
        </w:tc>
        <w:tc>
          <w:tcPr>
            <w:tcW w:type="dxa" w:w="2520"/>
            <w:vAlign w:val="center"/>
          </w:tcPr>
          <w:p>
            <w:pPr>
              <w:jc w:val="center"/>
            </w:pPr>
            <w:r/>
            <w:r>
              <w:rPr>
                <w:b w:val="0"/>
                <w:sz w:val="16"/>
              </w:rPr>
              <w:t>0.0%</w:t>
            </w:r>
          </w:p>
        </w:tc>
      </w:tr>
      <w:tr>
        <w:tc>
          <w:tcPr>
            <w:tcW w:type="dxa" w:w="2520"/>
            <w:vAlign w:val="center"/>
          </w:tcPr>
          <w:p>
            <w:pPr>
              <w:jc w:val="center"/>
            </w:pPr>
            <w:r/>
            <w:r>
              <w:rPr>
                <w:b w:val="0"/>
                <w:sz w:val="16"/>
              </w:rPr>
              <w:t>Neuquen-Plottier</w:t>
            </w:r>
          </w:p>
        </w:tc>
        <w:tc>
          <w:tcPr>
            <w:tcW w:type="dxa" w:w="2520"/>
            <w:vAlign w:val="center"/>
          </w:tcPr>
          <w:p>
            <w:pPr>
              <w:jc w:val="center"/>
            </w:pPr>
            <w:r/>
            <w:r>
              <w:rPr>
                <w:b w:val="0"/>
                <w:sz w:val="16"/>
              </w:rPr>
              <w:t>Superior/univ. completa</w:t>
            </w:r>
          </w:p>
        </w:tc>
        <w:tc>
          <w:tcPr>
            <w:tcW w:type="dxa" w:w="2520"/>
            <w:vAlign w:val="center"/>
          </w:tcPr>
          <w:p>
            <w:pPr>
              <w:jc w:val="center"/>
            </w:pPr>
            <w:r/>
            <w:r>
              <w:rPr>
                <w:b w:val="0"/>
                <w:sz w:val="16"/>
              </w:rPr>
              <w:t>77.2%</w:t>
            </w:r>
          </w:p>
        </w:tc>
        <w:tc>
          <w:tcPr>
            <w:tcW w:type="dxa" w:w="2520"/>
            <w:vAlign w:val="center"/>
          </w:tcPr>
          <w:p>
            <w:pPr>
              <w:jc w:val="center"/>
            </w:pPr>
            <w:r/>
            <w:r>
              <w:rPr>
                <w:b w:val="0"/>
                <w:sz w:val="16"/>
              </w:rPr>
              <w:t>1.6%</w:t>
            </w:r>
          </w:p>
        </w:tc>
      </w:tr>
      <w:tr>
        <w:tc>
          <w:tcPr>
            <w:tcW w:type="dxa" w:w="2520"/>
            <w:vAlign w:val="center"/>
          </w:tcPr>
          <w:p>
            <w:pPr>
              <w:jc w:val="center"/>
            </w:pPr>
            <w:r/>
            <w:r>
              <w:rPr>
                <w:b w:val="0"/>
                <w:sz w:val="16"/>
              </w:rPr>
              <w:t>Neuquen-Plottier</w:t>
            </w:r>
          </w:p>
        </w:tc>
        <w:tc>
          <w:tcPr>
            <w:tcW w:type="dxa" w:w="2520"/>
            <w:vAlign w:val="center"/>
          </w:tcPr>
          <w:p>
            <w:pPr>
              <w:jc w:val="center"/>
            </w:pPr>
            <w:r/>
            <w:r>
              <w:rPr>
                <w:b w:val="0"/>
                <w:sz w:val="16"/>
              </w:rPr>
              <w:t>Superior/univ. incompleta</w:t>
            </w:r>
          </w:p>
        </w:tc>
        <w:tc>
          <w:tcPr>
            <w:tcW w:type="dxa" w:w="2520"/>
            <w:vAlign w:val="center"/>
          </w:tcPr>
          <w:p>
            <w:pPr>
              <w:jc w:val="center"/>
            </w:pPr>
            <w:r/>
            <w:r>
              <w:rPr>
                <w:b w:val="0"/>
                <w:sz w:val="16"/>
              </w:rPr>
              <w:t>52.6%</w:t>
            </w:r>
          </w:p>
        </w:tc>
        <w:tc>
          <w:tcPr>
            <w:tcW w:type="dxa" w:w="2520"/>
            <w:vAlign w:val="center"/>
          </w:tcPr>
          <w:p>
            <w:pPr>
              <w:jc w:val="center"/>
            </w:pPr>
            <w:r/>
            <w:r>
              <w:rPr>
                <w:b w:val="0"/>
                <w:sz w:val="16"/>
              </w:rPr>
              <w:t>4.0%</w:t>
            </w:r>
          </w:p>
        </w:tc>
      </w:tr>
    </w:tbl>
    <w:p>
      <w:pPr>
        <w:jc w:val="both"/>
      </w:pPr>
      <w:r>
        <w:rPr>
          <w:sz w:val="21"/>
        </w:rPr>
        <w:t>Ademas de sexo y educacion, el modelo de ingresos incorpora edad, rama de actividad y ocupacion. Las variables PP04B_COD y PP04D_COD permiten capturar diferencias vinculadas al tipo de insercion laboral. Aunque en el informe se presentan de forma resumida, quedan disponibles en las tablas de coeficientes para revisar actividades u ocupaciones puntuales.</w:t>
      </w:r>
    </w:p>
    <w:p>
      <w:pPr>
        <w:pStyle w:val="Heading1"/>
      </w:pPr>
      <w:r>
        <w:t>7. Modelo de imputacion de no respuesta de ingresos</w:t>
      </w:r>
    </w:p>
    <w:p>
      <w:pPr>
        <w:jc w:val="both"/>
      </w:pPr>
      <w:r>
        <w:rPr>
          <w:sz w:val="21"/>
        </w:rPr>
        <w:t>Para cumplir el objetivo de aprobacion directa se desarrollo un modelo de regresion Ridge sobre el logaritmo del ingreso real de la ocupacion principal. Se utilizaron como variables independientes la edad, sexo, nivel educativo, aglomerado, anio, trimestre, rama de actividad y ocupacion. El modelo se entreno con ocupados de 14 a 80 anos con ingreso positivo y se evaluo mediante una particion train/test.</w:t>
      </w:r>
    </w:p>
    <w:p>
      <w:pPr>
        <w:pStyle w:val="Caption"/>
      </w:pPr>
      <w:r>
        <w:t>Tabla 5. Evaluacion del modelo de imputacion</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pPr>
              <w:jc w:val="center"/>
            </w:pPr>
            <w:r/>
            <w:r>
              <w:rPr>
                <w:b/>
                <w:sz w:val="16"/>
              </w:rPr>
              <w:t>Modelo</w:t>
            </w:r>
          </w:p>
        </w:tc>
        <w:tc>
          <w:tcPr>
            <w:tcW w:type="dxa" w:w="1680"/>
            <w:vAlign w:val="center"/>
            <w:shd w:fill="D9EAF7"/>
          </w:tcPr>
          <w:p>
            <w:pPr>
              <w:jc w:val="center"/>
            </w:pPr>
            <w:r/>
            <w:r>
              <w:rPr>
                <w:b/>
                <w:sz w:val="16"/>
              </w:rPr>
              <w:t>Train</w:t>
            </w:r>
          </w:p>
        </w:tc>
        <w:tc>
          <w:tcPr>
            <w:tcW w:type="dxa" w:w="1680"/>
            <w:vAlign w:val="center"/>
            <w:shd w:fill="D9EAF7"/>
          </w:tcPr>
          <w:p>
            <w:pPr>
              <w:jc w:val="center"/>
            </w:pPr>
            <w:r/>
            <w:r>
              <w:rPr>
                <w:b/>
                <w:sz w:val="16"/>
              </w:rPr>
              <w:t>Test</w:t>
            </w:r>
          </w:p>
        </w:tc>
        <w:tc>
          <w:tcPr>
            <w:tcW w:type="dxa" w:w="1680"/>
            <w:vAlign w:val="center"/>
            <w:shd w:fill="D9EAF7"/>
          </w:tcPr>
          <w:p>
            <w:pPr>
              <w:jc w:val="center"/>
            </w:pPr>
            <w:r/>
            <w:r>
              <w:rPr>
                <w:b/>
                <w:sz w:val="16"/>
              </w:rPr>
              <w:t>MAE</w:t>
            </w:r>
          </w:p>
        </w:tc>
        <w:tc>
          <w:tcPr>
            <w:tcW w:type="dxa" w:w="1680"/>
            <w:vAlign w:val="center"/>
            <w:shd w:fill="D9EAF7"/>
          </w:tcPr>
          <w:p>
            <w:pPr>
              <w:jc w:val="center"/>
            </w:pPr>
            <w:r/>
            <w:r>
              <w:rPr>
                <w:b/>
                <w:sz w:val="16"/>
              </w:rPr>
              <w:t>RMSE</w:t>
            </w:r>
          </w:p>
        </w:tc>
        <w:tc>
          <w:tcPr>
            <w:tcW w:type="dxa" w:w="1680"/>
            <w:vAlign w:val="center"/>
            <w:shd w:fill="D9EAF7"/>
          </w:tcPr>
          <w:p>
            <w:pPr>
              <w:jc w:val="center"/>
            </w:pPr>
            <w:r/>
            <w:r>
              <w:rPr>
                <w:b/>
                <w:sz w:val="16"/>
              </w:rPr>
              <w:t>R2 log</w:t>
            </w:r>
          </w:p>
        </w:tc>
      </w:tr>
      <w:tr>
        <w:tc>
          <w:tcPr>
            <w:tcW w:type="dxa" w:w="1680"/>
            <w:vAlign w:val="center"/>
          </w:tcPr>
          <w:p>
            <w:pPr>
              <w:jc w:val="center"/>
            </w:pPr>
            <w:r/>
            <w:r>
              <w:rPr>
                <w:b w:val="0"/>
                <w:sz w:val="16"/>
              </w:rPr>
              <w:t>Ridge sobre log(P21 real)</w:t>
            </w:r>
          </w:p>
        </w:tc>
        <w:tc>
          <w:tcPr>
            <w:tcW w:type="dxa" w:w="1680"/>
            <w:vAlign w:val="center"/>
          </w:tcPr>
          <w:p>
            <w:pPr>
              <w:jc w:val="center"/>
            </w:pPr>
            <w:r/>
            <w:r>
              <w:rPr>
                <w:b w:val="0"/>
                <w:sz w:val="16"/>
              </w:rPr>
              <w:t>18395</w:t>
            </w:r>
          </w:p>
        </w:tc>
        <w:tc>
          <w:tcPr>
            <w:tcW w:type="dxa" w:w="1680"/>
            <w:vAlign w:val="center"/>
          </w:tcPr>
          <w:p>
            <w:pPr>
              <w:jc w:val="center"/>
            </w:pPr>
            <w:r/>
            <w:r>
              <w:rPr>
                <w:b w:val="0"/>
                <w:sz w:val="16"/>
              </w:rPr>
              <w:t>6132</w:t>
            </w:r>
          </w:p>
        </w:tc>
        <w:tc>
          <w:tcPr>
            <w:tcW w:type="dxa" w:w="1680"/>
            <w:vAlign w:val="center"/>
          </w:tcPr>
          <w:p>
            <w:pPr>
              <w:jc w:val="center"/>
            </w:pPr>
            <w:r/>
            <w:r>
              <w:rPr>
                <w:b w:val="0"/>
                <w:sz w:val="16"/>
              </w:rPr>
              <w:t>$438.927</w:t>
            </w:r>
          </w:p>
        </w:tc>
        <w:tc>
          <w:tcPr>
            <w:tcW w:type="dxa" w:w="1680"/>
            <w:vAlign w:val="center"/>
          </w:tcPr>
          <w:p>
            <w:pPr>
              <w:jc w:val="center"/>
            </w:pPr>
            <w:r/>
            <w:r>
              <w:rPr>
                <w:b w:val="0"/>
                <w:sz w:val="16"/>
              </w:rPr>
              <w:t>$765.421</w:t>
            </w:r>
          </w:p>
        </w:tc>
        <w:tc>
          <w:tcPr>
            <w:tcW w:type="dxa" w:w="1680"/>
            <w:vAlign w:val="center"/>
          </w:tcPr>
          <w:p>
            <w:pPr>
              <w:jc w:val="center"/>
            </w:pPr>
            <w:r/>
            <w:r>
              <w:rPr>
                <w:b w:val="0"/>
                <w:sz w:val="16"/>
              </w:rPr>
              <w:t>0.460</w:t>
            </w:r>
          </w:p>
        </w:tc>
      </w:tr>
    </w:tbl>
    <w:p>
      <w:pPr>
        <w:jc w:val="both"/>
      </w:pPr>
      <w:r>
        <w:rPr>
          <w:sz w:val="21"/>
        </w:rPr>
        <w:t>El R2 sobre el logaritmo del ingreso es 0,460. Esto indica una capacidad explicativa moderada: el modelo captura diferencias sistematicas por edad, educacion, aglomerado, rama y ocupacion, pero deja una parte importante de la variacion individual sin explicar. El MAE y el RMSE se expresan en pesos reales a precios de 2025T4, por lo que deben interpretarse en el contexto de una distribucion de ingresos muy dispersa.</w:t>
      </w:r>
    </w:p>
    <w:p>
      <w:pPr>
        <w:pStyle w:val="Caption"/>
      </w:pPr>
      <w:r>
        <w:t>Tabla 6. Variables con mayor efecto estimado en el modelo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jc w:val="center"/>
            </w:pPr>
            <w:r/>
            <w:r>
              <w:rPr>
                <w:b/>
                <w:sz w:val="16"/>
              </w:rPr>
              <w:t>Variable</w:t>
            </w:r>
          </w:p>
        </w:tc>
        <w:tc>
          <w:tcPr>
            <w:tcW w:type="dxa" w:w="5040"/>
            <w:vAlign w:val="center"/>
            <w:shd w:fill="D9EAF7"/>
          </w:tcPr>
          <w:p>
            <w:pPr>
              <w:jc w:val="center"/>
            </w:pPr>
            <w:r/>
            <w:r>
              <w:rPr>
                <w:b/>
                <w:sz w:val="16"/>
              </w:rPr>
              <w:t>Impacto porcentual aproximado</w:t>
            </w:r>
          </w:p>
        </w:tc>
      </w:tr>
      <w:tr>
        <w:tc>
          <w:tcPr>
            <w:tcW w:type="dxa" w:w="5040"/>
            <w:vAlign w:val="center"/>
          </w:tcPr>
          <w:p>
            <w:pPr>
              <w:jc w:val="center"/>
            </w:pPr>
            <w:r/>
            <w:r>
              <w:rPr>
                <w:b w:val="0"/>
                <w:sz w:val="16"/>
              </w:rPr>
              <w:t>cat__PP04D_COD_54113.0</w:t>
            </w:r>
          </w:p>
        </w:tc>
        <w:tc>
          <w:tcPr>
            <w:tcW w:type="dxa" w:w="5040"/>
            <w:vAlign w:val="center"/>
          </w:tcPr>
          <w:p>
            <w:pPr>
              <w:jc w:val="center"/>
            </w:pPr>
            <w:r/>
            <w:r>
              <w:rPr>
                <w:b w:val="0"/>
                <w:sz w:val="16"/>
              </w:rPr>
              <w:t>-82.8%</w:t>
            </w:r>
          </w:p>
        </w:tc>
      </w:tr>
      <w:tr>
        <w:tc>
          <w:tcPr>
            <w:tcW w:type="dxa" w:w="5040"/>
            <w:vAlign w:val="center"/>
          </w:tcPr>
          <w:p>
            <w:pPr>
              <w:jc w:val="center"/>
            </w:pPr>
            <w:r/>
            <w:r>
              <w:rPr>
                <w:b w:val="0"/>
                <w:sz w:val="16"/>
              </w:rPr>
              <w:t>cat__PP04D_COD_33123.0</w:t>
            </w:r>
          </w:p>
        </w:tc>
        <w:tc>
          <w:tcPr>
            <w:tcW w:type="dxa" w:w="5040"/>
            <w:vAlign w:val="center"/>
          </w:tcPr>
          <w:p>
            <w:pPr>
              <w:jc w:val="center"/>
            </w:pPr>
            <w:r/>
            <w:r>
              <w:rPr>
                <w:b w:val="0"/>
                <w:sz w:val="16"/>
              </w:rPr>
              <w:t>-76.9%</w:t>
            </w:r>
          </w:p>
        </w:tc>
      </w:tr>
      <w:tr>
        <w:tc>
          <w:tcPr>
            <w:tcW w:type="dxa" w:w="5040"/>
            <w:vAlign w:val="center"/>
          </w:tcPr>
          <w:p>
            <w:pPr>
              <w:jc w:val="center"/>
            </w:pPr>
            <w:r/>
            <w:r>
              <w:rPr>
                <w:b w:val="0"/>
                <w:sz w:val="16"/>
              </w:rPr>
              <w:t>cat__PP04D_COD_30339.0</w:t>
            </w:r>
          </w:p>
        </w:tc>
        <w:tc>
          <w:tcPr>
            <w:tcW w:type="dxa" w:w="5040"/>
            <w:vAlign w:val="center"/>
          </w:tcPr>
          <w:p>
            <w:pPr>
              <w:jc w:val="center"/>
            </w:pPr>
            <w:r/>
            <w:r>
              <w:rPr>
                <w:b w:val="0"/>
                <w:sz w:val="16"/>
              </w:rPr>
              <w:t>-72.3%</w:t>
            </w:r>
          </w:p>
        </w:tc>
      </w:tr>
      <w:tr>
        <w:tc>
          <w:tcPr>
            <w:tcW w:type="dxa" w:w="5040"/>
            <w:vAlign w:val="center"/>
          </w:tcPr>
          <w:p>
            <w:pPr>
              <w:jc w:val="center"/>
            </w:pPr>
            <w:r/>
            <w:r>
              <w:rPr>
                <w:b w:val="0"/>
                <w:sz w:val="16"/>
              </w:rPr>
              <w:t>cat__PP04D_COD_2001.0</w:t>
            </w:r>
          </w:p>
        </w:tc>
        <w:tc>
          <w:tcPr>
            <w:tcW w:type="dxa" w:w="5040"/>
            <w:vAlign w:val="center"/>
          </w:tcPr>
          <w:p>
            <w:pPr>
              <w:jc w:val="center"/>
            </w:pPr>
            <w:r/>
            <w:r>
              <w:rPr>
                <w:b w:val="0"/>
                <w:sz w:val="16"/>
              </w:rPr>
              <w:t>205.7%</w:t>
            </w:r>
          </w:p>
        </w:tc>
      </w:tr>
      <w:tr>
        <w:tc>
          <w:tcPr>
            <w:tcW w:type="dxa" w:w="5040"/>
            <w:vAlign w:val="center"/>
          </w:tcPr>
          <w:p>
            <w:pPr>
              <w:jc w:val="center"/>
            </w:pPr>
            <w:r/>
            <w:r>
              <w:rPr>
                <w:b w:val="0"/>
                <w:sz w:val="16"/>
              </w:rPr>
              <w:t>cat__PP04D_COD_32113.0</w:t>
            </w:r>
          </w:p>
        </w:tc>
        <w:tc>
          <w:tcPr>
            <w:tcW w:type="dxa" w:w="5040"/>
            <w:vAlign w:val="center"/>
          </w:tcPr>
          <w:p>
            <w:pPr>
              <w:jc w:val="center"/>
            </w:pPr>
            <w:r/>
            <w:r>
              <w:rPr>
                <w:b w:val="0"/>
                <w:sz w:val="16"/>
              </w:rPr>
              <w:t>-65.8%</w:t>
            </w:r>
          </w:p>
        </w:tc>
      </w:tr>
      <w:tr>
        <w:tc>
          <w:tcPr>
            <w:tcW w:type="dxa" w:w="5040"/>
            <w:vAlign w:val="center"/>
          </w:tcPr>
          <w:p>
            <w:pPr>
              <w:jc w:val="center"/>
            </w:pPr>
            <w:r/>
            <w:r>
              <w:rPr>
                <w:b w:val="0"/>
                <w:sz w:val="16"/>
              </w:rPr>
              <w:t>cat__PP04B_COD_4811.0</w:t>
            </w:r>
          </w:p>
        </w:tc>
        <w:tc>
          <w:tcPr>
            <w:tcW w:type="dxa" w:w="5040"/>
            <w:vAlign w:val="center"/>
          </w:tcPr>
          <w:p>
            <w:pPr>
              <w:jc w:val="center"/>
            </w:pPr>
            <w:r/>
            <w:r>
              <w:rPr>
                <w:b w:val="0"/>
                <w:sz w:val="16"/>
              </w:rPr>
              <w:t>-65.2%</w:t>
            </w:r>
          </w:p>
        </w:tc>
      </w:tr>
      <w:tr>
        <w:tc>
          <w:tcPr>
            <w:tcW w:type="dxa" w:w="5040"/>
            <w:vAlign w:val="center"/>
          </w:tcPr>
          <w:p>
            <w:pPr>
              <w:jc w:val="center"/>
            </w:pPr>
            <w:r/>
            <w:r>
              <w:rPr>
                <w:b w:val="0"/>
                <w:sz w:val="16"/>
              </w:rPr>
              <w:t>cat__PP04D_COD_33314.0</w:t>
            </w:r>
          </w:p>
        </w:tc>
        <w:tc>
          <w:tcPr>
            <w:tcW w:type="dxa" w:w="5040"/>
            <w:vAlign w:val="center"/>
          </w:tcPr>
          <w:p>
            <w:pPr>
              <w:jc w:val="center"/>
            </w:pPr>
            <w:r/>
            <w:r>
              <w:rPr>
                <w:b w:val="0"/>
                <w:sz w:val="16"/>
              </w:rPr>
              <w:t>-65.0%</w:t>
            </w:r>
          </w:p>
        </w:tc>
      </w:tr>
      <w:tr>
        <w:tc>
          <w:tcPr>
            <w:tcW w:type="dxa" w:w="5040"/>
            <w:vAlign w:val="center"/>
          </w:tcPr>
          <w:p>
            <w:pPr>
              <w:jc w:val="center"/>
            </w:pPr>
            <w:r/>
            <w:r>
              <w:rPr>
                <w:b w:val="0"/>
                <w:sz w:val="16"/>
              </w:rPr>
              <w:t>cat__PP04D_COD_35113.0</w:t>
            </w:r>
          </w:p>
        </w:tc>
        <w:tc>
          <w:tcPr>
            <w:tcW w:type="dxa" w:w="5040"/>
            <w:vAlign w:val="center"/>
          </w:tcPr>
          <w:p>
            <w:pPr>
              <w:jc w:val="center"/>
            </w:pPr>
            <w:r/>
            <w:r>
              <w:rPr>
                <w:b w:val="0"/>
                <w:sz w:val="16"/>
              </w:rPr>
              <w:t>-63.8%</w:t>
            </w:r>
          </w:p>
        </w:tc>
      </w:tr>
    </w:tbl>
    <w:p>
      <w:pPr>
        <w:jc w:val="both"/>
      </w:pPr>
      <w:r>
        <w:rPr>
          <w:sz w:val="21"/>
        </w:rPr>
        <w:t>La interpretacion de los coeficientes se realiza sobre el logaritmo del ingreso: un coeficiente positivo implica un ingreso esperado mayor, manteniendo constantes las demas variables; uno negativo implica menor ingreso esperado. Entre los efectos mas grandes aparecen categorias de ocupacion y rama, lo que confirma que las caracteristicas del puesto son centrales para explicar diferencias salariales. El uso de Ridge reduce la inestabilidad de los coeficientes cuando hay muchas categorias y algunas tienen pocos casos.</w:t>
      </w:r>
    </w:p>
    <w:p>
      <w:pPr>
        <w:pStyle w:val="Caption"/>
      </w:pPr>
      <w:r>
        <w:t>Tabla 7. Ingresos originales e imputados, 2025T4</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pPr>
              <w:jc w:val="center"/>
            </w:pPr>
            <w:r/>
            <w:r>
              <w:rPr>
                <w:b/>
                <w:sz w:val="16"/>
              </w:rPr>
              <w:t>Aglomerado</w:t>
            </w:r>
          </w:p>
        </w:tc>
        <w:tc>
          <w:tcPr>
            <w:tcW w:type="dxa" w:w="2016"/>
            <w:vAlign w:val="center"/>
            <w:shd w:fill="D9EAF7"/>
          </w:tcPr>
          <w:p>
            <w:pPr>
              <w:jc w:val="center"/>
            </w:pPr>
            <w:r/>
            <w:r>
              <w:rPr>
                <w:b/>
                <w:sz w:val="16"/>
              </w:rPr>
              <w:t>No respuesta P21</w:t>
            </w:r>
          </w:p>
        </w:tc>
        <w:tc>
          <w:tcPr>
            <w:tcW w:type="dxa" w:w="2016"/>
            <w:vAlign w:val="center"/>
            <w:shd w:fill="D9EAF7"/>
          </w:tcPr>
          <w:p>
            <w:pPr>
              <w:jc w:val="center"/>
            </w:pPr>
            <w:r/>
            <w:r>
              <w:rPr>
                <w:b/>
                <w:sz w:val="16"/>
              </w:rPr>
              <w:t>Ocupados</w:t>
            </w:r>
          </w:p>
        </w:tc>
        <w:tc>
          <w:tcPr>
            <w:tcW w:type="dxa" w:w="2016"/>
            <w:vAlign w:val="center"/>
            <w:shd w:fill="D9EAF7"/>
          </w:tcPr>
          <w:p>
            <w:pPr>
              <w:jc w:val="center"/>
            </w:pPr>
            <w:r/>
            <w:r>
              <w:rPr>
                <w:b/>
                <w:sz w:val="16"/>
              </w:rPr>
              <w:t>Mediana original</w:t>
            </w:r>
          </w:p>
        </w:tc>
        <w:tc>
          <w:tcPr>
            <w:tcW w:type="dxa" w:w="2016"/>
            <w:vAlign w:val="center"/>
            <w:shd w:fill="D9EAF7"/>
          </w:tcPr>
          <w:p>
            <w:pPr>
              <w:jc w:val="center"/>
            </w:pPr>
            <w:r/>
            <w:r>
              <w:rPr>
                <w:b/>
                <w:sz w:val="16"/>
              </w:rPr>
              <w:t>Mediana imputada</w:t>
            </w:r>
          </w:p>
        </w:tc>
      </w:tr>
      <w:tr>
        <w:tc>
          <w:tcPr>
            <w:tcW w:type="dxa" w:w="2016"/>
            <w:vAlign w:val="center"/>
          </w:tcPr>
          <w:p>
            <w:pPr>
              <w:jc w:val="center"/>
            </w:pPr>
            <w:r/>
            <w:r>
              <w:rPr>
                <w:b w:val="0"/>
                <w:sz w:val="16"/>
              </w:rPr>
              <w:t>Mar del Plata</w:t>
            </w:r>
          </w:p>
        </w:tc>
        <w:tc>
          <w:tcPr>
            <w:tcW w:type="dxa" w:w="2016"/>
            <w:vAlign w:val="center"/>
          </w:tcPr>
          <w:p>
            <w:pPr>
              <w:jc w:val="center"/>
            </w:pPr>
            <w:r/>
            <w:r>
              <w:rPr>
                <w:b w:val="0"/>
                <w:sz w:val="16"/>
              </w:rPr>
              <w:t>137</w:t>
            </w:r>
          </w:p>
        </w:tc>
        <w:tc>
          <w:tcPr>
            <w:tcW w:type="dxa" w:w="2016"/>
            <w:vAlign w:val="center"/>
          </w:tcPr>
          <w:p>
            <w:pPr>
              <w:jc w:val="center"/>
            </w:pPr>
            <w:r/>
            <w:r>
              <w:rPr>
                <w:b w:val="0"/>
                <w:sz w:val="16"/>
              </w:rPr>
              <w:t>414</w:t>
            </w:r>
          </w:p>
        </w:tc>
        <w:tc>
          <w:tcPr>
            <w:tcW w:type="dxa" w:w="2016"/>
            <w:vAlign w:val="center"/>
          </w:tcPr>
          <w:p>
            <w:pPr>
              <w:jc w:val="center"/>
            </w:pPr>
            <w:r/>
            <w:r>
              <w:rPr>
                <w:b w:val="0"/>
                <w:sz w:val="16"/>
              </w:rPr>
              <w:t>$1.000.000</w:t>
            </w:r>
          </w:p>
        </w:tc>
        <w:tc>
          <w:tcPr>
            <w:tcW w:type="dxa" w:w="2016"/>
            <w:vAlign w:val="center"/>
          </w:tcPr>
          <w:p>
            <w:pPr>
              <w:jc w:val="center"/>
            </w:pPr>
            <w:r/>
            <w:r>
              <w:rPr>
                <w:b w:val="0"/>
                <w:sz w:val="16"/>
              </w:rPr>
              <w:t>$1.000.000</w:t>
            </w:r>
          </w:p>
        </w:tc>
      </w:tr>
      <w:tr>
        <w:tc>
          <w:tcPr>
            <w:tcW w:type="dxa" w:w="2016"/>
            <w:vAlign w:val="center"/>
          </w:tcPr>
          <w:p>
            <w:pPr>
              <w:jc w:val="center"/>
            </w:pPr>
            <w:r/>
            <w:r>
              <w:rPr>
                <w:b w:val="0"/>
                <w:sz w:val="16"/>
              </w:rPr>
              <w:t>Neuquen-Plottier</w:t>
            </w:r>
          </w:p>
        </w:tc>
        <w:tc>
          <w:tcPr>
            <w:tcW w:type="dxa" w:w="2016"/>
            <w:vAlign w:val="center"/>
          </w:tcPr>
          <w:p>
            <w:pPr>
              <w:jc w:val="center"/>
            </w:pPr>
            <w:r/>
            <w:r>
              <w:rPr>
                <w:b w:val="0"/>
                <w:sz w:val="16"/>
              </w:rPr>
              <w:t>104</w:t>
            </w:r>
          </w:p>
        </w:tc>
        <w:tc>
          <w:tcPr>
            <w:tcW w:type="dxa" w:w="2016"/>
            <w:vAlign w:val="center"/>
          </w:tcPr>
          <w:p>
            <w:pPr>
              <w:jc w:val="center"/>
            </w:pPr>
            <w:r/>
            <w:r>
              <w:rPr>
                <w:b w:val="0"/>
                <w:sz w:val="16"/>
              </w:rPr>
              <w:t>470</w:t>
            </w:r>
          </w:p>
        </w:tc>
        <w:tc>
          <w:tcPr>
            <w:tcW w:type="dxa" w:w="2016"/>
            <w:vAlign w:val="center"/>
          </w:tcPr>
          <w:p>
            <w:pPr>
              <w:jc w:val="center"/>
            </w:pPr>
            <w:r/>
            <w:r>
              <w:rPr>
                <w:b w:val="0"/>
                <w:sz w:val="16"/>
              </w:rPr>
              <w:t>$1.300.000</w:t>
            </w:r>
          </w:p>
        </w:tc>
        <w:tc>
          <w:tcPr>
            <w:tcW w:type="dxa" w:w="2016"/>
            <w:vAlign w:val="center"/>
          </w:tcPr>
          <w:p>
            <w:pPr>
              <w:jc w:val="center"/>
            </w:pPr>
            <w:r/>
            <w:r>
              <w:rPr>
                <w:b w:val="0"/>
                <w:sz w:val="16"/>
              </w:rPr>
              <w:t>$1.300.000</w:t>
            </w:r>
          </w:p>
        </w:tc>
      </w:tr>
    </w:tbl>
    <w:p>
      <w:pPr>
        <w:pStyle w:val="Heading1"/>
      </w:pPr>
      <w:r>
        <w:t>8. Conclusiones</w:t>
      </w:r>
    </w:p>
    <w:p>
      <w:pPr>
        <w:jc w:val="both"/>
      </w:pPr>
      <w:r>
        <w:rPr>
          <w:sz w:val="21"/>
        </w:rPr>
        <w:t>La comparacion muestra dos trayectorias laborales diferenciadas. Mar del Plata termina el periodo con mayor actividad y empleo que al inicio, pero tambien con una desocupacion final relativamente alta. Neuquen-Plottier, en cambio, exhibe una fuerte reduccion de la desocupacion y una mejora de la tasa de empleo, aun sin aumento de la tasa de actividad. En ingresos reales, Neuquen-Plottier presenta niveles medianos superiores a Mar del Plata al final del periodo.</w:t>
      </w:r>
    </w:p>
    <w:p>
      <w:pPr>
        <w:jc w:val="both"/>
      </w:pPr>
      <w:r>
        <w:rPr>
          <w:sz w:val="21"/>
        </w:rPr>
        <w:t>El ajuste por inflacion resulta indispensable: sin deflactar, la evolucion nominal de los ingresos seria poco informativa en un periodo de alta inflacion. Las medidas de posicion muestran que las diferencias entre aglomerados no se reducen al promedio, sino que tambien aparecen en la mediana y en percentiles altos. Finalmente, el modelo de imputacion aporta una herramienta estadistica para tratar la no respuesta de ingresos, aunque sus resultados deben interpretarse como aproximaciones y no como sustitutos perfectos del dato observado.</w:t>
      </w:r>
    </w:p>
    <w:p>
      <w:pPr>
        <w:jc w:val="both"/>
      </w:pPr>
      <w:r>
        <w:rPr>
          <w:sz w:val="21"/>
        </w:rPr>
        <w:t>Como limitaciones, el analisis utiliza IPC nacional, por lo que no capta diferencias regionales de precios entre Patagonia y region pampeana. Ademas, la imputacion depende de las variables observadas disponibles en la EPH y no captura factores no relevados que tambien inciden sobre los ingresos. Aun asi, el trabajo permite interpretar la evolucion historica de los principales indicadores laborales y de ingresos para los dos aglomerados seleccionados.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