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Evolucion del mercado laboral e ingresos</w:t>
      </w:r>
    </w:p>
    <w:p>
      <w:r>
        <w:t>Neuquen-Plottier vs Mar del Plata</w:t>
      </w:r>
    </w:p>
    <w:p>
      <w:pPr>
        <w:pStyle w:val="Heading1"/>
      </w:pPr>
      <w:r>
        <w:t>Introduccion</w:t>
      </w:r>
    </w:p>
    <w:p>
      <w:r>
        <w:t>Este documento es una primera version editable del informe. Resume tasas laborales, ingresos reales, analisis por subgrupos y un modelo inicial de imputacion de ingresos.</w:t>
      </w:r>
    </w:p>
    <w:p>
      <w:pPr>
        <w:pStyle w:val="Heading1"/>
      </w:pPr>
      <w:r>
        <w:t>Graficos principales</w:t>
      </w:r>
    </w:p>
    <w:p>
      <w:pPr>
        <w:pStyle w:val="Heading2"/>
      </w:pPr>
      <w:r>
        <w:t>Tasa de actividad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a_activ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Tasa de empleo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a_emple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Tasa de desocupacion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a_desocup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Ingreso mediano real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_mediano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Desocupacion por sexo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ocupacion_por_sex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Empleo por nivel educativo</w:t>
      </w:r>
    </w:p>
    <w:p>
      <w:r>
        <w:drawing>
          <wp:inline xmlns:a="http://schemas.openxmlformats.org/drawingml/2006/main" xmlns:pic="http://schemas.openxmlformats.org/drawingml/2006/picture">
            <wp:extent cx="5669280" cy="2576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eo_por_nivel_educativo_20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Modelo de imputacion</w:t>
      </w:r>
    </w:p>
    <w:p>
      <w:r>
        <w:t>Modelo: Ridge sobre log(P21 real). MAE: 438927; RMSE: 765418; R2 en escala original: 0.358.</w:t>
      </w:r>
    </w:p>
    <w:p>
      <w:pPr>
        <w:pStyle w:val="Heading1"/>
      </w:pPr>
      <w:r>
        <w:t>Tablas de apoyo</w:t>
      </w:r>
    </w:p>
    <w:p>
      <w:r>
        <w:t>Ver archivos CSV en outputs/tables, incluyendo la serie de ingresos imputados.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