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Arial" w:cs="Arial" w:eastAsia="Arial" w:hAnsi="Arial"/>
          <w:b/>
          <w:bCs/>
          <w:color w:val="4A90D9"/>
          <w:sz w:val="96"/>
          <w:szCs w:val="96"/>
        </w:rPr>
        <w:t xml:space="preserve">EDA</w:t>
      </w:r>
    </w:p>
    <w:p>
      <w:pPr>
        <w:spacing w:after="200"/>
        <w:jc w:val="center"/>
      </w:pPr>
      <w:r>
        <w:rPr>
          <w:rFonts w:ascii="Arial" w:cs="Arial" w:eastAsia="Arial" w:hAnsi="Arial"/>
          <w:b/>
          <w:bCs/>
          <w:color w:val="1A1A2E"/>
          <w:sz w:val="64"/>
          <w:szCs w:val="64"/>
        </w:rPr>
        <w:t xml:space="preserve">Steam Store Games</w:t>
      </w:r>
    </w:p>
    <w:p>
      <w:pPr>
        <w:spacing w:after="600"/>
        <w:jc w:val="center"/>
      </w:pPr>
      <w:r>
        <w:rPr>
          <w:rFonts w:ascii="Arial" w:cs="Arial" w:eastAsia="Arial" w:hAnsi="Arial"/>
          <w:i/>
          <w:iCs/>
          <w:color w:val="666666"/>
          <w:sz w:val="32"/>
          <w:szCs w:val="32"/>
        </w:rPr>
        <w:t xml:space="preserve">Análisis Exploratorio de Datos</w:t>
      </w:r>
    </w:p>
    <w:p>
      <w:pPr>
        <w:pBdr>
          <w:bottom w:val="single" w:color="4A90D9" w:sz="12" w:space="1"/>
        </w:pBdr>
        <w:spacing w:after="200"/>
      </w:pPr>
    </w:p>
    <w:p>
      <w:pPr>
        <w:spacing w:after="400"/>
      </w:pPr>
    </w:p>
    <w:p>
      <w:pPr>
        <w:spacing w:after="120"/>
        <w:jc w:val="center"/>
      </w:pPr>
      <w:r>
        <w:rPr>
          <w:rFonts w:ascii="Arial" w:cs="Arial" w:eastAsia="Arial" w:hAnsi="Arial"/>
          <w:b/>
          <w:bCs/>
          <w:color w:val="1A1A2E"/>
          <w:sz w:val="28"/>
          <w:szCs w:val="28"/>
        </w:rPr>
        <w:t xml:space="preserve">Lucas Balaguer</w:t>
      </w:r>
    </w:p>
    <w:p>
      <w:pPr>
        <w:spacing w:after="120"/>
        <w:jc w:val="center"/>
      </w:pPr>
      <w:r>
        <w:rPr>
          <w:rFonts w:ascii="Arial" w:cs="Arial" w:eastAsia="Arial" w:hAnsi="Arial"/>
          <w:color w:val="666666"/>
          <w:sz w:val="24"/>
          <w:szCs w:val="24"/>
        </w:rPr>
        <w:t xml:space="preserve">Data Analyst</w:t>
      </w:r>
    </w:p>
    <w:p>
      <w:pPr>
        <w:spacing w:after="600"/>
        <w:jc w:val="center"/>
      </w:pPr>
      <w:r>
        <w:rPr>
          <w:rFonts w:ascii="Arial" w:cs="Arial" w:eastAsia="Arial" w:hAnsi="Arial"/>
          <w:color w:val="666666"/>
          <w:sz w:val="22"/>
          <w:szCs w:val="22"/>
        </w:rPr>
        <w:t xml:space="preserve">Abril 2026</w:t>
      </w:r>
    </w:p>
    <w:p>
      <w:pPr>
        <w:spacing w:after="400"/>
      </w:pPr>
    </w:p>
    <w:p>
      <w:pPr>
        <w:jc w:val="center"/>
      </w:pPr>
      <w:r>
        <w:rPr>
          <w:rFonts w:ascii="Arial" w:cs="Arial" w:eastAsia="Arial" w:hAnsi="Arial"/>
          <w:i/>
          <w:iCs/>
          <w:color w:val="666666"/>
          <w:sz w:val="20"/>
          <w:szCs w:val="20"/>
        </w:rPr>
        <w:t xml:space="preserve">Herramientas: Python · Pandas · Matplotlib · Seaborn · Looker Studio</w:t>
      </w:r>
    </w:p>
    <w:p>
      <w:pPr>
        <w:jc w:val="center"/>
      </w:pPr>
      <w:r>
        <w:rPr>
          <w:rFonts w:ascii="Arial" w:cs="Arial" w:eastAsia="Arial" w:hAnsi="Arial"/>
          <w:i/>
          <w:iCs/>
          <w:color w:val="666666"/>
          <w:sz w:val="20"/>
          <w:szCs w:val="20"/>
        </w:rPr>
        <w:t xml:space="preserve">Fuente: Kaggle - Steam Store Games (2019)</w:t>
      </w:r>
    </w:p>
    <w:p>
      <w:r>
        <w:br w:type="page"/>
      </w:r>
    </w:p>
    <w:p>
      <w:pPr>
        <w:pStyle w:val="Heading1"/>
        <w:spacing w:after="160" w:before="400"/>
      </w:pPr>
      <w:r>
        <w:rPr>
          <w:rFonts w:ascii="Arial" w:cs="Arial" w:eastAsia="Arial" w:hAnsi="Arial"/>
          <w:b/>
          <w:bCs/>
          <w:color w:val="2C5F8A"/>
          <w:sz w:val="32"/>
          <w:szCs w:val="32"/>
        </w:rPr>
        <w:t xml:space="preserve">1. Introducción</w:t>
      </w:r>
    </w:p>
    <w:p>
      <w:pPr>
        <w:pBdr>
          <w:bottom w:val="single" w:color="4A90D9" w:sz="12" w:space="1"/>
        </w:pBdr>
        <w:spacing w:after="200"/>
      </w:pPr>
    </w:p>
    <w:p>
      <w:pPr>
        <w:spacing w:after="160"/>
        <w:jc w:val="both"/>
      </w:pPr>
      <w:r>
        <w:rPr>
          <w:rFonts w:ascii="Arial" w:cs="Arial" w:eastAsia="Arial" w:hAnsi="Arial"/>
          <w:color w:val="333333"/>
          <w:sz w:val="22"/>
          <w:szCs w:val="22"/>
        </w:rPr>
        <w:t xml:space="preserve">Steam es la plataforma de distribución de videojuegos para PC más grande del mundo, con más de 50.000 juegos disponibles y millones de usuarios activos en todo el planeta. Su modelo abierto, que permite a cualquier desarrollador publicar su juego, ha transformado radicalmente la industria del videojuego en la última década.</w:t>
      </w:r>
    </w:p>
    <w:p>
      <w:pPr>
        <w:spacing w:after="160"/>
        <w:jc w:val="both"/>
      </w:pPr>
      <w:r>
        <w:rPr>
          <w:rFonts w:ascii="Arial" w:cs="Arial" w:eastAsia="Arial" w:hAnsi="Arial"/>
          <w:color w:val="333333"/>
          <w:sz w:val="22"/>
          <w:szCs w:val="22"/>
        </w:rPr>
        <w:t xml:space="preserve">Este proyecto realiza un Análisis Exploratorio de Datos (EDA) sobre el catálogo de Steam con el objetivo de identificar tendencias de mercado y factores que influyen en el éxito de un videojuego. El análisis parte de preguntas de negocio concretas definidas antes de explorar los datos, siguiendo una metodología profesional orientada a la toma de decisiones.</w:t>
      </w:r>
    </w:p>
    <w:p>
      <w:pPr>
        <w:spacing w:after="200"/>
      </w:pPr>
    </w:p>
    <w:p>
      <w:pPr>
        <w:pStyle w:val="Heading2"/>
        <w:spacing w:after="120" w:before="300"/>
      </w:pPr>
      <w:r>
        <w:rPr>
          <w:rFonts w:ascii="Arial" w:cs="Arial" w:eastAsia="Arial" w:hAnsi="Arial"/>
          <w:b/>
          <w:bCs/>
          <w:color w:val="4A90D9"/>
          <w:sz w:val="26"/>
          <w:szCs w:val="26"/>
        </w:rPr>
        <w:t xml:space="preserve">Dataset</w:t>
      </w:r>
    </w:p>
    <w:p>
      <w:pPr>
        <w:spacing w:after="100"/>
      </w:pPr>
      <w:r>
        <w:rPr>
          <w:rFonts w:ascii="Arial" w:cs="Arial" w:eastAsia="Arial" w:hAnsi="Arial"/>
          <w:b/>
          <w:bCs/>
          <w:color w:val="1A1A2E"/>
          <w:sz w:val="22"/>
          <w:szCs w:val="22"/>
        </w:rPr>
        <w:t xml:space="preserve">Fuente: </w:t>
      </w:r>
      <w:r>
        <w:rPr>
          <w:rFonts w:ascii="Arial" w:cs="Arial" w:eastAsia="Arial" w:hAnsi="Arial"/>
          <w:color w:val="333333"/>
          <w:sz w:val="22"/>
          <w:szCs w:val="22"/>
        </w:rPr>
        <w:t xml:space="preserve">Kaggle - Steam Store Games (SteamSpy API + Steam Store API)</w:t>
      </w:r>
    </w:p>
    <w:p>
      <w:pPr>
        <w:spacing w:after="100"/>
      </w:pPr>
      <w:r>
        <w:rPr>
          <w:rFonts w:ascii="Arial" w:cs="Arial" w:eastAsia="Arial" w:hAnsi="Arial"/>
          <w:b/>
          <w:bCs/>
          <w:color w:val="1A1A2E"/>
          <w:sz w:val="22"/>
          <w:szCs w:val="22"/>
        </w:rPr>
        <w:t xml:space="preserve">Fecha de extracción: </w:t>
      </w:r>
      <w:r>
        <w:rPr>
          <w:rFonts w:ascii="Arial" w:cs="Arial" w:eastAsia="Arial" w:hAnsi="Arial"/>
          <w:color w:val="333333"/>
          <w:sz w:val="22"/>
          <w:szCs w:val="22"/>
        </w:rPr>
        <w:t xml:space="preserve">Mayo 2019</w:t>
      </w:r>
    </w:p>
    <w:p>
      <w:pPr>
        <w:spacing w:after="100"/>
      </w:pPr>
      <w:r>
        <w:rPr>
          <w:rFonts w:ascii="Arial" w:cs="Arial" w:eastAsia="Arial" w:hAnsi="Arial"/>
          <w:b/>
          <w:bCs/>
          <w:color w:val="1A1A2E"/>
          <w:sz w:val="22"/>
          <w:szCs w:val="22"/>
        </w:rPr>
        <w:t xml:space="preserve">Total de registros: </w:t>
      </w:r>
      <w:r>
        <w:rPr>
          <w:rFonts w:ascii="Arial" w:cs="Arial" w:eastAsia="Arial" w:hAnsi="Arial"/>
          <w:color w:val="333333"/>
          <w:sz w:val="22"/>
          <w:szCs w:val="22"/>
        </w:rPr>
        <w:t xml:space="preserve">27.075 juegos</w:t>
      </w:r>
    </w:p>
    <w:p>
      <w:pPr>
        <w:spacing w:after="100"/>
      </w:pPr>
      <w:r>
        <w:rPr>
          <w:rFonts w:ascii="Arial" w:cs="Arial" w:eastAsia="Arial" w:hAnsi="Arial"/>
          <w:b/>
          <w:bCs/>
          <w:color w:val="1A1A2E"/>
          <w:sz w:val="22"/>
          <w:szCs w:val="22"/>
        </w:rPr>
        <w:t xml:space="preserve">Variables analizadas: </w:t>
      </w:r>
      <w:r>
        <w:rPr>
          <w:rFonts w:ascii="Arial" w:cs="Arial" w:eastAsia="Arial" w:hAnsi="Arial"/>
          <w:color w:val="333333"/>
          <w:sz w:val="22"/>
          <w:szCs w:val="22"/>
        </w:rPr>
        <w:t xml:space="preserve">18 columnas originales + 3 creadas durante la limpieza</w:t>
      </w:r>
    </w:p>
    <w:p>
      <w:pPr>
        <w:spacing w:after="200"/>
      </w:pPr>
    </w:p>
    <w:p>
      <w:pPr>
        <w:pStyle w:val="Heading2"/>
        <w:spacing w:after="120" w:before="300"/>
      </w:pPr>
      <w:r>
        <w:rPr>
          <w:rFonts w:ascii="Arial" w:cs="Arial" w:eastAsia="Arial" w:hAnsi="Arial"/>
          <w:b/>
          <w:bCs/>
          <w:color w:val="4A90D9"/>
          <w:sz w:val="26"/>
          <w:szCs w:val="26"/>
        </w:rPr>
        <w:t xml:space="preserve">Preguntas de negocio</w:t>
      </w:r>
    </w:p>
    <w:p>
      <w:pPr>
        <w:pStyle w:val="ListParagraph"/>
        <w:numPr>
          <w:ilvl w:val="0"/>
          <w:numId w:val="2"/>
        </w:numPr>
        <w:spacing w:after="80"/>
      </w:pPr>
      <w:r>
        <w:rPr>
          <w:rFonts w:ascii="Arial" w:cs="Arial" w:eastAsia="Arial" w:hAnsi="Arial"/>
          <w:color w:val="333333"/>
          <w:sz w:val="22"/>
          <w:szCs w:val="22"/>
        </w:rPr>
        <w:t xml:space="preserve">¿Cómo ha evolucionado la cantidad de juegos publicados por año?</w:t>
      </w:r>
    </w:p>
    <w:p>
      <w:pPr>
        <w:pStyle w:val="ListParagraph"/>
        <w:numPr>
          <w:ilvl w:val="0"/>
          <w:numId w:val="2"/>
        </w:numPr>
        <w:spacing w:after="80"/>
      </w:pPr>
      <w:r>
        <w:rPr>
          <w:rFonts w:ascii="Arial" w:cs="Arial" w:eastAsia="Arial" w:hAnsi="Arial"/>
          <w:color w:val="333333"/>
          <w:sz w:val="22"/>
          <w:szCs w:val="22"/>
        </w:rPr>
        <w:t xml:space="preserve">¿Qué géneros dominan el mercado y cuáles tienen mejor valoración?</w:t>
      </w:r>
    </w:p>
    <w:p>
      <w:pPr>
        <w:pStyle w:val="ListParagraph"/>
        <w:numPr>
          <w:ilvl w:val="0"/>
          <w:numId w:val="2"/>
        </w:numPr>
        <w:spacing w:after="80"/>
      </w:pPr>
      <w:r>
        <w:rPr>
          <w:rFonts w:ascii="Arial" w:cs="Arial" w:eastAsia="Arial" w:hAnsi="Arial"/>
          <w:color w:val="333333"/>
          <w:sz w:val="22"/>
          <w:szCs w:val="22"/>
        </w:rPr>
        <w:t xml:space="preserve">¿Existe relación entre el precio de un juego y su valoración?</w:t>
      </w:r>
    </w:p>
    <w:p>
      <w:pPr>
        <w:pStyle w:val="ListParagraph"/>
        <w:numPr>
          <w:ilvl w:val="0"/>
          <w:numId w:val="2"/>
        </w:numPr>
        <w:spacing w:after="80"/>
      </w:pPr>
      <w:r>
        <w:rPr>
          <w:rFonts w:ascii="Arial" w:cs="Arial" w:eastAsia="Arial" w:hAnsi="Arial"/>
          <w:color w:val="333333"/>
          <w:sz w:val="22"/>
          <w:szCs w:val="22"/>
        </w:rPr>
        <w:t xml:space="preserve">¿Qué desarrolladores tienen mejor ratio calidad-precio?</w:t>
      </w:r>
    </w:p>
    <w:p>
      <w:pPr>
        <w:pStyle w:val="ListParagraph"/>
        <w:numPr>
          <w:ilvl w:val="0"/>
          <w:numId w:val="2"/>
        </w:numPr>
        <w:spacing w:after="80"/>
      </w:pPr>
      <w:r>
        <w:rPr>
          <w:rFonts w:ascii="Arial" w:cs="Arial" w:eastAsia="Arial" w:hAnsi="Arial"/>
          <w:color w:val="333333"/>
          <w:sz w:val="22"/>
          <w:szCs w:val="22"/>
        </w:rPr>
        <w:t xml:space="preserve">¿Los juegos gratuitos tienen peor valoración que los de pago?</w:t>
      </w:r>
    </w:p>
    <w:p>
      <w:r>
        <w:br w:type="page"/>
      </w:r>
    </w:p>
    <w:p>
      <w:pPr>
        <w:pStyle w:val="Heading1"/>
        <w:spacing w:after="160" w:before="400"/>
      </w:pPr>
      <w:r>
        <w:rPr>
          <w:rFonts w:ascii="Arial" w:cs="Arial" w:eastAsia="Arial" w:hAnsi="Arial"/>
          <w:b/>
          <w:bCs/>
          <w:color w:val="2C5F8A"/>
          <w:sz w:val="32"/>
          <w:szCs w:val="32"/>
        </w:rPr>
        <w:t xml:space="preserve">2. Metodología y Limpieza de Datos</w:t>
      </w:r>
    </w:p>
    <w:p>
      <w:pPr>
        <w:pBdr>
          <w:bottom w:val="single" w:color="4A90D9" w:sz="12" w:space="1"/>
        </w:pBdr>
        <w:spacing w:after="200"/>
      </w:pPr>
    </w:p>
    <w:p>
      <w:pPr>
        <w:spacing w:after="160"/>
        <w:jc w:val="both"/>
      </w:pPr>
      <w:r>
        <w:rPr>
          <w:rFonts w:ascii="Arial" w:cs="Arial" w:eastAsia="Arial" w:hAnsi="Arial"/>
          <w:color w:val="333333"/>
          <w:sz w:val="22"/>
          <w:szCs w:val="22"/>
        </w:rPr>
        <w:t xml:space="preserve">El proceso de análisis siguió un flujo estándar de ciencia de datos: carga de datos, exploración inicial, limpieza, análisis por pregunta de negocio y visualización de resultados.</w:t>
      </w:r>
    </w:p>
    <w:p>
      <w:pPr>
        <w:pStyle w:val="Heading2"/>
        <w:spacing w:after="120" w:before="300"/>
      </w:pPr>
      <w:r>
        <w:rPr>
          <w:rFonts w:ascii="Arial" w:cs="Arial" w:eastAsia="Arial" w:hAnsi="Arial"/>
          <w:b/>
          <w:bCs/>
          <w:color w:val="4A90D9"/>
          <w:sz w:val="26"/>
          <w:szCs w:val="26"/>
        </w:rPr>
        <w:t xml:space="preserve">Transformaciones aplicadas</w:t>
      </w:r>
    </w:p>
    <w:p>
      <w:pPr>
        <w:pStyle w:val="ListParagraph"/>
        <w:numPr>
          <w:ilvl w:val="0"/>
          <w:numId w:val="2"/>
        </w:numPr>
        <w:spacing w:after="80"/>
      </w:pPr>
      <w:r>
        <w:rPr>
          <w:rFonts w:ascii="Arial" w:cs="Arial" w:eastAsia="Arial" w:hAnsi="Arial"/>
          <w:color w:val="333333"/>
          <w:sz w:val="22"/>
          <w:szCs w:val="22"/>
        </w:rPr>
        <w:t xml:space="preserve">Conversión de release_date de texto a formato datetime para permitir operaciones temporales.</w:t>
      </w:r>
    </w:p>
    <w:p>
      <w:pPr>
        <w:pStyle w:val="ListParagraph"/>
        <w:numPr>
          <w:ilvl w:val="0"/>
          <w:numId w:val="2"/>
        </w:numPr>
        <w:spacing w:after="80"/>
      </w:pPr>
      <w:r>
        <w:rPr>
          <w:rFonts w:ascii="Arial" w:cs="Arial" w:eastAsia="Arial" w:hAnsi="Arial"/>
          <w:color w:val="333333"/>
          <w:sz w:val="22"/>
          <w:szCs w:val="22"/>
        </w:rPr>
        <w:t xml:space="preserve">Extracción del año de lanzamiento en una nueva columna release_year.</w:t>
      </w:r>
    </w:p>
    <w:p>
      <w:pPr>
        <w:pStyle w:val="ListParagraph"/>
        <w:numPr>
          <w:ilvl w:val="0"/>
          <w:numId w:val="2"/>
        </w:numPr>
        <w:spacing w:after="80"/>
      </w:pPr>
      <w:r>
        <w:rPr>
          <w:rFonts w:ascii="Arial" w:cs="Arial" w:eastAsia="Arial" w:hAnsi="Arial"/>
          <w:color w:val="333333"/>
          <w:sz w:val="22"/>
          <w:szCs w:val="22"/>
        </w:rPr>
        <w:t xml:space="preserve">Transformación de la columna owners (rango de texto) al valor medio numérico owners_mean.</w:t>
      </w:r>
    </w:p>
    <w:p>
      <w:pPr>
        <w:pStyle w:val="ListParagraph"/>
        <w:numPr>
          <w:ilvl w:val="0"/>
          <w:numId w:val="2"/>
        </w:numPr>
        <w:spacing w:after="80"/>
      </w:pPr>
      <w:r>
        <w:rPr>
          <w:rFonts w:ascii="Arial" w:cs="Arial" w:eastAsia="Arial" w:hAnsi="Arial"/>
          <w:color w:val="333333"/>
          <w:sz w:val="22"/>
          <w:szCs w:val="22"/>
        </w:rPr>
        <w:t xml:space="preserve">Creación de la métrica positive_ratio: porcentaje de valoraciones positivas sobre el total.</w:t>
      </w:r>
    </w:p>
    <w:p>
      <w:pPr>
        <w:pStyle w:val="ListParagraph"/>
        <w:numPr>
          <w:ilvl w:val="0"/>
          <w:numId w:val="2"/>
        </w:numPr>
        <w:spacing w:after="80"/>
      </w:pPr>
      <w:r>
        <w:rPr>
          <w:rFonts w:ascii="Arial" w:cs="Arial" w:eastAsia="Arial" w:hAnsi="Arial"/>
          <w:color w:val="333333"/>
          <w:sz w:val="22"/>
          <w:szCs w:val="22"/>
        </w:rPr>
        <w:t xml:space="preserve">Creación de la columna tipo_precio para clasificar juegos como gratuitos o de pago.</w:t>
      </w:r>
    </w:p>
    <w:p>
      <w:pPr>
        <w:spacing w:after="200"/>
      </w:pPr>
    </w:p>
    <w:p>
      <w:pPr>
        <w:pStyle w:val="Heading2"/>
        <w:spacing w:after="120" w:before="300"/>
      </w:pPr>
      <w:r>
        <w:rPr>
          <w:rFonts w:ascii="Arial" w:cs="Arial" w:eastAsia="Arial" w:hAnsi="Arial"/>
          <w:b/>
          <w:bCs/>
          <w:color w:val="4A90D9"/>
          <w:sz w:val="26"/>
          <w:szCs w:val="26"/>
        </w:rPr>
        <w:t xml:space="preserve">Calidad de los datos</w:t>
      </w:r>
    </w:p>
    <w:p>
      <w:pPr>
        <w:spacing w:after="160"/>
        <w:jc w:val="both"/>
      </w:pPr>
      <w:r>
        <w:rPr>
          <w:rFonts w:ascii="Arial" w:cs="Arial" w:eastAsia="Arial" w:hAnsi="Arial"/>
          <w:color w:val="333333"/>
          <w:sz w:val="22"/>
          <w:szCs w:val="22"/>
        </w:rPr>
        <w:t xml:space="preserve">El dataset presentó una calidad muy alta. Solo se encontraron 15 valores nulos en total (1 en developer y 14 en publisher), que se mantuvieron sin imputar al no afectar al análisis principal. Se aplicaron filtros específicos en cada pregunta de negocio para eliminar valores atípicos cuando fue necesario.</w:t>
      </w:r>
    </w:p>
    <w:p>
      <w:r>
        <w:br w:type="page"/>
      </w:r>
    </w:p>
    <w:p>
      <w:pPr>
        <w:pStyle w:val="Heading1"/>
        <w:spacing w:after="160" w:before="400"/>
      </w:pPr>
      <w:r>
        <w:rPr>
          <w:rFonts w:ascii="Arial" w:cs="Arial" w:eastAsia="Arial" w:hAnsi="Arial"/>
          <w:b/>
          <w:bCs/>
          <w:color w:val="2C5F8A"/>
          <w:sz w:val="32"/>
          <w:szCs w:val="32"/>
        </w:rPr>
        <w:t xml:space="preserve">3. Evolución del Catálogo por Año</w:t>
      </w:r>
    </w:p>
    <w:p>
      <w:pPr>
        <w:pBdr>
          <w:bottom w:val="single" w:color="4A90D9" w:sz="12" w:space="1"/>
        </w:pBdr>
        <w:spacing w:after="200"/>
      </w:pPr>
    </w:p>
    <w:p>
      <w:pPr>
        <w:spacing w:after="160"/>
        <w:jc w:val="both"/>
      </w:pPr>
      <w:r>
        <w:rPr>
          <w:rFonts w:ascii="Arial" w:cs="Arial" w:eastAsia="Arial" w:hAnsi="Arial"/>
          <w:color w:val="333333"/>
          <w:sz w:val="22"/>
          <w:szCs w:val="22"/>
        </w:rPr>
        <w:t xml:space="preserve">El primer análisis estudia cómo ha evolucionado el número de juegos publicados en Steam a lo largo del tiempo. Se filtraron los datos entre 2006 y 2018, excluyendo años anteriores (juegos retroactivos) y 2019 (dataset incompleto, extraído en mayo).</w:t>
      </w:r>
    </w:p>
    <w:p>
      <w:pPr>
        <w:spacing w:after="200" w:before="160"/>
        <w:jc w:val="center"/>
      </w:pPr>
      <w:r>
        <w:drawing>
          <wp:inline distT="0" distB="0" distL="0" distR="0">
            <wp:extent cx="5524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476500"/>
                    </a:xfrm>
                    <a:prstGeom prst="rect">
                      <a:avLst/>
                    </a:prstGeom>
                  </pic:spPr>
                </pic:pic>
              </a:graphicData>
            </a:graphic>
          </wp:inline>
        </w:drawing>
      </w:r>
    </w:p>
    <w:p>
      <w:pPr>
        <w:pStyle w:val="Heading2"/>
        <w:spacing w:after="120" w:before="300"/>
      </w:pPr>
      <w:r>
        <w:rPr>
          <w:rFonts w:ascii="Arial" w:cs="Arial" w:eastAsia="Arial" w:hAnsi="Arial"/>
          <w:b/>
          <w:bCs/>
          <w:color w:val="4A90D9"/>
          <w:sz w:val="26"/>
          <w:szCs w:val="26"/>
        </w:rPr>
        <w:t xml:space="preserve">Conclusiones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A90D9" w:sz="6"/>
              <w:bottom w:val="none"/>
              <w:right w:val="none"/>
            </w:tcBorders>
            <w:shd w:fill="EEF4FB" w:val="clear"/>
            <w:tcMar>
              <w:top w:type="dxa" w:w="80"/>
              <w:left w:type="dxa" w:w="200"/>
              <w:bottom w:type="dxa" w:w="80"/>
              <w:right w:type="dxa" w:w="120"/>
            </w:tcMar>
          </w:tcPr>
          <w:p>
            <w:pPr>
              <w:spacing w:after="60"/>
            </w:pPr>
            <w:r>
              <w:rPr>
                <w:rFonts w:ascii="Arial" w:cs="Arial" w:eastAsia="Arial" w:hAnsi="Arial"/>
                <w:color w:val="333333"/>
                <w:sz w:val="21"/>
                <w:szCs w:val="21"/>
              </w:rPr>
              <w:t xml:space="preserve">El catálogo creció de forma moderada entre 2006 y 2013, con menos de 500 juegos por año.</w:t>
            </w:r>
          </w:p>
        </w:tc>
      </w:tr>
      <w:tr>
        <w:tc>
          <w:tcPr>
            <w:tcW w:type="dxa" w:w="9026"/>
            <w:tcBorders>
              <w:top w:val="none"/>
              <w:left w:val="single" w:color="4A90D9" w:sz="6"/>
              <w:bottom w:val="none"/>
              <w:right w:val="none"/>
            </w:tcBorders>
            <w:shd w:fill="EEF4FB" w:val="clear"/>
            <w:tcMar>
              <w:top w:type="dxa" w:w="80"/>
              <w:left w:type="dxa" w:w="200"/>
              <w:bottom w:type="dxa" w:w="80"/>
              <w:right w:type="dxa" w:w="120"/>
            </w:tcMar>
          </w:tcPr>
          <w:p>
            <w:pPr>
              <w:spacing w:after="60"/>
            </w:pPr>
            <w:r>
              <w:rPr>
                <w:rFonts w:ascii="Arial" w:cs="Arial" w:eastAsia="Arial" w:hAnsi="Arial"/>
                <w:color w:val="333333"/>
                <w:sz w:val="21"/>
                <w:szCs w:val="21"/>
              </w:rPr>
              <w:t xml:space="preserve">A partir de 2014 el crecimiento se disparó, coincidiendo con Steam Greenlight (2012), que democratizó la publicación independiente.</w:t>
            </w:r>
          </w:p>
        </w:tc>
      </w:tr>
      <w:tr>
        <w:tc>
          <w:tcPr>
            <w:tcW w:type="dxa" w:w="9026"/>
            <w:tcBorders>
              <w:top w:val="none"/>
              <w:left w:val="single" w:color="4A90D9" w:sz="6"/>
              <w:bottom w:val="none"/>
              <w:right w:val="none"/>
            </w:tcBorders>
            <w:shd w:fill="EEF4FB" w:val="clear"/>
            <w:tcMar>
              <w:top w:type="dxa" w:w="80"/>
              <w:left w:type="dxa" w:w="200"/>
              <w:bottom w:type="dxa" w:w="80"/>
              <w:right w:type="dxa" w:w="120"/>
            </w:tcMar>
          </w:tcPr>
          <w:p>
            <w:pPr>
              <w:spacing w:after="60"/>
            </w:pPr>
            <w:r>
              <w:rPr>
                <w:rFonts w:ascii="Arial" w:cs="Arial" w:eastAsia="Arial" w:hAnsi="Arial"/>
                <w:color w:val="333333"/>
                <w:sz w:val="21"/>
                <w:szCs w:val="21"/>
              </w:rPr>
              <w:t xml:space="preserve">En 2018 se publicaron más de 8.000 juegos, el máximo histórico del dataset.</w:t>
            </w:r>
          </w:p>
        </w:tc>
      </w:tr>
      <w:tr>
        <w:tc>
          <w:tcPr>
            <w:tcW w:type="dxa" w:w="9026"/>
            <w:tcBorders>
              <w:top w:val="none"/>
              <w:left w:val="single" w:color="4A90D9" w:sz="6"/>
              <w:bottom w:val="none"/>
              <w:right w:val="none"/>
            </w:tcBorders>
            <w:shd w:fill="EEF4FB" w:val="clear"/>
            <w:tcMar>
              <w:top w:type="dxa" w:w="80"/>
              <w:left w:type="dxa" w:w="200"/>
              <w:bottom w:type="dxa" w:w="80"/>
              <w:right w:type="dxa" w:w="120"/>
            </w:tcMar>
          </w:tcPr>
          <w:p>
            <w:pPr>
              <w:spacing w:after="60"/>
            </w:pPr>
            <w:r>
              <w:rPr>
                <w:rFonts w:ascii="Arial" w:cs="Arial" w:eastAsia="Arial" w:hAnsi="Arial"/>
                <w:color w:val="333333"/>
                <w:sz w:val="21"/>
                <w:szCs w:val="21"/>
              </w:rPr>
              <w:t xml:space="preserve">El mercado indie transformó completamente el volumen de publicaciones en Steam.</w:t>
            </w:r>
          </w:p>
        </w:tc>
      </w:tr>
    </w:tbl>
    <w:p>
      <w:r>
        <w:br w:type="page"/>
      </w:r>
    </w:p>
    <w:p>
      <w:pPr>
        <w:pStyle w:val="Heading1"/>
        <w:spacing w:after="160" w:before="400"/>
      </w:pPr>
      <w:r>
        <w:rPr>
          <w:rFonts w:ascii="Arial" w:cs="Arial" w:eastAsia="Arial" w:hAnsi="Arial"/>
          <w:b/>
          <w:bCs/>
          <w:color w:val="2C5F8A"/>
          <w:sz w:val="32"/>
          <w:szCs w:val="32"/>
        </w:rPr>
        <w:t xml:space="preserve">4. Géneros: Dominio de Mercado y Valoración</w:t>
      </w:r>
    </w:p>
    <w:p>
      <w:pPr>
        <w:pBdr>
          <w:bottom w:val="single" w:color="4A90D9" w:sz="12" w:space="1"/>
        </w:pBdr>
        <w:spacing w:after="200"/>
      </w:pPr>
    </w:p>
    <w:p>
      <w:pPr>
        <w:spacing w:after="160"/>
        <w:jc w:val="both"/>
      </w:pPr>
      <w:r>
        <w:rPr>
          <w:rFonts w:ascii="Arial" w:cs="Arial" w:eastAsia="Arial" w:hAnsi="Arial"/>
          <w:color w:val="333333"/>
          <w:sz w:val="22"/>
          <w:szCs w:val="22"/>
        </w:rPr>
        <w:t xml:space="preserve">Se analizaron los géneros desde dos perspectivas: la cantidad de juegos publicados (dominio de mercado) y la valoración media de los jugadores. Para el análisis se separaron los géneros combinados y se excluyeron etiquetas no representativas como Indie, Early Access o Free to Play.</w:t>
      </w:r>
    </w:p>
    <w:p>
      <w:pPr>
        <w:pStyle w:val="Heading2"/>
        <w:spacing w:after="120" w:before="300"/>
      </w:pPr>
      <w:r>
        <w:rPr>
          <w:rFonts w:ascii="Arial" w:cs="Arial" w:eastAsia="Arial" w:hAnsi="Arial"/>
          <w:b/>
          <w:bCs/>
          <w:color w:val="4A90D9"/>
          <w:sz w:val="26"/>
          <w:szCs w:val="26"/>
        </w:rPr>
        <w:t xml:space="preserve">4.1 Géneros con más juegos</w:t>
      </w:r>
    </w:p>
    <w:p>
      <w:pPr>
        <w:spacing w:after="200" w:before="16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857500"/>
                    </a:xfrm>
                    <a:prstGeom prst="rect">
                      <a:avLst/>
                    </a:prstGeom>
                  </pic:spPr>
                </pic:pic>
              </a:graphicData>
            </a:graphic>
          </wp:inline>
        </w:drawing>
      </w:r>
    </w:p>
    <w:p>
      <w:pPr>
        <w:pStyle w:val="Heading2"/>
        <w:spacing w:after="120" w:before="300"/>
      </w:pPr>
      <w:r>
        <w:rPr>
          <w:rFonts w:ascii="Arial" w:cs="Arial" w:eastAsia="Arial" w:hAnsi="Arial"/>
          <w:b/>
          <w:bCs/>
          <w:color w:val="4A90D9"/>
          <w:sz w:val="26"/>
          <w:szCs w:val="26"/>
        </w:rPr>
        <w:t xml:space="preserve">4.2 Valoración media por género</w:t>
      </w:r>
    </w:p>
    <w:p>
      <w:pPr>
        <w:spacing w:after="200" w:before="16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57500"/>
                    </a:xfrm>
                    <a:prstGeom prst="rect">
                      <a:avLst/>
                    </a:prstGeom>
                  </pic:spPr>
                </pic:pic>
              </a:graphicData>
            </a:graphic>
          </wp:inline>
        </w:drawing>
      </w:r>
    </w:p>
    <w:p>
      <w:pPr>
        <w:pStyle w:val="Heading2"/>
        <w:spacing w:after="120" w:before="300"/>
      </w:pPr>
      <w:r>
        <w:rPr>
          <w:rFonts w:ascii="Arial" w:cs="Arial" w:eastAsia="Arial" w:hAnsi="Arial"/>
          <w:b/>
          <w:bCs/>
          <w:color w:val="4A90D9"/>
          <w:sz w:val="26"/>
          <w:szCs w:val="26"/>
        </w:rPr>
        <w:t xml:space="preserve">Conclusiones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A90D9" w:sz="6"/>
              <w:bottom w:val="none"/>
              <w:right w:val="none"/>
            </w:tcBorders>
            <w:shd w:fill="EEF4FB" w:val="clear"/>
            <w:tcMar>
              <w:top w:type="dxa" w:w="80"/>
              <w:left w:type="dxa" w:w="200"/>
              <w:bottom w:type="dxa" w:w="80"/>
              <w:right w:type="dxa" w:w="120"/>
            </w:tcMar>
          </w:tcPr>
          <w:p>
            <w:pPr>
              <w:spacing w:after="60"/>
            </w:pPr>
            <w:r>
              <w:rPr>
                <w:rFonts w:ascii="Arial" w:cs="Arial" w:eastAsia="Arial" w:hAnsi="Arial"/>
                <w:color w:val="333333"/>
                <w:sz w:val="21"/>
                <w:szCs w:val="21"/>
              </w:rPr>
              <w:t xml:space="preserve">Action domina el mercado con casi 12.000 juegos, seguido de Casual y Adventure muy igualados.</w:t>
            </w:r>
          </w:p>
        </w:tc>
      </w:tr>
      <w:tr>
        <w:tc>
          <w:tcPr>
            <w:tcW w:type="dxa" w:w="9026"/>
            <w:tcBorders>
              <w:top w:val="none"/>
              <w:left w:val="single" w:color="4A90D9" w:sz="6"/>
              <w:bottom w:val="none"/>
              <w:right w:val="none"/>
            </w:tcBorders>
            <w:shd w:fill="EEF4FB" w:val="clear"/>
            <w:tcMar>
              <w:top w:type="dxa" w:w="80"/>
              <w:left w:type="dxa" w:w="200"/>
              <w:bottom w:type="dxa" w:w="80"/>
              <w:right w:type="dxa" w:w="120"/>
            </w:tcMar>
          </w:tcPr>
          <w:p>
            <w:pPr>
              <w:spacing w:after="60"/>
            </w:pPr>
            <w:r>
              <w:rPr>
                <w:rFonts w:ascii="Arial" w:cs="Arial" w:eastAsia="Arial" w:hAnsi="Arial"/>
                <w:color w:val="333333"/>
                <w:sz w:val="21"/>
                <w:szCs w:val="21"/>
              </w:rPr>
              <w:t xml:space="preserve">RPG lidera en valoración media con un 71.6%, seguido de Adventure (71.4%) y Casual (71.1%).</w:t>
            </w:r>
          </w:p>
        </w:tc>
      </w:tr>
      <w:tr>
        <w:tc>
          <w:tcPr>
            <w:tcW w:type="dxa" w:w="9026"/>
            <w:tcBorders>
              <w:top w:val="none"/>
              <w:left w:val="single" w:color="4A90D9" w:sz="6"/>
              <w:bottom w:val="none"/>
              <w:right w:val="none"/>
            </w:tcBorders>
            <w:shd w:fill="EEF4FB" w:val="clear"/>
            <w:tcMar>
              <w:top w:type="dxa" w:w="80"/>
              <w:left w:type="dxa" w:w="200"/>
              <w:bottom w:type="dxa" w:w="80"/>
              <w:right w:type="dxa" w:w="120"/>
            </w:tcMar>
          </w:tcPr>
          <w:p>
            <w:pPr>
              <w:spacing w:after="60"/>
            </w:pPr>
            <w:r>
              <w:rPr>
                <w:rFonts w:ascii="Arial" w:cs="Arial" w:eastAsia="Arial" w:hAnsi="Arial"/>
                <w:color w:val="333333"/>
                <w:sz w:val="21"/>
                <w:szCs w:val="21"/>
              </w:rPr>
              <w:t xml:space="preserve">Las diferencias de valoración entre géneros son pequeñas (61-72%), lo que indica que el género no es el factor determinante del éxito.</w:t>
            </w:r>
          </w:p>
        </w:tc>
      </w:tr>
      <w:tr>
        <w:tc>
          <w:tcPr>
            <w:tcW w:type="dxa" w:w="9026"/>
            <w:tcBorders>
              <w:top w:val="none"/>
              <w:left w:val="single" w:color="4A90D9" w:sz="6"/>
              <w:bottom w:val="none"/>
              <w:right w:val="none"/>
            </w:tcBorders>
            <w:shd w:fill="EEF4FB" w:val="clear"/>
            <w:tcMar>
              <w:top w:type="dxa" w:w="80"/>
              <w:left w:type="dxa" w:w="200"/>
              <w:bottom w:type="dxa" w:w="80"/>
              <w:right w:type="dxa" w:w="120"/>
            </w:tcMar>
          </w:tcPr>
          <w:p>
            <w:pPr>
              <w:spacing w:after="60"/>
            </w:pPr>
            <w:r>
              <w:rPr>
                <w:rFonts w:ascii="Arial" w:cs="Arial" w:eastAsia="Arial" w:hAnsi="Arial"/>
                <w:color w:val="333333"/>
                <w:sz w:val="21"/>
                <w:szCs w:val="21"/>
              </w:rPr>
              <w:t xml:space="preserve">Massively Multiplayer es el peor valorado (61%), posiblemente por la dificultad de mantener servidores y comunidades activas.</w:t>
            </w:r>
          </w:p>
        </w:tc>
      </w:tr>
    </w:tbl>
    <w:p>
      <w:r>
        <w:br w:type="page"/>
      </w:r>
    </w:p>
    <w:p>
      <w:pPr>
        <w:pStyle w:val="Heading1"/>
        <w:spacing w:after="160" w:before="400"/>
      </w:pPr>
      <w:r>
        <w:rPr>
          <w:rFonts w:ascii="Arial" w:cs="Arial" w:eastAsia="Arial" w:hAnsi="Arial"/>
          <w:b/>
          <w:bCs/>
          <w:color w:val="2C5F8A"/>
          <w:sz w:val="32"/>
          <w:szCs w:val="32"/>
        </w:rPr>
        <w:t xml:space="preserve">5. Relación entre Precio y Valoración</w:t>
      </w:r>
    </w:p>
    <w:p>
      <w:pPr>
        <w:pBdr>
          <w:bottom w:val="single" w:color="4A90D9" w:sz="12" w:space="1"/>
        </w:pBdr>
        <w:spacing w:after="200"/>
      </w:pPr>
    </w:p>
    <w:p>
      <w:pPr>
        <w:spacing w:after="160"/>
        <w:jc w:val="both"/>
      </w:pPr>
      <w:r>
        <w:rPr>
          <w:rFonts w:ascii="Arial" w:cs="Arial" w:eastAsia="Arial" w:hAnsi="Arial"/>
          <w:color w:val="333333"/>
          <w:sz w:val="22"/>
          <w:szCs w:val="22"/>
        </w:rPr>
        <w:t xml:space="preserve">Se analizó si existe una relación entre el precio de un juego y su valoración por parte de los jugadores. El análisis se realizó sobre juegos de pago con precios de hasta 70$, excluyendo outliers como DLCs o software profesional.</w:t>
      </w:r>
    </w:p>
    <w:p>
      <w:pPr>
        <w:spacing w:after="200" w:before="160"/>
        <w:jc w:val="center"/>
      </w:pPr>
      <w:r>
        <w:drawing>
          <wp:inline distT="0" distB="0" distL="0" distR="0">
            <wp:extent cx="5334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762250"/>
                    </a:xfrm>
                    <a:prstGeom prst="rect">
                      <a:avLst/>
                    </a:prstGeom>
                  </pic:spPr>
                </pic:pic>
              </a:graphicData>
            </a:graphic>
          </wp:inline>
        </w:drawing>
      </w:r>
    </w:p>
    <w:p>
      <w:pPr>
        <w:spacing w:after="200" w:before="160"/>
        <w:jc w:val="center"/>
      </w:pPr>
      <w:r>
        <w:drawing>
          <wp:inline distT="0" distB="0" distL="0" distR="0">
            <wp:extent cx="5334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762250"/>
                    </a:xfrm>
                    <a:prstGeom prst="rect">
                      <a:avLst/>
                    </a:prstGeom>
                  </pic:spPr>
                </pic:pic>
              </a:graphicData>
            </a:graphic>
          </wp:inline>
        </w:drawing>
      </w:r>
    </w:p>
    <w:p>
      <w:pPr>
        <w:pStyle w:val="Heading2"/>
        <w:spacing w:after="120" w:before="300"/>
      </w:pPr>
      <w:r>
        <w:rPr>
          <w:rFonts w:ascii="Arial" w:cs="Arial" w:eastAsia="Arial" w:hAnsi="Arial"/>
          <w:b/>
          <w:bCs/>
          <w:color w:val="4A90D9"/>
          <w:sz w:val="26"/>
          <w:szCs w:val="26"/>
        </w:rPr>
        <w:t xml:space="preserve">Conclusiones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A90D9" w:sz="6"/>
              <w:bottom w:val="none"/>
              <w:right w:val="none"/>
            </w:tcBorders>
            <w:shd w:fill="EEF4FB" w:val="clear"/>
            <w:tcMar>
              <w:top w:type="dxa" w:w="80"/>
              <w:left w:type="dxa" w:w="200"/>
              <w:bottom w:type="dxa" w:w="80"/>
              <w:right w:type="dxa" w:w="120"/>
            </w:tcMar>
          </w:tcPr>
          <w:p>
            <w:pPr>
              <w:spacing w:after="60"/>
            </w:pPr>
            <w:r>
              <w:rPr>
                <w:rFonts w:ascii="Arial" w:cs="Arial" w:eastAsia="Arial" w:hAnsi="Arial"/>
                <w:color w:val="333333"/>
                <w:sz w:val="21"/>
                <w:szCs w:val="21"/>
              </w:rPr>
              <w:t xml:space="preserve">La correlación entre precio y valoración es de 0.10, prácticamente inexistente.</w:t>
            </w:r>
          </w:p>
        </w:tc>
      </w:tr>
      <w:tr>
        <w:tc>
          <w:tcPr>
            <w:tcW w:type="dxa" w:w="9026"/>
            <w:tcBorders>
              <w:top w:val="none"/>
              <w:left w:val="single" w:color="4A90D9" w:sz="6"/>
              <w:bottom w:val="none"/>
              <w:right w:val="none"/>
            </w:tcBorders>
            <w:shd w:fill="EEF4FB" w:val="clear"/>
            <w:tcMar>
              <w:top w:type="dxa" w:w="80"/>
              <w:left w:type="dxa" w:w="200"/>
              <w:bottom w:type="dxa" w:w="80"/>
              <w:right w:type="dxa" w:w="120"/>
            </w:tcMar>
          </w:tcPr>
          <w:p>
            <w:pPr>
              <w:spacing w:after="60"/>
            </w:pPr>
            <w:r>
              <w:rPr>
                <w:rFonts w:ascii="Arial" w:cs="Arial" w:eastAsia="Arial" w:hAnsi="Arial"/>
                <w:color w:val="333333"/>
                <w:sz w:val="21"/>
                <w:szCs w:val="21"/>
              </w:rPr>
              <w:t xml:space="preserve">El precio por sí solo no determina la calidad percibida de un juego.</w:t>
            </w:r>
          </w:p>
        </w:tc>
      </w:tr>
      <w:tr>
        <w:tc>
          <w:tcPr>
            <w:tcW w:type="dxa" w:w="9026"/>
            <w:tcBorders>
              <w:top w:val="none"/>
              <w:left w:val="single" w:color="4A90D9" w:sz="6"/>
              <w:bottom w:val="none"/>
              <w:right w:val="none"/>
            </w:tcBorders>
            <w:shd w:fill="EEF4FB" w:val="clear"/>
            <w:tcMar>
              <w:top w:type="dxa" w:w="80"/>
              <w:left w:type="dxa" w:w="200"/>
              <w:bottom w:type="dxa" w:w="80"/>
              <w:right w:type="dxa" w:w="120"/>
            </w:tcMar>
          </w:tcPr>
          <w:p>
            <w:pPr>
              <w:spacing w:after="60"/>
            </w:pPr>
            <w:r>
              <w:rPr>
                <w:rFonts w:ascii="Arial" w:cs="Arial" w:eastAsia="Arial" w:hAnsi="Arial"/>
                <w:color w:val="333333"/>
                <w:sz w:val="21"/>
                <w:szCs w:val="21"/>
              </w:rPr>
              <w:t xml:space="preserve">La mayoría de juegos se concentran en el rango 0-20$, donde la dispersión de valoraciones es máxima.</w:t>
            </w:r>
          </w:p>
        </w:tc>
      </w:tr>
      <w:tr>
        <w:tc>
          <w:tcPr>
            <w:tcW w:type="dxa" w:w="9026"/>
            <w:tcBorders>
              <w:top w:val="none"/>
              <w:left w:val="single" w:color="4A90D9" w:sz="6"/>
              <w:bottom w:val="none"/>
              <w:right w:val="none"/>
            </w:tcBorders>
            <w:shd w:fill="EEF4FB" w:val="clear"/>
            <w:tcMar>
              <w:top w:type="dxa" w:w="80"/>
              <w:left w:type="dxa" w:w="200"/>
              <w:bottom w:type="dxa" w:w="80"/>
              <w:right w:type="dxa" w:w="120"/>
            </w:tcMar>
          </w:tcPr>
          <w:p>
            <w:pPr>
              <w:spacing w:after="60"/>
            </w:pPr>
            <w:r>
              <w:rPr>
                <w:rFonts w:ascii="Arial" w:cs="Arial" w:eastAsia="Arial" w:hAnsi="Arial"/>
                <w:color w:val="333333"/>
                <w:sz w:val="21"/>
                <w:szCs w:val="21"/>
              </w:rPr>
              <w:t xml:space="preserve">Los juegos más caros (+40$) tienden a evitar valoraciones muy bajas, posiblemente por mayor inversión en desarrollo.</w:t>
            </w:r>
          </w:p>
        </w:tc>
      </w:tr>
      <w:tr>
        <w:tc>
          <w:tcPr>
            <w:tcW w:type="dxa" w:w="9026"/>
            <w:tcBorders>
              <w:top w:val="none"/>
              <w:left w:val="single" w:color="4A90D9" w:sz="6"/>
              <w:bottom w:val="none"/>
              <w:right w:val="none"/>
            </w:tcBorders>
            <w:shd w:fill="EEF4FB" w:val="clear"/>
            <w:tcMar>
              <w:top w:type="dxa" w:w="80"/>
              <w:left w:type="dxa" w:w="200"/>
              <w:bottom w:type="dxa" w:w="80"/>
              <w:right w:type="dxa" w:w="120"/>
            </w:tcMar>
          </w:tcPr>
          <w:p>
            <w:pPr>
              <w:spacing w:after="60"/>
            </w:pPr>
            <w:r>
              <w:rPr>
                <w:rFonts w:ascii="Arial" w:cs="Arial" w:eastAsia="Arial" w:hAnsi="Arial"/>
                <w:color w:val="333333"/>
                <w:sz w:val="21"/>
                <w:szCs w:val="21"/>
              </w:rPr>
              <w:t xml:space="preserve">Conclusión clave: Un juego barato puede ser excelente y uno caro puede ser malo.</w:t>
            </w:r>
          </w:p>
        </w:tc>
      </w:tr>
    </w:tbl>
    <w:p>
      <w:r>
        <w:br w:type="page"/>
      </w:r>
    </w:p>
    <w:p>
      <w:pPr>
        <w:pStyle w:val="Heading1"/>
        <w:spacing w:after="160" w:before="400"/>
      </w:pPr>
      <w:r>
        <w:rPr>
          <w:rFonts w:ascii="Arial" w:cs="Arial" w:eastAsia="Arial" w:hAnsi="Arial"/>
          <w:b/>
          <w:bCs/>
          <w:color w:val="2C5F8A"/>
          <w:sz w:val="32"/>
          <w:szCs w:val="32"/>
        </w:rPr>
        <w:t xml:space="preserve">6. Desarrolladores con Mejor Ratio Calidad-Precio</w:t>
      </w:r>
    </w:p>
    <w:p>
      <w:pPr>
        <w:pBdr>
          <w:bottom w:val="single" w:color="4A90D9" w:sz="12" w:space="1"/>
        </w:pBdr>
        <w:spacing w:after="200"/>
      </w:pPr>
    </w:p>
    <w:p>
      <w:pPr>
        <w:spacing w:after="160"/>
        <w:jc w:val="both"/>
      </w:pPr>
      <w:r>
        <w:rPr>
          <w:rFonts w:ascii="Arial" w:cs="Arial" w:eastAsia="Arial" w:hAnsi="Arial"/>
          <w:color w:val="333333"/>
          <w:sz w:val="22"/>
          <w:szCs w:val="22"/>
        </w:rPr>
        <w:t xml:space="preserve">Se creó una métrica de calidad-precio dividiendo la valoración media entre el precio medio de cada desarrollador. Solo se incluyeron desarrolladores con 5 o más juegos y precio medio superior a 3$ para garantizar la representatividad.</w:t>
      </w:r>
    </w:p>
    <w:p>
      <w:pPr>
        <w:pStyle w:val="Heading2"/>
        <w:spacing w:after="120" w:before="300"/>
      </w:pPr>
      <w:r>
        <w:rPr>
          <w:rFonts w:ascii="Arial" w:cs="Arial" w:eastAsia="Arial" w:hAnsi="Arial"/>
          <w:b/>
          <w:bCs/>
          <w:color w:val="4A90D9"/>
          <w:sz w:val="26"/>
          <w:szCs w:val="26"/>
        </w:rPr>
        <w:t xml:space="preserve">6.1 Top estudios indie (precio medio 3-15$)</w:t>
      </w:r>
    </w:p>
    <w:p>
      <w:pPr>
        <w:spacing w:after="200" w:before="160"/>
        <w:jc w:val="center"/>
      </w:pPr>
      <w:r>
        <w:drawing>
          <wp:inline distT="0" distB="0" distL="0" distR="0">
            <wp:extent cx="5334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762250"/>
                    </a:xfrm>
                    <a:prstGeom prst="rect">
                      <a:avLst/>
                    </a:prstGeom>
                  </pic:spPr>
                </pic:pic>
              </a:graphicData>
            </a:graphic>
          </wp:inline>
        </w:drawing>
      </w:r>
    </w:p>
    <w:p>
      <w:pPr>
        <w:pStyle w:val="Heading2"/>
        <w:spacing w:after="120" w:before="300"/>
      </w:pPr>
      <w:r>
        <w:rPr>
          <w:rFonts w:ascii="Arial" w:cs="Arial" w:eastAsia="Arial" w:hAnsi="Arial"/>
          <w:b/>
          <w:bCs/>
          <w:color w:val="4A90D9"/>
          <w:sz w:val="26"/>
          <w:szCs w:val="26"/>
        </w:rPr>
        <w:t xml:space="preserve">6.2 Top grandes estudios (precio medio &gt; 15$)</w:t>
      </w:r>
    </w:p>
    <w:p>
      <w:pPr>
        <w:spacing w:after="200" w:before="160"/>
        <w:jc w:val="center"/>
      </w:pPr>
      <w:r>
        <w:drawing>
          <wp:inline distT="0" distB="0" distL="0" distR="0">
            <wp:extent cx="5334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762250"/>
                    </a:xfrm>
                    <a:prstGeom prst="rect">
                      <a:avLst/>
                    </a:prstGeom>
                  </pic:spPr>
                </pic:pic>
              </a:graphicData>
            </a:graphic>
          </wp:inline>
        </w:drawing>
      </w:r>
    </w:p>
    <w:p>
      <w:pPr>
        <w:pStyle w:val="Heading2"/>
        <w:spacing w:after="120" w:before="300"/>
      </w:pPr>
      <w:r>
        <w:rPr>
          <w:rFonts w:ascii="Arial" w:cs="Arial" w:eastAsia="Arial" w:hAnsi="Arial"/>
          <w:b/>
          <w:bCs/>
          <w:color w:val="4A90D9"/>
          <w:sz w:val="26"/>
          <w:szCs w:val="26"/>
        </w:rPr>
        <w:t xml:space="preserve">Conclusiones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A90D9" w:sz="6"/>
              <w:bottom w:val="none"/>
              <w:right w:val="none"/>
            </w:tcBorders>
            <w:shd w:fill="EEF4FB" w:val="clear"/>
            <w:tcMar>
              <w:top w:type="dxa" w:w="80"/>
              <w:left w:type="dxa" w:w="200"/>
              <w:bottom w:type="dxa" w:w="80"/>
              <w:right w:type="dxa" w:w="120"/>
            </w:tcMar>
          </w:tcPr>
          <w:p>
            <w:pPr>
              <w:spacing w:after="60"/>
            </w:pPr>
            <w:r>
              <w:rPr>
                <w:rFonts w:ascii="Arial" w:cs="Arial" w:eastAsia="Arial" w:hAnsi="Arial"/>
                <w:color w:val="333333"/>
                <w:sz w:val="21"/>
                <w:szCs w:val="21"/>
              </w:rPr>
              <w:t xml:space="preserve">Fallen Tree Games Ltd lidera el ranking indie con un 96% de valoración a 3.6$ de precio medio.</w:t>
            </w:r>
          </w:p>
        </w:tc>
      </w:tr>
      <w:tr>
        <w:tc>
          <w:tcPr>
            <w:tcW w:type="dxa" w:w="9026"/>
            <w:tcBorders>
              <w:top w:val="none"/>
              <w:left w:val="single" w:color="4A90D9" w:sz="6"/>
              <w:bottom w:val="none"/>
              <w:right w:val="none"/>
            </w:tcBorders>
            <w:shd w:fill="EEF4FB" w:val="clear"/>
            <w:tcMar>
              <w:top w:type="dxa" w:w="80"/>
              <w:left w:type="dxa" w:w="200"/>
              <w:bottom w:type="dxa" w:w="80"/>
              <w:right w:type="dxa" w:w="120"/>
            </w:tcMar>
          </w:tcPr>
          <w:p>
            <w:pPr>
              <w:spacing w:after="60"/>
            </w:pPr>
            <w:r>
              <w:rPr>
                <w:rFonts w:ascii="Arial" w:cs="Arial" w:eastAsia="Arial" w:hAnsi="Arial"/>
                <w:color w:val="333333"/>
                <w:sz w:val="21"/>
                <w:szCs w:val="21"/>
              </w:rPr>
              <w:t xml:space="preserve">El top 10 indie está dominado por estudios independientes pequeños con ratios de 22-27.</w:t>
            </w:r>
          </w:p>
        </w:tc>
      </w:tr>
      <w:tr>
        <w:tc>
          <w:tcPr>
            <w:tcW w:type="dxa" w:w="9026"/>
            <w:tcBorders>
              <w:top w:val="none"/>
              <w:left w:val="single" w:color="4A90D9" w:sz="6"/>
              <w:bottom w:val="none"/>
              <w:right w:val="none"/>
            </w:tcBorders>
            <w:shd w:fill="EEF4FB" w:val="clear"/>
            <w:tcMar>
              <w:top w:type="dxa" w:w="80"/>
              <w:left w:type="dxa" w:w="200"/>
              <w:bottom w:type="dxa" w:w="80"/>
              <w:right w:type="dxa" w:w="120"/>
            </w:tcMar>
          </w:tcPr>
          <w:p>
            <w:pPr>
              <w:spacing w:after="60"/>
            </w:pPr>
            <w:r>
              <w:rPr>
                <w:rFonts w:ascii="Arial" w:cs="Arial" w:eastAsia="Arial" w:hAnsi="Arial"/>
                <w:color w:val="333333"/>
                <w:sz w:val="21"/>
                <w:szCs w:val="21"/>
              </w:rPr>
              <w:t xml:space="preserve">El mejor gran estudio (VisualArts/Key) alcanza un ratio de 6.2, frente al 26.7 del mejor indie.</w:t>
            </w:r>
          </w:p>
        </w:tc>
      </w:tr>
      <w:tr>
        <w:tc>
          <w:tcPr>
            <w:tcW w:type="dxa" w:w="9026"/>
            <w:tcBorders>
              <w:top w:val="none"/>
              <w:left w:val="single" w:color="4A90D9" w:sz="6"/>
              <w:bottom w:val="none"/>
              <w:right w:val="none"/>
            </w:tcBorders>
            <w:shd w:fill="EEF4FB" w:val="clear"/>
            <w:tcMar>
              <w:top w:type="dxa" w:w="80"/>
              <w:left w:type="dxa" w:w="200"/>
              <w:bottom w:type="dxa" w:w="80"/>
              <w:right w:type="dxa" w:w="120"/>
            </w:tcMar>
          </w:tcPr>
          <w:p>
            <w:pPr>
              <w:spacing w:after="60"/>
            </w:pPr>
            <w:r>
              <w:rPr>
                <w:rFonts w:ascii="Arial" w:cs="Arial" w:eastAsia="Arial" w:hAnsi="Arial"/>
                <w:color w:val="333333"/>
                <w:sz w:val="21"/>
                <w:szCs w:val="21"/>
              </w:rPr>
              <w:t xml:space="preserve">Los grandes estudios tienen 4-5 veces peor ratio, principalmente por sus precios más elevados.</w:t>
            </w:r>
          </w:p>
        </w:tc>
      </w:tr>
      <w:tr>
        <w:tc>
          <w:tcPr>
            <w:tcW w:type="dxa" w:w="9026"/>
            <w:tcBorders>
              <w:top w:val="none"/>
              <w:left w:val="single" w:color="4A90D9" w:sz="6"/>
              <w:bottom w:val="none"/>
              <w:right w:val="none"/>
            </w:tcBorders>
            <w:shd w:fill="EEF4FB" w:val="clear"/>
            <w:tcMar>
              <w:top w:type="dxa" w:w="80"/>
              <w:left w:type="dxa" w:w="200"/>
              <w:bottom w:type="dxa" w:w="80"/>
              <w:right w:type="dxa" w:w="120"/>
            </w:tcMar>
          </w:tcPr>
          <w:p>
            <w:pPr>
              <w:spacing w:after="60"/>
            </w:pPr>
            <w:r>
              <w:rPr>
                <w:rFonts w:ascii="Arial" w:cs="Arial" w:eastAsia="Arial" w:hAnsi="Arial"/>
                <w:color w:val="333333"/>
                <w:sz w:val="21"/>
                <w:szCs w:val="21"/>
              </w:rPr>
              <w:t xml:space="preserve">SEGA y Traveller's Tales (LEGO games) destacan entre los grandes estudios por su consistencia.</w:t>
            </w:r>
          </w:p>
        </w:tc>
      </w:tr>
    </w:tbl>
    <w:p>
      <w:r>
        <w:br w:type="page"/>
      </w:r>
    </w:p>
    <w:p>
      <w:pPr>
        <w:pStyle w:val="Heading1"/>
        <w:spacing w:after="160" w:before="400"/>
      </w:pPr>
      <w:r>
        <w:rPr>
          <w:rFonts w:ascii="Arial" w:cs="Arial" w:eastAsia="Arial" w:hAnsi="Arial"/>
          <w:b/>
          <w:bCs/>
          <w:color w:val="2C5F8A"/>
          <w:sz w:val="32"/>
          <w:szCs w:val="32"/>
        </w:rPr>
        <w:t xml:space="preserve">7. Juegos Gratuitos vs. De Pago</w:t>
      </w:r>
    </w:p>
    <w:p>
      <w:pPr>
        <w:pBdr>
          <w:bottom w:val="single" w:color="4A90D9" w:sz="12" w:space="1"/>
        </w:pBdr>
        <w:spacing w:after="200"/>
      </w:pPr>
    </w:p>
    <w:p>
      <w:pPr>
        <w:spacing w:after="160"/>
        <w:jc w:val="both"/>
      </w:pPr>
      <w:r>
        <w:rPr>
          <w:rFonts w:ascii="Arial" w:cs="Arial" w:eastAsia="Arial" w:hAnsi="Arial"/>
          <w:color w:val="333333"/>
          <w:sz w:val="22"/>
          <w:szCs w:val="22"/>
        </w:rPr>
        <w:t xml:space="preserve">Se comparó la valoración media de los juegos gratuitos frente a los de pago para determinar si el modelo de negocio influye en la calidad percibida por los jugadores.</w:t>
      </w:r>
    </w:p>
    <w:p>
      <w:pPr>
        <w:spacing w:after="20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952750"/>
                    </a:xfrm>
                    <a:prstGeom prst="rect">
                      <a:avLst/>
                    </a:prstGeom>
                  </pic:spPr>
                </pic:pic>
              </a:graphicData>
            </a:graphic>
          </wp:inline>
        </w:drawing>
      </w:r>
    </w:p>
    <w:p>
      <w:pPr>
        <w:pStyle w:val="Heading2"/>
        <w:spacing w:after="120" w:before="300"/>
      </w:pPr>
      <w:r>
        <w:rPr>
          <w:rFonts w:ascii="Arial" w:cs="Arial" w:eastAsia="Arial" w:hAnsi="Arial"/>
          <w:b/>
          <w:bCs/>
          <w:color w:val="4A90D9"/>
          <w:sz w:val="26"/>
          <w:szCs w:val="26"/>
        </w:rPr>
        <w:t xml:space="preserve">Resultados</w:t>
      </w:r>
    </w:p>
    <w:p>
      <w:pPr>
        <w:spacing w:after="100"/>
      </w:pPr>
      <w:r>
        <w:rPr>
          <w:rFonts w:ascii="Arial" w:cs="Arial" w:eastAsia="Arial" w:hAnsi="Arial"/>
          <w:b/>
          <w:bCs/>
          <w:color w:val="1A1A2E"/>
          <w:sz w:val="22"/>
          <w:szCs w:val="22"/>
        </w:rPr>
        <w:t xml:space="preserve">Valoración media juegos gratuitos: </w:t>
      </w:r>
      <w:r>
        <w:rPr>
          <w:rFonts w:ascii="Arial" w:cs="Arial" w:eastAsia="Arial" w:hAnsi="Arial"/>
          <w:color w:val="333333"/>
          <w:sz w:val="22"/>
          <w:szCs w:val="22"/>
        </w:rPr>
        <w:t xml:space="preserve">71.9%</w:t>
      </w:r>
    </w:p>
    <w:p>
      <w:pPr>
        <w:spacing w:after="100"/>
      </w:pPr>
      <w:r>
        <w:rPr>
          <w:rFonts w:ascii="Arial" w:cs="Arial" w:eastAsia="Arial" w:hAnsi="Arial"/>
          <w:b/>
          <w:bCs/>
          <w:color w:val="1A1A2E"/>
          <w:sz w:val="22"/>
          <w:szCs w:val="22"/>
        </w:rPr>
        <w:t xml:space="preserve">Valoración media juegos de pago: </w:t>
      </w:r>
      <w:r>
        <w:rPr>
          <w:rFonts w:ascii="Arial" w:cs="Arial" w:eastAsia="Arial" w:hAnsi="Arial"/>
          <w:color w:val="333333"/>
          <w:sz w:val="22"/>
          <w:szCs w:val="22"/>
        </w:rPr>
        <w:t xml:space="preserve">71.4%</w:t>
      </w:r>
    </w:p>
    <w:p>
      <w:pPr>
        <w:spacing w:after="100"/>
      </w:pPr>
      <w:r>
        <w:rPr>
          <w:rFonts w:ascii="Arial" w:cs="Arial" w:eastAsia="Arial" w:hAnsi="Arial"/>
          <w:b/>
          <w:bCs/>
          <w:color w:val="1A1A2E"/>
          <w:sz w:val="22"/>
          <w:szCs w:val="22"/>
        </w:rPr>
        <w:t xml:space="preserve">Diferencia: </w:t>
      </w:r>
      <w:r>
        <w:rPr>
          <w:rFonts w:ascii="Arial" w:cs="Arial" w:eastAsia="Arial" w:hAnsi="Arial"/>
          <w:color w:val="333333"/>
          <w:sz w:val="22"/>
          <w:szCs w:val="22"/>
        </w:rPr>
        <w:t xml:space="preserve">0.5% (prácticamente inexistente)</w:t>
      </w:r>
    </w:p>
    <w:p>
      <w:pPr>
        <w:spacing w:after="200"/>
      </w:pPr>
    </w:p>
    <w:p>
      <w:pPr>
        <w:pStyle w:val="Heading2"/>
        <w:spacing w:after="120" w:before="300"/>
      </w:pPr>
      <w:r>
        <w:rPr>
          <w:rFonts w:ascii="Arial" w:cs="Arial" w:eastAsia="Arial" w:hAnsi="Arial"/>
          <w:b/>
          <w:bCs/>
          <w:color w:val="4A90D9"/>
          <w:sz w:val="26"/>
          <w:szCs w:val="26"/>
        </w:rPr>
        <w:t xml:space="preserve">Conclusiones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A90D9" w:sz="6"/>
              <w:bottom w:val="none"/>
              <w:right w:val="none"/>
            </w:tcBorders>
            <w:shd w:fill="EEF4FB" w:val="clear"/>
            <w:tcMar>
              <w:top w:type="dxa" w:w="80"/>
              <w:left w:type="dxa" w:w="200"/>
              <w:bottom w:type="dxa" w:w="80"/>
              <w:right w:type="dxa" w:w="120"/>
            </w:tcMar>
          </w:tcPr>
          <w:p>
            <w:pPr>
              <w:spacing w:after="60"/>
            </w:pPr>
            <w:r>
              <w:rPr>
                <w:rFonts w:ascii="Arial" w:cs="Arial" w:eastAsia="Arial" w:hAnsi="Arial"/>
                <w:color w:val="333333"/>
                <w:sz w:val="21"/>
                <w:szCs w:val="21"/>
              </w:rPr>
              <w:t xml:space="preserve">La hipótesis de que los juegos gratuitos son peor valorados queda completamente refutada.</w:t>
            </w:r>
          </w:p>
        </w:tc>
      </w:tr>
      <w:tr>
        <w:tc>
          <w:tcPr>
            <w:tcW w:type="dxa" w:w="9026"/>
            <w:tcBorders>
              <w:top w:val="none"/>
              <w:left w:val="single" w:color="4A90D9" w:sz="6"/>
              <w:bottom w:val="none"/>
              <w:right w:val="none"/>
            </w:tcBorders>
            <w:shd w:fill="EEF4FB" w:val="clear"/>
            <w:tcMar>
              <w:top w:type="dxa" w:w="80"/>
              <w:left w:type="dxa" w:w="200"/>
              <w:bottom w:type="dxa" w:w="80"/>
              <w:right w:type="dxa" w:w="120"/>
            </w:tcMar>
          </w:tcPr>
          <w:p>
            <w:pPr>
              <w:spacing w:after="60"/>
            </w:pPr>
            <w:r>
              <w:rPr>
                <w:rFonts w:ascii="Arial" w:cs="Arial" w:eastAsia="Arial" w:hAnsi="Arial"/>
                <w:color w:val="333333"/>
                <w:sz w:val="21"/>
                <w:szCs w:val="21"/>
              </w:rPr>
              <w:t xml:space="preserve">Los juegos de pago presentan más valores extremos hacia abajo, probablemente porque los jugadores que pagan son más exigentes.</w:t>
            </w:r>
          </w:p>
        </w:tc>
      </w:tr>
      <w:tr>
        <w:tc>
          <w:tcPr>
            <w:tcW w:type="dxa" w:w="9026"/>
            <w:tcBorders>
              <w:top w:val="none"/>
              <w:left w:val="single" w:color="4A90D9" w:sz="6"/>
              <w:bottom w:val="none"/>
              <w:right w:val="none"/>
            </w:tcBorders>
            <w:shd w:fill="EEF4FB" w:val="clear"/>
            <w:tcMar>
              <w:top w:type="dxa" w:w="80"/>
              <w:left w:type="dxa" w:w="200"/>
              <w:bottom w:type="dxa" w:w="80"/>
              <w:right w:type="dxa" w:w="120"/>
            </w:tcMar>
          </w:tcPr>
          <w:p>
            <w:pPr>
              <w:spacing w:after="60"/>
            </w:pPr>
            <w:r>
              <w:rPr>
                <w:rFonts w:ascii="Arial" w:cs="Arial" w:eastAsia="Arial" w:hAnsi="Arial"/>
                <w:color w:val="333333"/>
                <w:sz w:val="21"/>
                <w:szCs w:val="21"/>
              </w:rPr>
              <w:t xml:space="preserve">Los juegos gratuitos muestran una distribución algo más concentrada, con menos sorpresas en ambos extremos.</w:t>
            </w:r>
          </w:p>
        </w:tc>
      </w:tr>
      <w:tr>
        <w:tc>
          <w:tcPr>
            <w:tcW w:type="dxa" w:w="9026"/>
            <w:tcBorders>
              <w:top w:val="none"/>
              <w:left w:val="single" w:color="4A90D9" w:sz="6"/>
              <w:bottom w:val="none"/>
              <w:right w:val="none"/>
            </w:tcBorders>
            <w:shd w:fill="EEF4FB" w:val="clear"/>
            <w:tcMar>
              <w:top w:type="dxa" w:w="80"/>
              <w:left w:type="dxa" w:w="200"/>
              <w:bottom w:type="dxa" w:w="80"/>
              <w:right w:type="dxa" w:w="120"/>
            </w:tcMar>
          </w:tcPr>
          <w:p>
            <w:pPr>
              <w:spacing w:after="60"/>
            </w:pPr>
            <w:r>
              <w:rPr>
                <w:rFonts w:ascii="Arial" w:cs="Arial" w:eastAsia="Arial" w:hAnsi="Arial"/>
                <w:color w:val="333333"/>
                <w:sz w:val="21"/>
                <w:szCs w:val="21"/>
              </w:rPr>
              <w:t xml:space="preserve">El modelo de negocio no determina la calidad percibida por los jugadores.</w:t>
            </w:r>
          </w:p>
        </w:tc>
      </w:tr>
    </w:tbl>
    <w:p>
      <w:r>
        <w:br w:type="page"/>
      </w:r>
    </w:p>
    <w:p>
      <w:pPr>
        <w:pStyle w:val="Heading1"/>
        <w:spacing w:after="160" w:before="400"/>
      </w:pPr>
      <w:r>
        <w:rPr>
          <w:rFonts w:ascii="Arial" w:cs="Arial" w:eastAsia="Arial" w:hAnsi="Arial"/>
          <w:b/>
          <w:bCs/>
          <w:color w:val="2C5F8A"/>
          <w:sz w:val="32"/>
          <w:szCs w:val="32"/>
        </w:rPr>
        <w:t xml:space="preserve">8. Dashboard Interactivo</w:t>
      </w:r>
    </w:p>
    <w:p>
      <w:pPr>
        <w:pBdr>
          <w:bottom w:val="single" w:color="4A90D9" w:sz="12" w:space="1"/>
        </w:pBdr>
        <w:spacing w:after="200"/>
      </w:pPr>
    </w:p>
    <w:p>
      <w:pPr>
        <w:spacing w:after="160"/>
        <w:jc w:val="both"/>
      </w:pPr>
      <w:r>
        <w:rPr>
          <w:rFonts w:ascii="Arial" w:cs="Arial" w:eastAsia="Arial" w:hAnsi="Arial"/>
          <w:color w:val="333333"/>
          <w:sz w:val="22"/>
          <w:szCs w:val="22"/>
        </w:rPr>
        <w:t xml:space="preserve">Se desarrolló un dashboard interactivo en Looker Studio con los datos limpios exportados del análisis. El dashboard permite explorar visualmente los principales hallazgos de forma dinámica.</w:t>
      </w:r>
    </w:p>
    <w:p>
      <w:pPr>
        <w:spacing w:after="200" w:before="16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238500"/>
                    </a:xfrm>
                    <a:prstGeom prst="rect">
                      <a:avLst/>
                    </a:prstGeom>
                  </pic:spPr>
                </pic:pic>
              </a:graphicData>
            </a:graphic>
          </wp:inline>
        </w:drawing>
      </w:r>
    </w:p>
    <w:p>
      <w:pPr>
        <w:spacing w:after="160"/>
        <w:jc w:val="both"/>
      </w:pPr>
      <w:r>
        <w:rPr>
          <w:rFonts w:ascii="Arial" w:cs="Arial" w:eastAsia="Arial" w:hAnsi="Arial"/>
          <w:color w:val="333333"/>
          <w:sz w:val="22"/>
          <w:szCs w:val="22"/>
        </w:rPr>
        <w:t xml:space="preserve">Enlace al dashboard: https://datastudio.google.com/reporting/ab6719b0-4b61-44e4-8cf1-93a09eb5ac91</w:t>
      </w:r>
    </w:p>
    <w:p>
      <w:r>
        <w:br w:type="page"/>
      </w:r>
    </w:p>
    <w:p>
      <w:pPr>
        <w:pStyle w:val="Heading1"/>
        <w:spacing w:after="160" w:before="400"/>
      </w:pPr>
      <w:r>
        <w:rPr>
          <w:rFonts w:ascii="Arial" w:cs="Arial" w:eastAsia="Arial" w:hAnsi="Arial"/>
          <w:b/>
          <w:bCs/>
          <w:color w:val="2C5F8A"/>
          <w:sz w:val="32"/>
          <w:szCs w:val="32"/>
        </w:rPr>
        <w:t xml:space="preserve">9. Conclusiones Generales</w:t>
      </w:r>
    </w:p>
    <w:p>
      <w:pPr>
        <w:pBdr>
          <w:bottom w:val="single" w:color="4A90D9" w:sz="12" w:space="1"/>
        </w:pBdr>
        <w:spacing w:after="200"/>
      </w:pPr>
    </w:p>
    <w:p>
      <w:pPr>
        <w:spacing w:after="160"/>
        <w:jc w:val="both"/>
      </w:pPr>
      <w:r>
        <w:rPr>
          <w:rFonts w:ascii="Arial" w:cs="Arial" w:eastAsia="Arial" w:hAnsi="Arial"/>
          <w:color w:val="333333"/>
          <w:sz w:val="22"/>
          <w:szCs w:val="22"/>
        </w:rPr>
        <w:t xml:space="preserve">El análisis de 27.075 juegos de Steam publicados entre 2006 y 2018 permite extraer conclusiones relevantes sobre el mercado de videojuegos para PC:</w:t>
      </w:r>
    </w:p>
    <w:p>
      <w:pPr>
        <w:spacing w:after="100"/>
      </w:pPr>
    </w:p>
    <w:p>
      <w:pPr>
        <w:pStyle w:val="Heading2"/>
        <w:spacing w:after="120" w:before="300"/>
      </w:pPr>
      <w:r>
        <w:rPr>
          <w:rFonts w:ascii="Arial" w:cs="Arial" w:eastAsia="Arial" w:hAnsi="Arial"/>
          <w:b/>
          <w:bCs/>
          <w:color w:val="4A90D9"/>
          <w:sz w:val="26"/>
          <w:szCs w:val="26"/>
        </w:rPr>
        <w:t xml:space="preserve">Mercado en expansión</w:t>
      </w:r>
    </w:p>
    <w:p>
      <w:pPr>
        <w:spacing w:after="160"/>
        <w:jc w:val="both"/>
      </w:pPr>
      <w:r>
        <w:rPr>
          <w:rFonts w:ascii="Arial" w:cs="Arial" w:eastAsia="Arial" w:hAnsi="Arial"/>
          <w:color w:val="333333"/>
          <w:sz w:val="22"/>
          <w:szCs w:val="22"/>
        </w:rPr>
        <w:t xml:space="preserve">El catálogo de Steam creció exponencialmente a partir de 2014, pasando de 418 juegos ese año a más de 8.000 en 2018. La democratización del acceso a la plataforma transformó completamente el sector.</w:t>
      </w:r>
    </w:p>
    <w:p>
      <w:pPr>
        <w:pStyle w:val="Heading2"/>
        <w:spacing w:after="120" w:before="300"/>
      </w:pPr>
      <w:r>
        <w:rPr>
          <w:rFonts w:ascii="Arial" w:cs="Arial" w:eastAsia="Arial" w:hAnsi="Arial"/>
          <w:b/>
          <w:bCs/>
          <w:color w:val="4A90D9"/>
          <w:sz w:val="26"/>
          <w:szCs w:val="26"/>
        </w:rPr>
        <w:t xml:space="preserve">Géneros y calidad</w:t>
      </w:r>
    </w:p>
    <w:p>
      <w:pPr>
        <w:spacing w:after="160"/>
        <w:jc w:val="both"/>
      </w:pPr>
      <w:r>
        <w:rPr>
          <w:rFonts w:ascii="Arial" w:cs="Arial" w:eastAsia="Arial" w:hAnsi="Arial"/>
          <w:color w:val="333333"/>
          <w:sz w:val="22"/>
          <w:szCs w:val="22"/>
        </w:rPr>
        <w:t xml:space="preserve">Action domina en cantidad pero RPG lidera en satisfacción del jugador. Las diferencias entre géneros son pequeñas, lo que sugiere que la calidad del producto es más determinante que el género en sí.</w:t>
      </w:r>
    </w:p>
    <w:p>
      <w:pPr>
        <w:pStyle w:val="Heading2"/>
        <w:spacing w:after="120" w:before="300"/>
      </w:pPr>
      <w:r>
        <w:rPr>
          <w:rFonts w:ascii="Arial" w:cs="Arial" w:eastAsia="Arial" w:hAnsi="Arial"/>
          <w:b/>
          <w:bCs/>
          <w:color w:val="4A90D9"/>
          <w:sz w:val="26"/>
          <w:szCs w:val="26"/>
        </w:rPr>
        <w:t xml:space="preserve">Precio no es sinónimo de calidad</w:t>
      </w:r>
    </w:p>
    <w:p>
      <w:pPr>
        <w:spacing w:after="160"/>
        <w:jc w:val="both"/>
      </w:pPr>
      <w:r>
        <w:rPr>
          <w:rFonts w:ascii="Arial" w:cs="Arial" w:eastAsia="Arial" w:hAnsi="Arial"/>
          <w:color w:val="333333"/>
          <w:sz w:val="22"/>
          <w:szCs w:val="22"/>
        </w:rPr>
        <w:t xml:space="preserve">Con una correlación de apenas 0.10 entre precio y valoración, queda demostrado que el precio no garantiza calidad. El mercado premia la experiencia de juego independientemente del coste.</w:t>
      </w:r>
    </w:p>
    <w:p>
      <w:pPr>
        <w:pStyle w:val="Heading2"/>
        <w:spacing w:after="120" w:before="300"/>
      </w:pPr>
      <w:r>
        <w:rPr>
          <w:rFonts w:ascii="Arial" w:cs="Arial" w:eastAsia="Arial" w:hAnsi="Arial"/>
          <w:b/>
          <w:bCs/>
          <w:color w:val="4A90D9"/>
          <w:sz w:val="26"/>
          <w:szCs w:val="26"/>
        </w:rPr>
        <w:t xml:space="preserve">El modelo indie gana en eficiencia</w:t>
      </w:r>
    </w:p>
    <w:p>
      <w:pPr>
        <w:spacing w:after="160"/>
        <w:jc w:val="both"/>
      </w:pPr>
      <w:r>
        <w:rPr>
          <w:rFonts w:ascii="Arial" w:cs="Arial" w:eastAsia="Arial" w:hAnsi="Arial"/>
          <w:color w:val="333333"/>
          <w:sz w:val="22"/>
          <w:szCs w:val="22"/>
        </w:rPr>
        <w:t xml:space="preserve">Los estudios indie con precios bajos superan sistemáticamente a los grandes estudios en ratio calidad-precio, con valores hasta 4-5 veces superiores. Esto refleja un ecosistema donde la creatividad compite con el presupuesto.</w:t>
      </w:r>
    </w:p>
    <w:p>
      <w:pPr>
        <w:pStyle w:val="Heading2"/>
        <w:spacing w:after="120" w:before="300"/>
      </w:pPr>
      <w:r>
        <w:rPr>
          <w:rFonts w:ascii="Arial" w:cs="Arial" w:eastAsia="Arial" w:hAnsi="Arial"/>
          <w:b/>
          <w:bCs/>
          <w:color w:val="4A90D9"/>
          <w:sz w:val="26"/>
          <w:szCs w:val="26"/>
        </w:rPr>
        <w:t xml:space="preserve">Gratuito no implica peor calidad</w:t>
      </w:r>
    </w:p>
    <w:p>
      <w:pPr>
        <w:spacing w:after="160"/>
        <w:jc w:val="both"/>
      </w:pPr>
      <w:r>
        <w:rPr>
          <w:rFonts w:ascii="Arial" w:cs="Arial" w:eastAsia="Arial" w:hAnsi="Arial"/>
          <w:color w:val="333333"/>
          <w:sz w:val="22"/>
          <w:szCs w:val="22"/>
        </w:rPr>
        <w:t xml:space="preserve">La diferencia de valoración entre juegos gratuitos (71.9%) y de pago (71.4%) es estadisticamente irrelevante. El modelo freemium ha demostrado ser viable sin sacrificar la experiencia del jugador.</w:t>
      </w:r>
    </w:p>
    <w:p>
      <w:pPr>
        <w:spacing w:after="300"/>
      </w:pPr>
    </w:p>
    <w:p>
      <w:pPr>
        <w:pBdr>
          <w:top w:val="single" w:color="4A90D9" w:sz="4"/>
          <w:bottom w:val="single" w:color="4A90D9" w:sz="4"/>
        </w:pBdr>
        <w:spacing w:after="200" w:before="200"/>
        <w:ind w:left="400" w:right="400"/>
        <w:jc w:val="both"/>
      </w:pPr>
      <w:r>
        <w:rPr>
          <w:rFonts w:ascii="Arial" w:cs="Arial" w:eastAsia="Arial" w:hAnsi="Arial"/>
          <w:b/>
          <w:bCs/>
          <w:i/>
          <w:iCs/>
          <w:color w:val="2C5F8A"/>
          <w:sz w:val="22"/>
          <w:szCs w:val="22"/>
        </w:rPr>
        <w:t xml:space="preserve">Conclusion final: El exito en Steam no depende del precio ni del genero, sino de la calidad del producto. El mercado indie demuestra que es posible competir con grandes estudios ofreciendo experiencias de calidad a precios accesibles.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7cd95a0da6c47959de1e58cac29a46115413e15.png"/><Relationship Id="rId8" Type="http://schemas.openxmlformats.org/officeDocument/2006/relationships/image" Target="media/cac93a323565ffe433cc7d3d455ab5a9c97fe9c5.png"/><Relationship Id="rId9" Type="http://schemas.openxmlformats.org/officeDocument/2006/relationships/image" Target="media/84e0fed92ffa596abf0a570156ced35722b0c8d2.png"/><Relationship Id="rId10" Type="http://schemas.openxmlformats.org/officeDocument/2006/relationships/image" Target="media/e5673677df2f1427266373bec25f17c454b9f463.png"/><Relationship Id="rId11" Type="http://schemas.openxmlformats.org/officeDocument/2006/relationships/image" Target="media/fa6e0ad2ef0e2dd6cdc32d3191b1fe2081c535e4.png"/><Relationship Id="rId12" Type="http://schemas.openxmlformats.org/officeDocument/2006/relationships/image" Target="media/54eab5be50434bc10135e0d8e4d2f9aea2bb00fa.png"/><Relationship Id="rId13" Type="http://schemas.openxmlformats.org/officeDocument/2006/relationships/image" Target="media/a923129b8749ff8f49baa2c022de4b39b3867e41.png"/><Relationship Id="rId14" Type="http://schemas.openxmlformats.org/officeDocument/2006/relationships/image" Target="media/d7045d2ee3b10350e31efcd687e6586a2e887253.png"/><Relationship Id="rId15" Type="http://schemas.openxmlformats.org/officeDocument/2006/relationships/image" Target="media/8bbb0168f38def350e5d2fec3f0c2dec40760871.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2026-04-21T14:44:54.750Z</dcterms:created>
  <dcterms:modified xsi:type="dcterms:W3CDTF">2026-04-21T14:44:54.750Z</dcterms:modified>
</cp:coreProperties>
</file>

<file path=docProps/custom.xml><?xml version="1.0" encoding="utf-8"?>
<Properties xmlns="http://schemas.openxmlformats.org/officeDocument/2006/custom-properties" xmlns:vt="http://schemas.openxmlformats.org/officeDocument/2006/docPropsVTypes"/>
</file>