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B71DE" w14:textId="77777777" w:rsidR="00CE1755" w:rsidRDefault="00000000">
      <w:pPr>
        <w:spacing w:after="200"/>
        <w:rPr>
          <w:b/>
          <w:bCs/>
          <w:sz w:val="32"/>
          <w:szCs w:val="32"/>
        </w:rPr>
      </w:pPr>
      <w:r>
        <w:rPr>
          <w:b/>
          <w:bCs/>
          <w:sz w:val="32"/>
          <w:szCs w:val="32"/>
        </w:rPr>
        <w:t>Response to the reviewers</w:t>
      </w:r>
    </w:p>
    <w:p w14:paraId="4E8C38F9" w14:textId="77777777" w:rsidR="00CE1755" w:rsidRDefault="00000000">
      <w:pPr>
        <w:spacing w:after="120"/>
        <w:rPr>
          <w:sz w:val="22"/>
          <w:szCs w:val="22"/>
        </w:rPr>
      </w:pPr>
      <w:r>
        <w:rPr>
          <w:sz w:val="22"/>
          <w:szCs w:val="22"/>
        </w:rPr>
        <w:t>Manuscript: “gamdid: generalized additive models for differential distributions in single-cell proteomics experiments” by Beerland et al.</w:t>
      </w:r>
    </w:p>
    <w:p w14:paraId="747294CD" w14:textId="73D6F4DA" w:rsidR="00CE1755" w:rsidRDefault="00000000">
      <w:pPr>
        <w:spacing w:after="120"/>
        <w:rPr>
          <w:sz w:val="22"/>
          <w:szCs w:val="22"/>
        </w:rPr>
      </w:pPr>
      <w:r>
        <w:rPr>
          <w:sz w:val="22"/>
          <w:szCs w:val="22"/>
        </w:rPr>
        <w:t>We thank the editor and the three reviewers for their careful reading of our manuscript and for their constructive and encouraging comments. We have revised the manuscript accordingly. Below we respond to each comment point by point. Reviewer comments are shown in italics, followed by our response. Text changes in the revised manuscript are marked in red; for revised figures, the figure label and title are shown in red.</w:t>
      </w:r>
    </w:p>
    <w:p w14:paraId="6AC36F56" w14:textId="77777777" w:rsidR="00CE1755" w:rsidRDefault="00CE1755">
      <w:pPr>
        <w:spacing w:after="120"/>
        <w:rPr>
          <w:sz w:val="22"/>
          <w:szCs w:val="22"/>
        </w:rPr>
      </w:pPr>
    </w:p>
    <w:p w14:paraId="6693219D" w14:textId="77777777" w:rsidR="00CE1755" w:rsidRDefault="00000000">
      <w:pPr>
        <w:spacing w:after="160"/>
        <w:rPr>
          <w:b/>
          <w:bCs/>
          <w:sz w:val="26"/>
          <w:szCs w:val="26"/>
        </w:rPr>
      </w:pPr>
      <w:r>
        <w:rPr>
          <w:b/>
          <w:bCs/>
          <w:sz w:val="26"/>
          <w:szCs w:val="26"/>
        </w:rPr>
        <w:t>Reviewer 1</w:t>
      </w:r>
    </w:p>
    <w:p w14:paraId="357D690A" w14:textId="77777777" w:rsidR="00CE1755" w:rsidRPr="00D33C0F" w:rsidRDefault="00000000">
      <w:pPr>
        <w:spacing w:after="120"/>
        <w:rPr>
          <w:i/>
          <w:iCs/>
          <w:color w:val="747474" w:themeColor="background2" w:themeShade="80"/>
          <w:sz w:val="18"/>
          <w:szCs w:val="18"/>
        </w:rPr>
      </w:pPr>
      <w:r w:rsidRPr="00D33C0F">
        <w:rPr>
          <w:i/>
          <w:iCs/>
          <w:color w:val="747474" w:themeColor="background2" w:themeShade="80"/>
          <w:sz w:val="18"/>
          <w:szCs w:val="18"/>
        </w:rPr>
        <w:t>This manuscript introduces gamdid, a generalized additive model framework for detecting differential distributions in single-cell proteomics. The topic is timely and important because biologically meaningful changes in cellular heterogeneity may occur without large shifts in mean abundance. The method’s ability to localize differential regions and perform omnibus testing across multiple groups is potentially valuable. The simulations suggest that gamdid improves detection of shape differences while retaining reasonable sensitivity to mean shifts. I appreciate that both label-free and label-based datasets were analyzed. With the field trending to almost exclusively label-free DIA analysis, this is especially important to include. I found the manuscript to be well written and of importance for both computational and single cell proteomics.</w:t>
      </w:r>
    </w:p>
    <w:p w14:paraId="273378C7" w14:textId="380C5013" w:rsidR="00CE1755" w:rsidRDefault="00000000">
      <w:pPr>
        <w:spacing w:after="120"/>
        <w:rPr>
          <w:sz w:val="22"/>
          <w:szCs w:val="22"/>
        </w:rPr>
      </w:pPr>
      <w:r>
        <w:rPr>
          <w:sz w:val="22"/>
          <w:szCs w:val="22"/>
        </w:rPr>
        <w:t>We thank the reviewer for this positive assessment of our work</w:t>
      </w:r>
      <w:r w:rsidR="00D31A31">
        <w:rPr>
          <w:sz w:val="22"/>
          <w:szCs w:val="22"/>
        </w:rPr>
        <w:t>.</w:t>
      </w:r>
    </w:p>
    <w:p w14:paraId="7CAD4374" w14:textId="77777777" w:rsidR="00CE1755" w:rsidRDefault="00CE1755">
      <w:pPr>
        <w:spacing w:after="120"/>
        <w:rPr>
          <w:sz w:val="22"/>
          <w:szCs w:val="22"/>
        </w:rPr>
      </w:pPr>
    </w:p>
    <w:p w14:paraId="1E01BF31" w14:textId="77777777" w:rsidR="00CE1755" w:rsidRDefault="00000000">
      <w:pPr>
        <w:spacing w:after="160"/>
        <w:rPr>
          <w:b/>
          <w:bCs/>
          <w:sz w:val="26"/>
          <w:szCs w:val="26"/>
        </w:rPr>
      </w:pPr>
      <w:r>
        <w:rPr>
          <w:b/>
          <w:bCs/>
          <w:sz w:val="26"/>
          <w:szCs w:val="26"/>
        </w:rPr>
        <w:t>Reviewer 2</w:t>
      </w:r>
    </w:p>
    <w:p w14:paraId="44106CA1" w14:textId="77777777" w:rsidR="00CE1755" w:rsidRPr="00D33C0F" w:rsidRDefault="00000000">
      <w:pPr>
        <w:spacing w:after="120"/>
        <w:rPr>
          <w:i/>
          <w:iCs/>
          <w:color w:val="747474" w:themeColor="background2" w:themeShade="80"/>
          <w:sz w:val="18"/>
          <w:szCs w:val="18"/>
        </w:rPr>
      </w:pPr>
      <w:r w:rsidRPr="00D33C0F">
        <w:rPr>
          <w:i/>
          <w:iCs/>
          <w:color w:val="747474" w:themeColor="background2" w:themeShade="80"/>
          <w:sz w:val="18"/>
          <w:szCs w:val="18"/>
        </w:rPr>
        <w:t>Proteomics Compliance Review: Although no additional mass spectrometry was performed for this manuscript a couple of items should be updated/included to meet compliance.</w:t>
      </w:r>
    </w:p>
    <w:p w14:paraId="18117407" w14:textId="77777777" w:rsidR="00CE1755" w:rsidRPr="00237CF9" w:rsidRDefault="00000000">
      <w:pPr>
        <w:spacing w:after="120"/>
        <w:rPr>
          <w:i/>
          <w:iCs/>
          <w:color w:val="747474" w:themeColor="background2" w:themeShade="80"/>
          <w:sz w:val="18"/>
          <w:szCs w:val="18"/>
        </w:rPr>
      </w:pPr>
      <w:r w:rsidRPr="00237CF9">
        <w:rPr>
          <w:i/>
          <w:iCs/>
          <w:color w:val="747474" w:themeColor="background2" w:themeShade="80"/>
          <w:sz w:val="18"/>
          <w:szCs w:val="18"/>
        </w:rPr>
        <w:t>1. For data availability, please include repository information (i.e. https://scp.slavovlab.net/Leduc_et_al_2022 and MSV000090792 (https://doi.org/10.25345/C5JM23M36)).</w:t>
      </w:r>
    </w:p>
    <w:p w14:paraId="7624D9A6" w14:textId="64E9A49A" w:rsidR="00CE1755" w:rsidRDefault="00000000" w:rsidP="00592E6A">
      <w:pPr>
        <w:spacing w:after="120"/>
        <w:rPr>
          <w:sz w:val="22"/>
          <w:szCs w:val="22"/>
        </w:rPr>
      </w:pPr>
      <w:r>
        <w:rPr>
          <w:sz w:val="22"/>
          <w:szCs w:val="22"/>
        </w:rPr>
        <w:t xml:space="preserve">We thank the reviewer for this </w:t>
      </w:r>
      <w:r w:rsidR="00CA16FB">
        <w:rPr>
          <w:sz w:val="22"/>
          <w:szCs w:val="22"/>
        </w:rPr>
        <w:t>suggestion</w:t>
      </w:r>
      <w:r>
        <w:rPr>
          <w:sz w:val="22"/>
          <w:szCs w:val="22"/>
        </w:rPr>
        <w:t xml:space="preserve">. We have expanded the Data Availability statement, which now </w:t>
      </w:r>
      <w:r w:rsidR="00592E6A">
        <w:rPr>
          <w:sz w:val="22"/>
          <w:szCs w:val="22"/>
        </w:rPr>
        <w:t>reads this:</w:t>
      </w:r>
    </w:p>
    <w:p w14:paraId="322A257D" w14:textId="5177FFBE" w:rsidR="005C56CF" w:rsidRDefault="005C56CF" w:rsidP="005C56CF">
      <w:pPr>
        <w:spacing w:after="120"/>
        <w:rPr>
          <w:sz w:val="22"/>
          <w:szCs w:val="22"/>
        </w:rPr>
      </w:pPr>
      <w:r w:rsidRPr="005C56CF">
        <w:rPr>
          <w:sz w:val="22"/>
          <w:szCs w:val="22"/>
        </w:rPr>
        <w:t>All data used in this manuscript are publicly available; no new mass spectrometry data were generated. The</w:t>
      </w:r>
      <w:r>
        <w:rPr>
          <w:sz w:val="22"/>
          <w:szCs w:val="22"/>
        </w:rPr>
        <w:t xml:space="preserve"> </w:t>
      </w:r>
      <w:r w:rsidRPr="005C56CF">
        <w:rPr>
          <w:sz w:val="22"/>
          <w:szCs w:val="22"/>
        </w:rPr>
        <w:t>Leduc [1] and Petrosius [9] datasets were downloaded using the scpdata [8, 19] package from Bioconductor.</w:t>
      </w:r>
      <w:r>
        <w:rPr>
          <w:sz w:val="22"/>
          <w:szCs w:val="22"/>
        </w:rPr>
        <w:t xml:space="preserve"> </w:t>
      </w:r>
      <w:r w:rsidRPr="005C56CF">
        <w:rPr>
          <w:sz w:val="22"/>
          <w:szCs w:val="22"/>
        </w:rPr>
        <w:t>The scpdata package redistributes pubilicly available SCP data using R/BioConductor data containers. The</w:t>
      </w:r>
      <w:r>
        <w:rPr>
          <w:sz w:val="22"/>
          <w:szCs w:val="22"/>
        </w:rPr>
        <w:t xml:space="preserve"> </w:t>
      </w:r>
      <w:r w:rsidRPr="005C56CF">
        <w:rPr>
          <w:sz w:val="22"/>
          <w:szCs w:val="22"/>
        </w:rPr>
        <w:t>Leduc and Petrosius data were downloaded from the Slavov laboratory website (https://scp.slavovlab.net/Leduc_et_al_2022) and Zenodo (https://zenodo.org/records/8146605), respectively. The raw data</w:t>
      </w:r>
      <w:r>
        <w:rPr>
          <w:sz w:val="22"/>
          <w:szCs w:val="22"/>
        </w:rPr>
        <w:t xml:space="preserve"> </w:t>
      </w:r>
      <w:r w:rsidRPr="005C56CF">
        <w:rPr>
          <w:sz w:val="22"/>
          <w:szCs w:val="22"/>
        </w:rPr>
        <w:t>and quantification data can also be found in the massIVE repositories MSV000089159 and MSV000092429.</w:t>
      </w:r>
    </w:p>
    <w:p w14:paraId="10800EAD" w14:textId="77777777" w:rsidR="004219C5" w:rsidRDefault="004219C5" w:rsidP="005C56CF">
      <w:pPr>
        <w:spacing w:after="120"/>
        <w:rPr>
          <w:sz w:val="22"/>
          <w:szCs w:val="22"/>
        </w:rPr>
      </w:pPr>
    </w:p>
    <w:p w14:paraId="7EBEAFCF" w14:textId="77777777" w:rsidR="00CE1755" w:rsidRDefault="00000000">
      <w:pPr>
        <w:spacing w:after="120"/>
        <w:rPr>
          <w:sz w:val="22"/>
          <w:szCs w:val="22"/>
        </w:rPr>
      </w:pPr>
      <w:r>
        <w:rPr>
          <w:sz w:val="22"/>
          <w:szCs w:val="22"/>
        </w:rPr>
        <w:t>Please note that for the Leduc dataset we list MassIVE MSV000089159, as this is the accession of the pSCoPE data that were analysed in this study.</w:t>
      </w:r>
    </w:p>
    <w:p w14:paraId="746B97CD" w14:textId="77777777" w:rsidR="00CE1755" w:rsidRPr="00237CF9" w:rsidRDefault="00000000">
      <w:pPr>
        <w:spacing w:after="120"/>
        <w:rPr>
          <w:i/>
          <w:iCs/>
          <w:color w:val="747474" w:themeColor="background2" w:themeShade="80"/>
          <w:sz w:val="18"/>
          <w:szCs w:val="18"/>
        </w:rPr>
      </w:pPr>
      <w:r w:rsidRPr="00237CF9">
        <w:rPr>
          <w:i/>
          <w:iCs/>
          <w:color w:val="747474" w:themeColor="background2" w:themeShade="80"/>
          <w:sz w:val="18"/>
          <w:szCs w:val="18"/>
        </w:rPr>
        <w:t>2. Please update citations – there are a few that are now in peer reviewed journals (the most obvious is reference which should be: Leduc, A., Huffman, R.G., Cantlon, J. et al. Exploring functional protein covariation across single cells using nPOP. Genome Biol 23, 261 (2022). https://doi.org/10.1186/s13059-022-02817-5).</w:t>
      </w:r>
    </w:p>
    <w:p w14:paraId="78D2B40A" w14:textId="77777777" w:rsidR="007D3D86" w:rsidRDefault="00000000">
      <w:pPr>
        <w:spacing w:after="120"/>
        <w:rPr>
          <w:sz w:val="22"/>
          <w:szCs w:val="22"/>
        </w:rPr>
      </w:pPr>
      <w:r>
        <w:rPr>
          <w:sz w:val="22"/>
          <w:szCs w:val="22"/>
        </w:rPr>
        <w:t>Thank you for spotting this. Two references previously cited bioRxiv preprints and now cite the corresponding peer-reviewed publications:</w:t>
      </w:r>
    </w:p>
    <w:p w14:paraId="6DE661B0" w14:textId="77777777" w:rsidR="00893F9F" w:rsidRDefault="00893F9F">
      <w:pPr>
        <w:spacing w:after="120"/>
        <w:rPr>
          <w:sz w:val="22"/>
          <w:szCs w:val="22"/>
        </w:rPr>
      </w:pPr>
    </w:p>
    <w:p w14:paraId="0AA22B6F" w14:textId="77777777" w:rsidR="00893F9F" w:rsidRDefault="00893F9F">
      <w:pPr>
        <w:spacing w:after="120"/>
        <w:rPr>
          <w:sz w:val="22"/>
          <w:szCs w:val="22"/>
        </w:rPr>
      </w:pPr>
    </w:p>
    <w:p w14:paraId="4651D8F8" w14:textId="0A68F062" w:rsidR="007D3D86" w:rsidRDefault="00000000">
      <w:pPr>
        <w:spacing w:after="120"/>
        <w:rPr>
          <w:sz w:val="22"/>
          <w:szCs w:val="22"/>
        </w:rPr>
      </w:pPr>
      <w:r>
        <w:rPr>
          <w:sz w:val="22"/>
          <w:szCs w:val="22"/>
        </w:rPr>
        <w:lastRenderedPageBreak/>
        <w:t>• Reference [1] (Leduc et al.), as suggested by the reviewer. The bioRxiv preprint was replaced by:</w:t>
      </w:r>
    </w:p>
    <w:p w14:paraId="4CFD8D2A" w14:textId="77777777" w:rsidR="007D3D86" w:rsidRDefault="00000000">
      <w:pPr>
        <w:spacing w:after="120"/>
        <w:ind w:left="567"/>
        <w:rPr>
          <w:sz w:val="22"/>
          <w:szCs w:val="22"/>
        </w:rPr>
      </w:pPr>
      <w:r>
        <w:rPr>
          <w:sz w:val="22"/>
          <w:szCs w:val="22"/>
        </w:rPr>
        <w:t>Leduc, A., Huffman, R.G., Cantlon, J., Khan, S. and Slavov, N. Exploring functional protein covariation across single cells using nPOP. Genome Biology 23, 261 (2022). https://doi.org/10.1186/s13059-022-02817-5.</w:t>
      </w:r>
    </w:p>
    <w:p w14:paraId="361D73C1" w14:textId="147B08CF" w:rsidR="007D3D86" w:rsidRDefault="00000000">
      <w:pPr>
        <w:spacing w:after="120"/>
        <w:rPr>
          <w:sz w:val="22"/>
          <w:szCs w:val="22"/>
        </w:rPr>
      </w:pPr>
      <w:r>
        <w:rPr>
          <w:sz w:val="22"/>
          <w:szCs w:val="22"/>
        </w:rPr>
        <w:t>• Reference [2] (Vallejos et al.). The bioRxiv preprint was replaced by:</w:t>
      </w:r>
    </w:p>
    <w:p w14:paraId="22EE7161" w14:textId="77777777" w:rsidR="007D3D86" w:rsidRDefault="00000000">
      <w:pPr>
        <w:spacing w:after="120"/>
        <w:ind w:left="567"/>
        <w:rPr>
          <w:sz w:val="22"/>
          <w:szCs w:val="22"/>
        </w:rPr>
      </w:pPr>
      <w:r>
        <w:rPr>
          <w:sz w:val="22"/>
          <w:szCs w:val="22"/>
        </w:rPr>
        <w:t>Vallejos, C.A., Richardson, S. and Marioni, J.C. Beyond comparisons of means: understanding changes in gene expression at the single-cell level. Genome Biology 17, 70 (2016). https://doi.org/10.1186/s13059-016-0930-3.</w:t>
      </w:r>
    </w:p>
    <w:p w14:paraId="2E0F9337" w14:textId="614B1513" w:rsidR="00CE1755" w:rsidRDefault="0027481C">
      <w:pPr>
        <w:spacing w:after="120"/>
        <w:rPr>
          <w:sz w:val="22"/>
          <w:szCs w:val="22"/>
        </w:rPr>
      </w:pPr>
      <w:r>
        <w:rPr>
          <w:sz w:val="22"/>
          <w:szCs w:val="22"/>
        </w:rPr>
        <w:t xml:space="preserve">We also </w:t>
      </w:r>
      <w:r w:rsidR="00FD07DB">
        <w:rPr>
          <w:sz w:val="22"/>
          <w:szCs w:val="22"/>
        </w:rPr>
        <w:t>checked</w:t>
      </w:r>
      <w:r>
        <w:rPr>
          <w:sz w:val="22"/>
          <w:szCs w:val="22"/>
        </w:rPr>
        <w:t xml:space="preserve"> </w:t>
      </w:r>
      <w:r w:rsidR="00FD07DB">
        <w:rPr>
          <w:sz w:val="22"/>
          <w:szCs w:val="22"/>
        </w:rPr>
        <w:t>all other references.</w:t>
      </w:r>
    </w:p>
    <w:p w14:paraId="403FB5C7" w14:textId="77777777" w:rsidR="00FD07DB" w:rsidRDefault="00FD07DB">
      <w:pPr>
        <w:spacing w:after="120"/>
        <w:rPr>
          <w:sz w:val="22"/>
          <w:szCs w:val="22"/>
        </w:rPr>
      </w:pPr>
    </w:p>
    <w:p w14:paraId="268F7C6C" w14:textId="77777777" w:rsidR="00CE1755" w:rsidRDefault="00000000">
      <w:pPr>
        <w:spacing w:after="160"/>
        <w:rPr>
          <w:b/>
          <w:bCs/>
          <w:sz w:val="26"/>
          <w:szCs w:val="26"/>
        </w:rPr>
      </w:pPr>
      <w:r>
        <w:rPr>
          <w:b/>
          <w:bCs/>
          <w:sz w:val="26"/>
          <w:szCs w:val="26"/>
        </w:rPr>
        <w:t>Reviewer 3</w:t>
      </w:r>
    </w:p>
    <w:p w14:paraId="69A51419" w14:textId="77777777" w:rsidR="00CE1755" w:rsidRPr="001155E4" w:rsidRDefault="00000000">
      <w:pPr>
        <w:spacing w:after="120"/>
        <w:rPr>
          <w:i/>
          <w:iCs/>
          <w:color w:val="747474" w:themeColor="background2" w:themeShade="80"/>
          <w:sz w:val="18"/>
          <w:szCs w:val="18"/>
        </w:rPr>
      </w:pPr>
      <w:r w:rsidRPr="001155E4">
        <w:rPr>
          <w:i/>
          <w:iCs/>
          <w:color w:val="747474" w:themeColor="background2" w:themeShade="80"/>
          <w:sz w:val="18"/>
          <w:szCs w:val="18"/>
        </w:rPr>
        <w:t>The manuscript by Beerland and co-workers introduces gamdid, a classical statistical framework and R package that utilizes generalized additive models to detect differential distributions in single-cell proteomics (SCP), beyond simply comparing averages as in bulk measurements. […] While the manuscript is not too hard to follow, and the demonstrations and use cases sufficient to validate the sensitivity and usefulness of gamdid, I have a few suggestions for how the authors may present their method more clearly and concisely.</w:t>
      </w:r>
    </w:p>
    <w:p w14:paraId="7D00ED41" w14:textId="2C9427E5" w:rsidR="00CE1755" w:rsidRDefault="00000000">
      <w:pPr>
        <w:spacing w:after="120"/>
        <w:rPr>
          <w:sz w:val="22"/>
          <w:szCs w:val="22"/>
        </w:rPr>
      </w:pPr>
      <w:r>
        <w:rPr>
          <w:sz w:val="22"/>
          <w:szCs w:val="22"/>
        </w:rPr>
        <w:t>We thank the reviewer for the thorough review</w:t>
      </w:r>
      <w:r w:rsidR="00333D9C">
        <w:rPr>
          <w:sz w:val="22"/>
          <w:szCs w:val="22"/>
        </w:rPr>
        <w:t xml:space="preserve">. </w:t>
      </w:r>
      <w:r>
        <w:rPr>
          <w:sz w:val="22"/>
          <w:szCs w:val="22"/>
        </w:rPr>
        <w:t>We address each point below.</w:t>
      </w:r>
    </w:p>
    <w:p w14:paraId="279ABF37" w14:textId="77777777" w:rsidR="00CE1755" w:rsidRDefault="00000000">
      <w:pPr>
        <w:spacing w:after="120"/>
        <w:rPr>
          <w:b/>
          <w:bCs/>
          <w:sz w:val="22"/>
          <w:szCs w:val="22"/>
        </w:rPr>
      </w:pPr>
      <w:r>
        <w:rPr>
          <w:b/>
          <w:bCs/>
          <w:sz w:val="22"/>
          <w:szCs w:val="22"/>
        </w:rPr>
        <w:t>Introduction</w:t>
      </w:r>
    </w:p>
    <w:p w14:paraId="76A66A55" w14:textId="77777777" w:rsidR="00CE1755" w:rsidRPr="001155E4" w:rsidRDefault="00000000">
      <w:pPr>
        <w:spacing w:after="120"/>
        <w:rPr>
          <w:i/>
          <w:iCs/>
          <w:color w:val="747474" w:themeColor="background2" w:themeShade="80"/>
          <w:sz w:val="18"/>
          <w:szCs w:val="18"/>
        </w:rPr>
      </w:pPr>
      <w:r w:rsidRPr="001155E4">
        <w:rPr>
          <w:i/>
          <w:iCs/>
          <w:color w:val="747474" w:themeColor="background2" w:themeShade="80"/>
          <w:sz w:val="18"/>
          <w:szCs w:val="18"/>
        </w:rPr>
        <w:t>What do the authors mean by “exponentially improved the resolution”? Exponentially increasing as a function of what? Time? Resolution in time, space, cell types, all of the above? Perhaps this is a pet peeve of mine, but I think the word “exponential” is overused.</w:t>
      </w:r>
    </w:p>
    <w:p w14:paraId="694A3869" w14:textId="0B6123C7" w:rsidR="00CE1755" w:rsidRDefault="00000000">
      <w:pPr>
        <w:spacing w:after="120"/>
        <w:rPr>
          <w:sz w:val="22"/>
          <w:szCs w:val="22"/>
        </w:rPr>
      </w:pPr>
      <w:r>
        <w:rPr>
          <w:sz w:val="22"/>
          <w:szCs w:val="22"/>
        </w:rPr>
        <w:t xml:space="preserve">We agree with the reviewer that the word “exponentially” </w:t>
      </w:r>
      <w:r w:rsidR="001260C6">
        <w:rPr>
          <w:sz w:val="22"/>
          <w:szCs w:val="22"/>
        </w:rPr>
        <w:t xml:space="preserve">is </w:t>
      </w:r>
      <w:r>
        <w:rPr>
          <w:sz w:val="22"/>
          <w:szCs w:val="22"/>
        </w:rPr>
        <w:t>not needed. We removed it</w:t>
      </w:r>
      <w:r w:rsidR="00620486">
        <w:rPr>
          <w:sz w:val="22"/>
          <w:szCs w:val="22"/>
        </w:rPr>
        <w:t>,</w:t>
      </w:r>
      <w:r>
        <w:rPr>
          <w:sz w:val="22"/>
          <w:szCs w:val="22"/>
        </w:rPr>
        <w:t xml:space="preserve"> the first sentence of the Introduction now reads: “High-throughput single-cell technologies have improved the resolution at which biological processes can be studied.”</w:t>
      </w:r>
    </w:p>
    <w:p w14:paraId="5F6305CF" w14:textId="77777777" w:rsidR="00CE1755" w:rsidRDefault="00000000">
      <w:pPr>
        <w:spacing w:after="120"/>
        <w:rPr>
          <w:b/>
          <w:bCs/>
          <w:sz w:val="22"/>
          <w:szCs w:val="22"/>
        </w:rPr>
      </w:pPr>
      <w:r>
        <w:rPr>
          <w:b/>
          <w:bCs/>
          <w:sz w:val="22"/>
          <w:szCs w:val="22"/>
        </w:rPr>
        <w:t>Methods</w:t>
      </w:r>
    </w:p>
    <w:p w14:paraId="74E2C517" w14:textId="77777777" w:rsidR="00CE1755" w:rsidRPr="000D07BF" w:rsidRDefault="00000000">
      <w:pPr>
        <w:spacing w:after="120"/>
        <w:rPr>
          <w:i/>
          <w:iCs/>
          <w:color w:val="747474" w:themeColor="background2" w:themeShade="80"/>
          <w:sz w:val="18"/>
          <w:szCs w:val="18"/>
        </w:rPr>
      </w:pPr>
      <w:r w:rsidRPr="000D07BF">
        <w:rPr>
          <w:i/>
          <w:iCs/>
          <w:color w:val="747474" w:themeColor="background2" w:themeShade="80"/>
          <w:sz w:val="18"/>
          <w:szCs w:val="18"/>
        </w:rPr>
        <w:t>The mathematical formalism on pp. 27-32 is perhaps a bit lengthy for MCP, although I understand central to this work. Nevertheless, I wonder if it would be possible to significantly simplify these, and include only the simple explanation in the methods section, and the full derivation as supplemental information. It is not a criticism regarding the correctness, but a suggestion for making the manuscript more readable and emphasize the key point, namely that distributions can differ in more ways than simply having a different mean, and that looking for these enables more sensitive detection of different cell subpopulations from single-cell proteomics data.</w:t>
      </w:r>
    </w:p>
    <w:p w14:paraId="48BAB601" w14:textId="4A97792D" w:rsidR="00A633DA" w:rsidRDefault="00000000">
      <w:pPr>
        <w:spacing w:after="120"/>
        <w:rPr>
          <w:sz w:val="22"/>
          <w:szCs w:val="22"/>
        </w:rPr>
      </w:pPr>
      <w:r>
        <w:rPr>
          <w:sz w:val="22"/>
          <w:szCs w:val="22"/>
        </w:rPr>
        <w:t xml:space="preserve">We thank the reviewer for this helpful suggestion, which we fully agree with. The Methods section now opens with a </w:t>
      </w:r>
      <w:r w:rsidR="00FE0D4F">
        <w:rPr>
          <w:sz w:val="22"/>
          <w:szCs w:val="22"/>
        </w:rPr>
        <w:t>summarized</w:t>
      </w:r>
      <w:r>
        <w:rPr>
          <w:sz w:val="22"/>
          <w:szCs w:val="22"/>
        </w:rPr>
        <w:t>, non-technical overview of the gamdid approach in five steps</w:t>
      </w:r>
      <w:r w:rsidR="00FE0D4F">
        <w:rPr>
          <w:sz w:val="22"/>
          <w:szCs w:val="22"/>
        </w:rPr>
        <w:t xml:space="preserve">. </w:t>
      </w:r>
      <w:r>
        <w:rPr>
          <w:sz w:val="22"/>
          <w:szCs w:val="22"/>
        </w:rPr>
        <w:t>The</w:t>
      </w:r>
      <w:r w:rsidR="007D358F">
        <w:rPr>
          <w:sz w:val="22"/>
          <w:szCs w:val="22"/>
        </w:rPr>
        <w:t xml:space="preserve"> original Methods section with the</w:t>
      </w:r>
      <w:r>
        <w:rPr>
          <w:sz w:val="22"/>
          <w:szCs w:val="22"/>
        </w:rPr>
        <w:t xml:space="preserve"> </w:t>
      </w:r>
      <w:r w:rsidR="00A633DA">
        <w:rPr>
          <w:sz w:val="22"/>
          <w:szCs w:val="22"/>
        </w:rPr>
        <w:t>detailed</w:t>
      </w:r>
      <w:r>
        <w:rPr>
          <w:sz w:val="22"/>
          <w:szCs w:val="22"/>
        </w:rPr>
        <w:t xml:space="preserve"> </w:t>
      </w:r>
      <w:r w:rsidR="00FE0D4F">
        <w:rPr>
          <w:sz w:val="22"/>
          <w:szCs w:val="22"/>
        </w:rPr>
        <w:t>statsistical</w:t>
      </w:r>
      <w:r>
        <w:rPr>
          <w:sz w:val="22"/>
          <w:szCs w:val="22"/>
        </w:rPr>
        <w:t xml:space="preserve"> </w:t>
      </w:r>
      <w:r w:rsidR="00A633DA">
        <w:rPr>
          <w:sz w:val="22"/>
          <w:szCs w:val="22"/>
        </w:rPr>
        <w:t>specifications</w:t>
      </w:r>
      <w:r w:rsidR="007D358F">
        <w:rPr>
          <w:sz w:val="22"/>
          <w:szCs w:val="22"/>
        </w:rPr>
        <w:t xml:space="preserve"> </w:t>
      </w:r>
      <w:r>
        <w:rPr>
          <w:sz w:val="22"/>
          <w:szCs w:val="22"/>
        </w:rPr>
        <w:t xml:space="preserve">has been moved to a new section “Supplementary methods: </w:t>
      </w:r>
      <w:r w:rsidR="00650D77" w:rsidRPr="00650D77">
        <w:rPr>
          <w:sz w:val="22"/>
          <w:szCs w:val="22"/>
        </w:rPr>
        <w:t>full statistical specification of the gamdid framework</w:t>
      </w:r>
      <w:r>
        <w:rPr>
          <w:sz w:val="22"/>
          <w:szCs w:val="22"/>
        </w:rPr>
        <w:t>” in the Supplementary materials.</w:t>
      </w:r>
      <w:r w:rsidR="00A633DA">
        <w:rPr>
          <w:sz w:val="22"/>
          <w:szCs w:val="22"/>
        </w:rPr>
        <w:t xml:space="preserve"> We provide the new summarized Methods section below:</w:t>
      </w:r>
    </w:p>
    <w:p w14:paraId="56187E65" w14:textId="77777777" w:rsidR="000D07BF" w:rsidRDefault="000D07BF">
      <w:pPr>
        <w:spacing w:after="120"/>
        <w:rPr>
          <w:sz w:val="22"/>
          <w:szCs w:val="22"/>
        </w:rPr>
      </w:pPr>
    </w:p>
    <w:p w14:paraId="4D397E77" w14:textId="77777777" w:rsidR="000D07BF" w:rsidRDefault="000D07BF">
      <w:pPr>
        <w:spacing w:after="120"/>
        <w:rPr>
          <w:sz w:val="22"/>
          <w:szCs w:val="22"/>
        </w:rPr>
      </w:pPr>
    </w:p>
    <w:p w14:paraId="187BAF2C" w14:textId="77777777" w:rsidR="000D07BF" w:rsidRDefault="000D07BF">
      <w:pPr>
        <w:spacing w:after="120"/>
        <w:rPr>
          <w:sz w:val="22"/>
          <w:szCs w:val="22"/>
        </w:rPr>
      </w:pPr>
    </w:p>
    <w:p w14:paraId="6A107556" w14:textId="77777777" w:rsidR="000D07BF" w:rsidRDefault="000D07BF">
      <w:pPr>
        <w:spacing w:after="120"/>
        <w:rPr>
          <w:sz w:val="22"/>
          <w:szCs w:val="22"/>
        </w:rPr>
      </w:pPr>
    </w:p>
    <w:p w14:paraId="024817E2" w14:textId="77777777" w:rsidR="000D07BF" w:rsidRDefault="000D07BF">
      <w:pPr>
        <w:spacing w:after="120"/>
        <w:rPr>
          <w:sz w:val="22"/>
          <w:szCs w:val="22"/>
        </w:rPr>
      </w:pPr>
    </w:p>
    <w:p w14:paraId="1048018B" w14:textId="77777777" w:rsidR="00D53058" w:rsidRDefault="00D53058">
      <w:pPr>
        <w:spacing w:after="120"/>
        <w:rPr>
          <w:sz w:val="22"/>
          <w:szCs w:val="22"/>
        </w:rPr>
      </w:pPr>
    </w:p>
    <w:p w14:paraId="5B520766" w14:textId="77777777" w:rsidR="00AF017D" w:rsidRDefault="00000000">
      <w:pPr>
        <w:spacing w:after="120"/>
        <w:ind w:left="567"/>
        <w:rPr>
          <w:sz w:val="22"/>
          <w:szCs w:val="22"/>
        </w:rPr>
      </w:pPr>
      <w:r>
        <w:rPr>
          <w:sz w:val="22"/>
          <w:szCs w:val="22"/>
        </w:rPr>
        <w:lastRenderedPageBreak/>
        <w:t xml:space="preserve">Below, we first outline the </w:t>
      </w:r>
      <w:r>
        <w:rPr>
          <w:rFonts w:ascii="Courier New" w:hAnsi="Courier New" w:cs="Courier New"/>
          <w:sz w:val="22"/>
          <w:szCs w:val="22"/>
        </w:rPr>
        <w:t>gamdid</w:t>
      </w:r>
      <w:r>
        <w:rPr>
          <w:sz w:val="22"/>
          <w:szCs w:val="22"/>
        </w:rPr>
        <w:t xml:space="preserve"> approach (model equations, test statistics and the simultaneous confidence bands are discussed in more detail in the Supplementary materials). We subsequently describe the covariate adjustment procedure, the datasets, the simulation framework and the implementation.</w:t>
      </w:r>
    </w:p>
    <w:p w14:paraId="74F2AF04" w14:textId="77777777" w:rsidR="00AF017D" w:rsidRDefault="00000000">
      <w:pPr>
        <w:spacing w:after="120"/>
        <w:ind w:left="567"/>
        <w:rPr>
          <w:sz w:val="22"/>
          <w:szCs w:val="22"/>
        </w:rPr>
      </w:pPr>
      <w:r>
        <w:rPr>
          <w:b/>
          <w:bCs/>
          <w:sz w:val="22"/>
          <w:szCs w:val="22"/>
        </w:rPr>
        <w:t>Overview of the gamdid approach</w:t>
      </w:r>
    </w:p>
    <w:p w14:paraId="1D3119ED" w14:textId="77777777" w:rsidR="00AF017D" w:rsidRDefault="00000000">
      <w:pPr>
        <w:spacing w:after="120"/>
        <w:ind w:left="567"/>
        <w:rPr>
          <w:sz w:val="22"/>
          <w:szCs w:val="22"/>
        </w:rPr>
      </w:pPr>
      <w:r>
        <w:rPr>
          <w:sz w:val="22"/>
          <w:szCs w:val="22"/>
        </w:rPr>
        <w:t>The analysis is performed for each feature (protein or peptide) separately and consists of five steps (see Figure 2).</w:t>
      </w:r>
    </w:p>
    <w:p w14:paraId="7FBC5B1B" w14:textId="77777777" w:rsidR="00AF017D" w:rsidRDefault="00000000">
      <w:pPr>
        <w:spacing w:after="120"/>
        <w:ind w:left="567"/>
        <w:rPr>
          <w:sz w:val="22"/>
          <w:szCs w:val="22"/>
        </w:rPr>
      </w:pPr>
      <w:r>
        <w:rPr>
          <w:b/>
          <w:bCs/>
          <w:sz w:val="22"/>
          <w:szCs w:val="22"/>
        </w:rPr>
        <w:t xml:space="preserve">Step 1: Estimating a smooth distribution per group. </w:t>
      </w:r>
      <w:r>
        <w:rPr>
          <w:sz w:val="22"/>
          <w:szCs w:val="22"/>
        </w:rPr>
        <w:t>For a given feature, the abundance values of all cells are binned into a histogram, using the same bins for every group (see Figure 2, panel A). Following Lindsey [5] and Efron [11], the bin counts, i.e. number of cells with intensities in a specific bin, can be treated as Poisson counts.</w:t>
      </w:r>
    </w:p>
    <w:p w14:paraId="78001BFB" w14:textId="77777777" w:rsidR="00AF017D" w:rsidRDefault="00000000">
      <w:pPr>
        <w:spacing w:after="120"/>
        <w:ind w:left="567"/>
        <w:rPr>
          <w:sz w:val="22"/>
          <w:szCs w:val="22"/>
        </w:rPr>
      </w:pPr>
      <w:r>
        <w:rPr>
          <w:sz w:val="22"/>
          <w:szCs w:val="22"/>
        </w:rPr>
        <w:t xml:space="preserve">We then model the bin counts as a function of the bin midpoints using a Poisson GAM, which allows us to flexibly model the shape of the distribution with a smooth curve. Each group receives its own smooth curve (see Figure 2, panel B). Equation 1 schematically represents the smooth curve for group </w:t>
      </w:r>
      <w:r>
        <w:rPr>
          <w:i/>
          <w:iCs/>
          <w:sz w:val="22"/>
          <w:szCs w:val="22"/>
        </w:rPr>
        <w:t>c</w:t>
      </w:r>
      <w:r>
        <w:rPr>
          <w:sz w:val="22"/>
          <w:szCs w:val="22"/>
        </w:rPr>
        <w:t xml:space="preserve"> and bin </w:t>
      </w:r>
      <w:r>
        <w:rPr>
          <w:i/>
          <w:iCs/>
          <w:sz w:val="22"/>
          <w:szCs w:val="22"/>
        </w:rPr>
        <w:t>k</w:t>
      </w:r>
      <w:r>
        <w:rPr>
          <w:sz w:val="22"/>
          <w:szCs w:val="22"/>
        </w:rPr>
        <w:t xml:space="preserve"> with midpoint </w:t>
      </w:r>
      <w:r>
        <w:rPr>
          <w:i/>
          <w:iCs/>
          <w:sz w:val="22"/>
          <w:szCs w:val="22"/>
        </w:rPr>
        <w:t>mid</w:t>
      </w:r>
      <w:r>
        <w:rPr>
          <w:i/>
          <w:iCs/>
          <w:sz w:val="22"/>
          <w:szCs w:val="22"/>
          <w:vertAlign w:val="subscript"/>
        </w:rPr>
        <w:t>k</w:t>
      </w:r>
      <w:r>
        <w:rPr>
          <w:sz w:val="22"/>
          <w:szCs w:val="22"/>
        </w:rPr>
        <w:t>.</w:t>
      </w:r>
    </w:p>
    <w:p w14:paraId="373E7215" w14:textId="77777777" w:rsidR="00AF017D" w:rsidRDefault="00000000">
      <w:pPr>
        <w:spacing w:after="120"/>
        <w:ind w:left="567"/>
        <w:jc w:val="center"/>
        <w:rPr>
          <w:sz w:val="22"/>
          <w:szCs w:val="22"/>
        </w:rPr>
      </w:pPr>
      <m:oMath>
        <m:r>
          <m:rPr>
            <m:sty m:val="p"/>
          </m:rPr>
          <w:rPr>
            <w:rFonts w:ascii="Cambria Math" w:hAnsi="Cambria Math"/>
            <w:sz w:val="22"/>
          </w:rPr>
          <m:t xml:space="preserve">log(expected </m:t>
        </m:r>
        <m:sSub>
          <m:sSubPr>
            <m:ctrlPr>
              <w:rPr>
                <w:rFonts w:ascii="Cambria Math" w:hAnsi="Cambria Math"/>
              </w:rPr>
            </m:ctrlPr>
          </m:sSubPr>
          <m:e>
            <m:r>
              <m:rPr>
                <m:sty m:val="p"/>
              </m:rPr>
              <w:rPr>
                <w:rFonts w:ascii="Cambria Math" w:hAnsi="Cambria Math"/>
                <w:sz w:val="22"/>
              </w:rPr>
              <m:t>count</m:t>
            </m:r>
          </m:e>
          <m:sub>
            <m:r>
              <w:rPr>
                <w:rFonts w:ascii="Cambria Math" w:hAnsi="Cambria Math"/>
                <w:sz w:val="22"/>
              </w:rPr>
              <m:t>ck</m:t>
            </m:r>
          </m:sub>
        </m:sSub>
        <m:r>
          <m:rPr>
            <m:sty m:val="p"/>
          </m:rPr>
          <w:rPr>
            <w:rFonts w:ascii="Cambria Math" w:hAnsi="Cambria Math"/>
            <w:sz w:val="22"/>
          </w:rPr>
          <m:t xml:space="preserve">) = </m:t>
        </m:r>
        <m:limLow>
          <m:limLowPr>
            <m:ctrlPr>
              <w:rPr>
                <w:rFonts w:ascii="Cambria Math" w:hAnsi="Cambria Math"/>
              </w:rPr>
            </m:ctrlPr>
          </m:limLowPr>
          <m:e>
            <m:groupChr>
              <m:groupChrPr>
                <m:ctrlPr>
                  <w:rPr>
                    <w:rFonts w:ascii="Cambria Math" w:hAnsi="Cambria Math"/>
                  </w:rPr>
                </m:ctrlPr>
              </m:groupChrPr>
              <m:e>
                <m:sSub>
                  <m:sSubPr>
                    <m:ctrlPr>
                      <w:rPr>
                        <w:rFonts w:ascii="Cambria Math" w:hAnsi="Cambria Math"/>
                      </w:rPr>
                    </m:ctrlPr>
                  </m:sSubPr>
                  <m:e>
                    <m:r>
                      <w:rPr>
                        <w:rFonts w:ascii="Cambria Math" w:hAnsi="Cambria Math"/>
                        <w:sz w:val="22"/>
                      </w:rPr>
                      <m:t>f</m:t>
                    </m:r>
                  </m:e>
                  <m:sub>
                    <m:r>
                      <w:rPr>
                        <w:rFonts w:ascii="Cambria Math" w:hAnsi="Cambria Math"/>
                        <w:sz w:val="22"/>
                      </w:rPr>
                      <m:t>c</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mid</m:t>
                    </m:r>
                  </m:e>
                  <m:sub>
                    <m:r>
                      <w:rPr>
                        <w:rFonts w:ascii="Cambria Math" w:hAnsi="Cambria Math"/>
                        <w:sz w:val="22"/>
                      </w:rPr>
                      <m:t>k</m:t>
                    </m:r>
                  </m:sub>
                </m:sSub>
                <m:r>
                  <m:rPr>
                    <m:sty m:val="p"/>
                  </m:rPr>
                  <w:rPr>
                    <w:rFonts w:ascii="Cambria Math" w:hAnsi="Cambria Math"/>
                    <w:sz w:val="22"/>
                  </w:rPr>
                  <m:t>)</m:t>
                </m:r>
              </m:e>
            </m:groupChr>
          </m:e>
          <m:lim>
            <m:r>
              <m:rPr>
                <m:sty m:val="p"/>
              </m:rPr>
              <w:rPr>
                <w:rFonts w:ascii="Cambria Math" w:hAnsi="Cambria Math"/>
                <w:sz w:val="22"/>
              </w:rPr>
              <m:t xml:space="preserve">density estimation for group </m:t>
            </m:r>
            <m:r>
              <w:rPr>
                <w:rFonts w:ascii="Cambria Math" w:hAnsi="Cambria Math"/>
                <w:sz w:val="22"/>
              </w:rPr>
              <m:t>c</m:t>
            </m:r>
          </m:lim>
        </m:limLow>
        <m:r>
          <m:rPr>
            <m:sty m:val="p"/>
          </m:rPr>
          <w:rPr>
            <w:rFonts w:ascii="Cambria Math" w:hAnsi="Cambria Math"/>
            <w:sz w:val="22"/>
          </w:rPr>
          <m:t xml:space="preserve"> + normalization </m:t>
        </m:r>
        <m:sSub>
          <m:sSubPr>
            <m:ctrlPr>
              <w:rPr>
                <w:rFonts w:ascii="Cambria Math" w:hAnsi="Cambria Math"/>
              </w:rPr>
            </m:ctrlPr>
          </m:sSubPr>
          <m:e>
            <m:r>
              <m:rPr>
                <m:sty m:val="p"/>
              </m:rPr>
              <w:rPr>
                <w:rFonts w:ascii="Cambria Math" w:hAnsi="Cambria Math"/>
                <w:sz w:val="22"/>
              </w:rPr>
              <m:t>offset</m:t>
            </m:r>
          </m:e>
          <m:sub>
            <m:r>
              <w:rPr>
                <w:rFonts w:ascii="Cambria Math" w:hAnsi="Cambria Math"/>
                <w:sz w:val="22"/>
              </w:rPr>
              <m:t>c</m:t>
            </m:r>
          </m:sub>
        </m:sSub>
      </m:oMath>
      <w:r>
        <w:rPr>
          <w:sz w:val="22"/>
          <w:szCs w:val="22"/>
        </w:rPr>
        <w:t xml:space="preserve">        (1)</w:t>
      </w:r>
    </w:p>
    <w:p w14:paraId="3D33E94E" w14:textId="77777777" w:rsidR="00AF017D" w:rsidRDefault="00000000">
      <w:pPr>
        <w:spacing w:after="120"/>
        <w:ind w:left="567"/>
        <w:rPr>
          <w:sz w:val="22"/>
          <w:szCs w:val="22"/>
        </w:rPr>
      </w:pPr>
      <w:r>
        <w:rPr>
          <w:sz w:val="22"/>
          <w:szCs w:val="22"/>
        </w:rPr>
        <w:t xml:space="preserve">where </w:t>
      </w:r>
      <w:r>
        <w:rPr>
          <w:i/>
          <w:iCs/>
          <w:sz w:val="22"/>
          <w:szCs w:val="22"/>
        </w:rPr>
        <w:t>f</w:t>
      </w:r>
      <w:r>
        <w:rPr>
          <w:i/>
          <w:iCs/>
          <w:sz w:val="22"/>
          <w:szCs w:val="22"/>
          <w:vertAlign w:val="subscript"/>
        </w:rPr>
        <w:t>c</w:t>
      </w:r>
      <w:r>
        <w:rPr>
          <w:sz w:val="22"/>
          <w:szCs w:val="22"/>
        </w:rPr>
        <w:t xml:space="preserve"> is a flexible smooth function that captures the shape of the distribution of group </w:t>
      </w:r>
      <w:r>
        <w:rPr>
          <w:i/>
          <w:iCs/>
          <w:sz w:val="22"/>
          <w:szCs w:val="22"/>
        </w:rPr>
        <w:t>c</w:t>
      </w:r>
      <w:r>
        <w:rPr>
          <w:sz w:val="22"/>
          <w:szCs w:val="22"/>
        </w:rPr>
        <w:t xml:space="preserve">. The counts are normalized using an offset, which allows us to directly interpret the curves </w:t>
      </w:r>
      <w:r>
        <w:rPr>
          <w:i/>
          <w:iCs/>
          <w:sz w:val="22"/>
          <w:szCs w:val="22"/>
        </w:rPr>
        <w:t>f</w:t>
      </w:r>
      <w:r>
        <w:rPr>
          <w:i/>
          <w:iCs/>
          <w:sz w:val="22"/>
          <w:szCs w:val="22"/>
          <w:vertAlign w:val="subscript"/>
        </w:rPr>
        <w:t>c</w:t>
      </w:r>
      <w:r>
        <w:rPr>
          <w:sz w:val="22"/>
          <w:szCs w:val="22"/>
        </w:rPr>
        <w:t xml:space="preserve"> as log-transformed densities.</w:t>
      </w:r>
    </w:p>
    <w:p w14:paraId="0B8A33D8" w14:textId="77777777" w:rsidR="00AF017D" w:rsidRDefault="00000000">
      <w:pPr>
        <w:spacing w:after="120"/>
        <w:ind w:left="567"/>
        <w:rPr>
          <w:sz w:val="22"/>
          <w:szCs w:val="22"/>
        </w:rPr>
      </w:pPr>
      <w:r>
        <w:rPr>
          <w:b/>
          <w:bCs/>
          <w:sz w:val="22"/>
          <w:szCs w:val="22"/>
        </w:rPr>
        <w:t xml:space="preserve">Step 2: Testing whether the distributions differ. </w:t>
      </w:r>
      <w:r>
        <w:rPr>
          <w:sz w:val="22"/>
          <w:szCs w:val="22"/>
        </w:rPr>
        <w:t>If two groups have the same distribution, their smooth curves are identical, i.e. H</w:t>
      </w:r>
      <w:r>
        <w:rPr>
          <w:sz w:val="22"/>
          <w:szCs w:val="22"/>
          <w:vertAlign w:val="subscript"/>
        </w:rPr>
        <w:t>0</w:t>
      </w:r>
      <w:r>
        <w:rPr>
          <w:sz w:val="22"/>
          <w:szCs w:val="22"/>
        </w:rPr>
        <w:t xml:space="preserve">: </w:t>
      </w:r>
      <w:r>
        <w:rPr>
          <w:i/>
          <w:iCs/>
          <w:sz w:val="22"/>
          <w:szCs w:val="22"/>
        </w:rPr>
        <w:t>f</w:t>
      </w:r>
      <w:r>
        <w:rPr>
          <w:i/>
          <w:iCs/>
          <w:sz w:val="22"/>
          <w:szCs w:val="22"/>
          <w:vertAlign w:val="subscript"/>
        </w:rPr>
        <w:t>c1</w:t>
      </w:r>
      <w:r>
        <w:rPr>
          <w:sz w:val="22"/>
          <w:szCs w:val="22"/>
        </w:rPr>
        <w:t xml:space="preserve"> = </w:t>
      </w:r>
      <w:r>
        <w:rPr>
          <w:i/>
          <w:iCs/>
          <w:sz w:val="22"/>
          <w:szCs w:val="22"/>
        </w:rPr>
        <w:t>f</w:t>
      </w:r>
      <w:r>
        <w:rPr>
          <w:i/>
          <w:iCs/>
          <w:sz w:val="22"/>
          <w:szCs w:val="22"/>
          <w:vertAlign w:val="subscript"/>
        </w:rPr>
        <w:t>c2</w:t>
      </w:r>
      <w:r>
        <w:rPr>
          <w:sz w:val="22"/>
          <w:szCs w:val="22"/>
        </w:rPr>
        <w:t xml:space="preserve">. We test this by assessing if the parameters corresponding to a smooth curve </w:t>
      </w:r>
      <w:r>
        <w:rPr>
          <w:i/>
          <w:iCs/>
          <w:sz w:val="22"/>
          <w:szCs w:val="22"/>
        </w:rPr>
        <w:t>β</w:t>
      </w:r>
      <w:r>
        <w:rPr>
          <w:i/>
          <w:iCs/>
          <w:sz w:val="22"/>
          <w:szCs w:val="22"/>
          <w:vertAlign w:val="subscript"/>
        </w:rPr>
        <w:t>fc</w:t>
      </w:r>
      <w:r>
        <w:rPr>
          <w:sz w:val="22"/>
          <w:szCs w:val="22"/>
        </w:rPr>
        <w:t xml:space="preserve"> differ between the groups, i.e. H</w:t>
      </w:r>
      <w:r>
        <w:rPr>
          <w:sz w:val="22"/>
          <w:szCs w:val="22"/>
          <w:vertAlign w:val="subscript"/>
        </w:rPr>
        <w:t>0</w:t>
      </w:r>
      <w:r>
        <w:rPr>
          <w:sz w:val="22"/>
          <w:szCs w:val="22"/>
        </w:rPr>
        <w:t xml:space="preserve">: </w:t>
      </w:r>
      <w:r>
        <w:rPr>
          <w:i/>
          <w:iCs/>
          <w:sz w:val="22"/>
          <w:szCs w:val="22"/>
        </w:rPr>
        <w:t>β</w:t>
      </w:r>
      <w:r>
        <w:rPr>
          <w:i/>
          <w:iCs/>
          <w:sz w:val="22"/>
          <w:szCs w:val="22"/>
          <w:vertAlign w:val="subscript"/>
        </w:rPr>
        <w:t>fc1</w:t>
      </w:r>
      <w:r>
        <w:rPr>
          <w:sz w:val="22"/>
          <w:szCs w:val="22"/>
        </w:rPr>
        <w:t xml:space="preserve"> = </w:t>
      </w:r>
      <w:r>
        <w:rPr>
          <w:i/>
          <w:iCs/>
          <w:sz w:val="22"/>
          <w:szCs w:val="22"/>
        </w:rPr>
        <w:t>β</w:t>
      </w:r>
      <w:r>
        <w:rPr>
          <w:i/>
          <w:iCs/>
          <w:sz w:val="22"/>
          <w:szCs w:val="22"/>
          <w:vertAlign w:val="subscript"/>
        </w:rPr>
        <w:t>fc2</w:t>
      </w:r>
      <w:r>
        <w:rPr>
          <w:sz w:val="22"/>
          <w:szCs w:val="22"/>
        </w:rPr>
        <w:t>. We do this by employing a Wald-type test that builds on the work of Wood [12]. The resulting p-value, referred to as the GAM p-value, captures any difference in distribution between the groups: mean shifts, differences in variance, modality, skewness...</w:t>
      </w:r>
    </w:p>
    <w:p w14:paraId="4FF392F3" w14:textId="77777777" w:rsidR="00AF017D" w:rsidRDefault="00000000">
      <w:pPr>
        <w:spacing w:after="120"/>
        <w:ind w:left="567"/>
        <w:rPr>
          <w:sz w:val="22"/>
          <w:szCs w:val="22"/>
        </w:rPr>
      </w:pPr>
      <w:r>
        <w:rPr>
          <w:b/>
          <w:bCs/>
          <w:sz w:val="22"/>
          <w:szCs w:val="22"/>
        </w:rPr>
        <w:t xml:space="preserve">Step 3: Combining with a mean-shift test. </w:t>
      </w:r>
      <w:r>
        <w:rPr>
          <w:sz w:val="22"/>
          <w:szCs w:val="22"/>
        </w:rPr>
        <w:t xml:space="preserve">Because the GAM test spreads its power over all possible types of distributional differences, it is less powerful than a dedicated DA method for detecting pure mean shifts. We therefore also compute a p-value with </w:t>
      </w:r>
      <w:r>
        <w:rPr>
          <w:rFonts w:ascii="Courier New" w:hAnsi="Courier New" w:cs="Courier New"/>
          <w:sz w:val="22"/>
          <w:szCs w:val="22"/>
        </w:rPr>
        <w:t>msqrob2</w:t>
      </w:r>
      <w:r>
        <w:rPr>
          <w:sz w:val="22"/>
          <w:szCs w:val="22"/>
        </w:rPr>
        <w:t xml:space="preserve">, a robust linear-model approach designed for detecting mean shifts in proteomics data [6]. The GAM and </w:t>
      </w:r>
      <w:r>
        <w:rPr>
          <w:rFonts w:ascii="Courier New" w:hAnsi="Courier New" w:cs="Courier New"/>
          <w:sz w:val="22"/>
          <w:szCs w:val="22"/>
        </w:rPr>
        <w:t>msqrob2</w:t>
      </w:r>
      <w:r>
        <w:rPr>
          <w:sz w:val="22"/>
          <w:szCs w:val="22"/>
        </w:rPr>
        <w:t xml:space="preserve"> p-values are combined into a single ‘feature-level aggregated p-value’ using the harmonic mean p-value (HMP) method [7]. As a result, </w:t>
      </w:r>
      <w:r>
        <w:rPr>
          <w:rFonts w:ascii="Courier New" w:hAnsi="Courier New" w:cs="Courier New"/>
          <w:sz w:val="22"/>
          <w:szCs w:val="22"/>
        </w:rPr>
        <w:t>gamdid</w:t>
      </w:r>
      <w:r>
        <w:rPr>
          <w:sz w:val="22"/>
          <w:szCs w:val="22"/>
        </w:rPr>
        <w:t xml:space="preserve"> largely retains the sensitivity of conventional DA analysis for mean shifts, while additionally detecting changes in distributional shape that DA methods miss.</w:t>
      </w:r>
    </w:p>
    <w:p w14:paraId="4E5957EE" w14:textId="77777777" w:rsidR="00AF017D" w:rsidRDefault="00000000">
      <w:pPr>
        <w:spacing w:after="120"/>
        <w:ind w:left="567"/>
        <w:rPr>
          <w:sz w:val="22"/>
          <w:szCs w:val="22"/>
        </w:rPr>
      </w:pPr>
      <w:r>
        <w:rPr>
          <w:b/>
          <w:bCs/>
          <w:sz w:val="22"/>
          <w:szCs w:val="22"/>
        </w:rPr>
        <w:t xml:space="preserve">Step 4: Multiple testing and pairwise comparisons. </w:t>
      </w:r>
      <w:r>
        <w:rPr>
          <w:sz w:val="22"/>
          <w:szCs w:val="22"/>
        </w:rPr>
        <w:t xml:space="preserve">The feature-level aggregated p-values are corrected for multiple testing across features using the Benjamini-Hochberg FDR procedure [13]. When more than two groups are compared, significant features are followed up with pairwise comparisons between all pairs of groups, using the same combination of GAM and </w:t>
      </w:r>
      <w:r>
        <w:rPr>
          <w:rFonts w:ascii="Courier New" w:hAnsi="Courier New" w:cs="Courier New"/>
          <w:sz w:val="22"/>
          <w:szCs w:val="22"/>
        </w:rPr>
        <w:t>msqrob2</w:t>
      </w:r>
      <w:r>
        <w:rPr>
          <w:sz w:val="22"/>
          <w:szCs w:val="22"/>
        </w:rPr>
        <w:t xml:space="preserve"> tests. The feature-level and pairwise hypotheses are jointly controlled for multiple testing by the stagewise testing procedure [10, 14].</w:t>
      </w:r>
    </w:p>
    <w:p w14:paraId="548F35A1" w14:textId="77777777" w:rsidR="00AF017D" w:rsidRDefault="00000000">
      <w:pPr>
        <w:spacing w:after="120"/>
        <w:ind w:left="567"/>
        <w:rPr>
          <w:sz w:val="22"/>
          <w:szCs w:val="22"/>
        </w:rPr>
      </w:pPr>
      <w:r>
        <w:rPr>
          <w:b/>
          <w:bCs/>
          <w:sz w:val="22"/>
          <w:szCs w:val="22"/>
        </w:rPr>
        <w:t xml:space="preserve">Step 5: Detecting differential regions. </w:t>
      </w:r>
      <w:r>
        <w:rPr>
          <w:sz w:val="22"/>
          <w:szCs w:val="22"/>
        </w:rPr>
        <w:t xml:space="preserve">Finally, </w:t>
      </w:r>
      <w:r>
        <w:rPr>
          <w:rFonts w:ascii="Courier New" w:hAnsi="Courier New" w:cs="Courier New"/>
          <w:sz w:val="22"/>
          <w:szCs w:val="22"/>
        </w:rPr>
        <w:t>gamdid</w:t>
      </w:r>
      <w:r>
        <w:rPr>
          <w:sz w:val="22"/>
          <w:szCs w:val="22"/>
        </w:rPr>
        <w:t xml:space="preserve"> can indicate where the distributions differ. For this, a log-difference smoother is computed. This smoother displays the difference between the estimated log-densities of two groups, together with a simultaneous confidence band. Regions where this band excludes zero indicate a statistically significant local distributional difference; these are marked by gray shading (Figure 2, panel C).</w:t>
      </w:r>
    </w:p>
    <w:p w14:paraId="3A1EBD42" w14:textId="77777777" w:rsidR="00D53058" w:rsidRDefault="00D53058">
      <w:pPr>
        <w:spacing w:after="120"/>
        <w:rPr>
          <w:b/>
          <w:bCs/>
          <w:sz w:val="22"/>
          <w:szCs w:val="22"/>
        </w:rPr>
      </w:pPr>
    </w:p>
    <w:p w14:paraId="0C886215" w14:textId="4AE12394" w:rsidR="00CE1755" w:rsidRDefault="00000000">
      <w:pPr>
        <w:spacing w:after="120"/>
        <w:rPr>
          <w:b/>
          <w:bCs/>
          <w:sz w:val="22"/>
          <w:szCs w:val="22"/>
        </w:rPr>
      </w:pPr>
      <w:r>
        <w:rPr>
          <w:b/>
          <w:bCs/>
          <w:sz w:val="22"/>
          <w:szCs w:val="22"/>
        </w:rPr>
        <w:lastRenderedPageBreak/>
        <w:t>Figures</w:t>
      </w:r>
    </w:p>
    <w:p w14:paraId="672764A4" w14:textId="77777777" w:rsidR="00CE1755" w:rsidRPr="00322003" w:rsidRDefault="00000000">
      <w:pPr>
        <w:spacing w:after="120"/>
        <w:rPr>
          <w:i/>
          <w:iCs/>
          <w:color w:val="747474" w:themeColor="background2" w:themeShade="80"/>
          <w:sz w:val="18"/>
          <w:szCs w:val="18"/>
        </w:rPr>
      </w:pPr>
      <w:r w:rsidRPr="00322003">
        <w:rPr>
          <w:i/>
          <w:iCs/>
          <w:color w:val="747474" w:themeColor="background2" w:themeShade="80"/>
          <w:sz w:val="18"/>
          <w:szCs w:val="18"/>
        </w:rPr>
        <w:t>Figure 1: The authors label the abscissae with the protein accessions rather than z-score. I would probably prefer the latter. Minor comment: the middle panel also shows a clear difference in kurtosis (being clearly platykurtic). Perhaps the authors wish to comment on this, even if only the second central moment is used in the work. But I also understand the authors wish to follow Korthauer’s categories throughout the manuscript for consistency.</w:t>
      </w:r>
    </w:p>
    <w:p w14:paraId="6D4CDD70" w14:textId="77777777" w:rsidR="00CE1755" w:rsidRDefault="00000000">
      <w:pPr>
        <w:spacing w:after="120"/>
        <w:rPr>
          <w:sz w:val="22"/>
          <w:szCs w:val="22"/>
        </w:rPr>
      </w:pPr>
      <w:r>
        <w:rPr>
          <w:sz w:val="22"/>
          <w:szCs w:val="22"/>
        </w:rPr>
        <w:t>We thank the reviewer for this suggestion. The values shown in Figure 1 are not z-scores but log2-transformed, median-centred protein intensities, which is the scale used in all downstream analyses. To stay consistent with the rest of the manuscript, we kept this scale: the x-axes are now labelled “Normalized log2 intensity”, the protein accessions are shown as panel titles, and the figure caption explains the axis and refers to the Data subsection of the Methods for the preprocessing.</w:t>
      </w:r>
    </w:p>
    <w:p w14:paraId="38D8072D" w14:textId="74463C27" w:rsidR="00CE1755" w:rsidRDefault="00000000" w:rsidP="00014D04">
      <w:pPr>
        <w:spacing w:after="120"/>
        <w:rPr>
          <w:sz w:val="22"/>
          <w:szCs w:val="22"/>
        </w:rPr>
      </w:pPr>
      <w:r>
        <w:rPr>
          <w:sz w:val="22"/>
          <w:szCs w:val="22"/>
        </w:rPr>
        <w:t xml:space="preserve">We also agree with the reviewer’s observation on the middle panel, there is also a clear difference in kurtosis. As the reviewer anticipated, we kept Korthauer’s categories throughout the manuscript for consistency. </w:t>
      </w:r>
      <w:r w:rsidR="00F449DD">
        <w:rPr>
          <w:sz w:val="22"/>
          <w:szCs w:val="22"/>
        </w:rPr>
        <w:t xml:space="preserve">However, we added this note to the caption of figure </w:t>
      </w:r>
      <w:r w:rsidR="005D1128">
        <w:rPr>
          <w:sz w:val="22"/>
          <w:szCs w:val="22"/>
        </w:rPr>
        <w:t xml:space="preserve">1: </w:t>
      </w:r>
      <w:r w:rsidR="00014D04" w:rsidRPr="00014D04">
        <w:rPr>
          <w:sz w:val="22"/>
          <w:szCs w:val="22"/>
        </w:rPr>
        <w:t>(Note that there is also a clear</w:t>
      </w:r>
      <w:r w:rsidR="00014D04">
        <w:rPr>
          <w:sz w:val="22"/>
          <w:szCs w:val="22"/>
        </w:rPr>
        <w:t xml:space="preserve"> </w:t>
      </w:r>
      <w:r w:rsidR="00014D04" w:rsidRPr="00014D04">
        <w:rPr>
          <w:sz w:val="22"/>
          <w:szCs w:val="22"/>
        </w:rPr>
        <w:t>difference in kurtosis)</w:t>
      </w:r>
      <w:r>
        <w:rPr>
          <w:sz w:val="22"/>
          <w:szCs w:val="22"/>
        </w:rPr>
        <w:t>.</w:t>
      </w:r>
    </w:p>
    <w:p w14:paraId="52981BFE" w14:textId="77777777" w:rsidR="00CE1755" w:rsidRPr="00322003" w:rsidRDefault="00000000">
      <w:pPr>
        <w:spacing w:after="120"/>
        <w:rPr>
          <w:i/>
          <w:iCs/>
          <w:color w:val="747474" w:themeColor="background2" w:themeShade="80"/>
          <w:sz w:val="18"/>
          <w:szCs w:val="18"/>
        </w:rPr>
      </w:pPr>
      <w:r w:rsidRPr="00322003">
        <w:rPr>
          <w:i/>
          <w:iCs/>
          <w:color w:val="747474" w:themeColor="background2" w:themeShade="80"/>
          <w:sz w:val="18"/>
          <w:szCs w:val="18"/>
        </w:rPr>
        <w:t>Figures 3-7: I would probably spell out the Korthauer categories in the figures. They help explain what you see, and there is certainly room in the figures. The actual charts can be expanded in the vertical dimension to better separate the FDP-TPP curves visually by removing some of the white space between the panels.</w:t>
      </w:r>
    </w:p>
    <w:p w14:paraId="3076C687" w14:textId="504E4DBB" w:rsidR="00CE1755" w:rsidRDefault="00000000">
      <w:pPr>
        <w:spacing w:after="120"/>
        <w:rPr>
          <w:sz w:val="22"/>
          <w:szCs w:val="22"/>
        </w:rPr>
      </w:pPr>
      <w:r>
        <w:rPr>
          <w:sz w:val="22"/>
          <w:szCs w:val="22"/>
        </w:rPr>
        <w:t xml:space="preserve">Thank you for this suggestion. The Korthauer categories are now spelled out in the panel titles of Figure 3 and </w:t>
      </w:r>
      <w:r w:rsidR="00350408">
        <w:rPr>
          <w:sz w:val="22"/>
          <w:szCs w:val="22"/>
        </w:rPr>
        <w:t>in</w:t>
      </w:r>
      <w:r>
        <w:rPr>
          <w:sz w:val="22"/>
          <w:szCs w:val="22"/>
        </w:rPr>
        <w:t xml:space="preserve"> all FDP-TPP </w:t>
      </w:r>
      <w:r w:rsidR="00350408">
        <w:rPr>
          <w:sz w:val="22"/>
          <w:szCs w:val="22"/>
        </w:rPr>
        <w:t xml:space="preserve">figures </w:t>
      </w:r>
      <w:r>
        <w:rPr>
          <w:sz w:val="22"/>
          <w:szCs w:val="22"/>
        </w:rPr>
        <w:t xml:space="preserve">( “DE: differential expression”, “DV: differential variability”, “DB: differential both”, “DM: differential modality” and “DP: differential proportion”). In addition, </w:t>
      </w:r>
      <w:r w:rsidR="00411779">
        <w:rPr>
          <w:sz w:val="22"/>
          <w:szCs w:val="22"/>
        </w:rPr>
        <w:t>panels are now side by side in the same figure to</w:t>
      </w:r>
      <w:r>
        <w:rPr>
          <w:sz w:val="22"/>
          <w:szCs w:val="22"/>
        </w:rPr>
        <w:t xml:space="preserve"> reduce the white spac</w:t>
      </w:r>
      <w:r w:rsidR="00411779">
        <w:rPr>
          <w:sz w:val="22"/>
          <w:szCs w:val="22"/>
        </w:rPr>
        <w:t>e</w:t>
      </w:r>
      <w:r>
        <w:rPr>
          <w:sz w:val="22"/>
          <w:szCs w:val="22"/>
        </w:rPr>
        <w:t>.</w:t>
      </w:r>
    </w:p>
    <w:p w14:paraId="57AAE80E" w14:textId="77777777" w:rsidR="00CE1755" w:rsidRPr="00322003" w:rsidRDefault="00000000">
      <w:pPr>
        <w:spacing w:after="120"/>
        <w:rPr>
          <w:i/>
          <w:iCs/>
          <w:color w:val="747474" w:themeColor="background2" w:themeShade="80"/>
          <w:sz w:val="18"/>
          <w:szCs w:val="18"/>
        </w:rPr>
      </w:pPr>
      <w:r w:rsidRPr="00322003">
        <w:rPr>
          <w:i/>
          <w:iCs/>
          <w:color w:val="747474" w:themeColor="background2" w:themeShade="80"/>
          <w:sz w:val="18"/>
          <w:szCs w:val="18"/>
        </w:rPr>
        <w:t>Figures 7-: There may be more figures than needed in the manuscript itself. Especially a secondary validation such as the one shown here could be moved to supplemental information and summarized in a single sentence. Sixteen figures in total are too many, making the manuscript bloated and more taxing to read. This risks losing readers in the details and distracting them from the main points.</w:t>
      </w:r>
    </w:p>
    <w:p w14:paraId="52955812" w14:textId="77777777" w:rsidR="00CE1755" w:rsidRDefault="00000000">
      <w:pPr>
        <w:spacing w:after="120"/>
        <w:rPr>
          <w:i/>
          <w:iCs/>
          <w:sz w:val="22"/>
          <w:szCs w:val="22"/>
        </w:rPr>
      </w:pPr>
      <w:r>
        <w:rPr>
          <w:i/>
          <w:iCs/>
          <w:sz w:val="22"/>
          <w:szCs w:val="22"/>
        </w:rPr>
        <w:t>Figures 11 and 12, as well as figures 14 and 15, could probably be combined as well.</w:t>
      </w:r>
    </w:p>
    <w:p w14:paraId="16DD4E93" w14:textId="77777777" w:rsidR="00716BE6" w:rsidRDefault="00000000">
      <w:pPr>
        <w:spacing w:after="120"/>
        <w:rPr>
          <w:sz w:val="22"/>
          <w:szCs w:val="22"/>
        </w:rPr>
      </w:pPr>
      <w:r>
        <w:rPr>
          <w:sz w:val="22"/>
          <w:szCs w:val="22"/>
        </w:rPr>
        <w:t>We agree with the reviewer and have reduced the number of main-text figures from 16 to 8. Specifically:</w:t>
      </w:r>
    </w:p>
    <w:p w14:paraId="431C0A49" w14:textId="77777777" w:rsidR="00716BE6" w:rsidRDefault="00000000">
      <w:pPr>
        <w:spacing w:after="120"/>
        <w:rPr>
          <w:sz w:val="22"/>
          <w:szCs w:val="22"/>
        </w:rPr>
      </w:pPr>
      <w:r>
        <w:rPr>
          <w:sz w:val="22"/>
          <w:szCs w:val="22"/>
        </w:rPr>
        <w:t>• The four simulation benchmark figures (former Figures 4–7, showing the standalone GAM method and gamdid separately for the Leduc and Petrosius datasets) were condensed into a single figure. The new Figure 4 shows gamdid, the standalone GAM method, msqrob2 and distinct together for the Petrosius dataset; the corresponding results for the Leduc dataset were moved to Supplementary Figure S1.</w:t>
      </w:r>
    </w:p>
    <w:p w14:paraId="25C364CB" w14:textId="77777777" w:rsidR="00716BE6" w:rsidRDefault="00000000">
      <w:pPr>
        <w:spacing w:after="120"/>
        <w:rPr>
          <w:sz w:val="22"/>
          <w:szCs w:val="22"/>
        </w:rPr>
      </w:pPr>
      <w:r>
        <w:rPr>
          <w:sz w:val="22"/>
          <w:szCs w:val="22"/>
        </w:rPr>
        <w:t>• Secondary validations were moved to the Supplementary materials and are summarized in a single sentence in the main text. This concerns the absolute true positive counts (former Figures 8 and 9, now combined in Supplementary Figure S2) and the runtime comparison (former Figure 16, now Supplementary Figure S9).</w:t>
      </w:r>
    </w:p>
    <w:p w14:paraId="53FE8428" w14:textId="77777777" w:rsidR="00716BE6" w:rsidRDefault="00000000">
      <w:pPr>
        <w:spacing w:after="120"/>
        <w:rPr>
          <w:sz w:val="22"/>
          <w:szCs w:val="22"/>
        </w:rPr>
      </w:pPr>
      <w:r>
        <w:rPr>
          <w:sz w:val="22"/>
          <w:szCs w:val="22"/>
        </w:rPr>
        <w:t>• As suggested by the reviewer, former Figures 11 and 12 were combined into one multi-panel figure (new Figure 6), and former Figures 14 and 15 were combined into the new Figure 8.</w:t>
      </w:r>
    </w:p>
    <w:p w14:paraId="6620C626" w14:textId="61605237" w:rsidR="00716BE6" w:rsidRDefault="00000000">
      <w:pPr>
        <w:spacing w:after="120"/>
        <w:rPr>
          <w:sz w:val="22"/>
          <w:szCs w:val="22"/>
        </w:rPr>
      </w:pPr>
      <w:r>
        <w:rPr>
          <w:sz w:val="22"/>
          <w:szCs w:val="22"/>
        </w:rPr>
        <w:t>• The single-feature example of the case study (former Figure</w:t>
      </w:r>
      <w:r w:rsidR="007101A4">
        <w:rPr>
          <w:sz w:val="22"/>
          <w:szCs w:val="22"/>
        </w:rPr>
        <w:t>s</w:t>
      </w:r>
      <w:r>
        <w:rPr>
          <w:sz w:val="22"/>
          <w:szCs w:val="22"/>
        </w:rPr>
        <w:t xml:space="preserve"> 13</w:t>
      </w:r>
      <w:r w:rsidR="0061613B">
        <w:rPr>
          <w:sz w:val="22"/>
          <w:szCs w:val="22"/>
        </w:rPr>
        <w:t xml:space="preserve"> and </w:t>
      </w:r>
      <w:r w:rsidR="002571B0">
        <w:rPr>
          <w:sz w:val="22"/>
          <w:szCs w:val="22"/>
        </w:rPr>
        <w:t>S9-S12</w:t>
      </w:r>
      <w:r w:rsidR="007101A4">
        <w:rPr>
          <w:sz w:val="22"/>
          <w:szCs w:val="22"/>
        </w:rPr>
        <w:t xml:space="preserve">) are restructured and </w:t>
      </w:r>
      <w:r w:rsidR="002F5496">
        <w:rPr>
          <w:sz w:val="22"/>
          <w:szCs w:val="22"/>
        </w:rPr>
        <w:t xml:space="preserve">now </w:t>
      </w:r>
      <w:r w:rsidR="007101A4">
        <w:rPr>
          <w:sz w:val="22"/>
          <w:szCs w:val="22"/>
        </w:rPr>
        <w:t xml:space="preserve">combined in the new </w:t>
      </w:r>
      <w:r w:rsidR="002F5496">
        <w:rPr>
          <w:sz w:val="22"/>
          <w:szCs w:val="22"/>
        </w:rPr>
        <w:t>F</w:t>
      </w:r>
      <w:r w:rsidR="004C1E85">
        <w:rPr>
          <w:sz w:val="22"/>
          <w:szCs w:val="22"/>
        </w:rPr>
        <w:t>i</w:t>
      </w:r>
      <w:r w:rsidR="007101A4">
        <w:rPr>
          <w:sz w:val="22"/>
          <w:szCs w:val="22"/>
        </w:rPr>
        <w:t xml:space="preserve">gures </w:t>
      </w:r>
      <w:r w:rsidR="002F5496">
        <w:rPr>
          <w:sz w:val="22"/>
          <w:szCs w:val="22"/>
        </w:rPr>
        <w:t>7</w:t>
      </w:r>
      <w:r w:rsidR="004C1E85">
        <w:rPr>
          <w:sz w:val="22"/>
          <w:szCs w:val="22"/>
        </w:rPr>
        <w:t xml:space="preserve"> and S8</w:t>
      </w:r>
      <w:r w:rsidR="00AD2150">
        <w:rPr>
          <w:sz w:val="22"/>
          <w:szCs w:val="22"/>
        </w:rPr>
        <w:t>.</w:t>
      </w:r>
    </w:p>
    <w:p w14:paraId="125E94EC" w14:textId="09A9EDAE" w:rsidR="00716BE6" w:rsidRDefault="00000000">
      <w:pPr>
        <w:spacing w:after="120"/>
        <w:rPr>
          <w:sz w:val="22"/>
          <w:szCs w:val="22"/>
        </w:rPr>
      </w:pPr>
      <w:r>
        <w:rPr>
          <w:sz w:val="22"/>
          <w:szCs w:val="22"/>
        </w:rPr>
        <w:t>In the same spirit, the supplementary figures, of which there are now 9</w:t>
      </w:r>
      <w:r w:rsidR="00FC7495">
        <w:rPr>
          <w:sz w:val="22"/>
          <w:szCs w:val="22"/>
        </w:rPr>
        <w:t xml:space="preserve">, are </w:t>
      </w:r>
      <w:r w:rsidR="000B4483">
        <w:rPr>
          <w:sz w:val="22"/>
          <w:szCs w:val="22"/>
        </w:rPr>
        <w:t>further</w:t>
      </w:r>
      <w:r w:rsidR="00FC7495">
        <w:rPr>
          <w:sz w:val="22"/>
          <w:szCs w:val="22"/>
        </w:rPr>
        <w:t xml:space="preserve"> condensed</w:t>
      </w:r>
      <w:r>
        <w:rPr>
          <w:sz w:val="22"/>
          <w:szCs w:val="22"/>
        </w:rPr>
        <w:t>: the results for the Leduc and Petrosius datasets are shown together in single figures</w:t>
      </w:r>
      <w:r w:rsidR="00C46A4D">
        <w:rPr>
          <w:sz w:val="22"/>
          <w:szCs w:val="22"/>
        </w:rPr>
        <w:t xml:space="preserve"> (former figures </w:t>
      </w:r>
      <w:r w:rsidR="003E120E">
        <w:rPr>
          <w:sz w:val="22"/>
          <w:szCs w:val="22"/>
        </w:rPr>
        <w:t xml:space="preserve">S4 and S5 now form </w:t>
      </w:r>
      <w:r w:rsidR="00D2529E">
        <w:rPr>
          <w:sz w:val="22"/>
          <w:szCs w:val="22"/>
        </w:rPr>
        <w:t xml:space="preserve">new </w:t>
      </w:r>
      <w:r w:rsidR="003E120E">
        <w:rPr>
          <w:sz w:val="22"/>
          <w:szCs w:val="22"/>
        </w:rPr>
        <w:t>figure S5</w:t>
      </w:r>
      <w:r w:rsidR="00C46A4D">
        <w:rPr>
          <w:sz w:val="22"/>
          <w:szCs w:val="22"/>
        </w:rPr>
        <w:t>)</w:t>
      </w:r>
      <w:r w:rsidR="00514B00">
        <w:rPr>
          <w:sz w:val="22"/>
          <w:szCs w:val="22"/>
        </w:rPr>
        <w:t>.</w:t>
      </w:r>
    </w:p>
    <w:p w14:paraId="148AAEEE" w14:textId="77777777" w:rsidR="00DC0C20" w:rsidRDefault="00DC0C20">
      <w:pPr>
        <w:spacing w:after="120"/>
        <w:rPr>
          <w:b/>
          <w:bCs/>
          <w:sz w:val="22"/>
          <w:szCs w:val="22"/>
        </w:rPr>
      </w:pPr>
    </w:p>
    <w:p w14:paraId="00E0393B" w14:textId="77777777" w:rsidR="00DC0C20" w:rsidRDefault="00DC0C20">
      <w:pPr>
        <w:spacing w:after="120"/>
        <w:rPr>
          <w:b/>
          <w:bCs/>
          <w:sz w:val="22"/>
          <w:szCs w:val="22"/>
        </w:rPr>
      </w:pPr>
    </w:p>
    <w:p w14:paraId="661FE55E" w14:textId="2765A10D" w:rsidR="00CE1755" w:rsidRDefault="00000000">
      <w:pPr>
        <w:spacing w:after="120"/>
        <w:rPr>
          <w:b/>
          <w:bCs/>
          <w:sz w:val="22"/>
          <w:szCs w:val="22"/>
        </w:rPr>
      </w:pPr>
      <w:r>
        <w:rPr>
          <w:b/>
          <w:bCs/>
          <w:sz w:val="22"/>
          <w:szCs w:val="22"/>
        </w:rPr>
        <w:lastRenderedPageBreak/>
        <w:t>Software</w:t>
      </w:r>
    </w:p>
    <w:p w14:paraId="70AF2914" w14:textId="77777777" w:rsidR="00CE1755" w:rsidRPr="00DC0C20" w:rsidRDefault="00000000">
      <w:pPr>
        <w:spacing w:after="120"/>
        <w:rPr>
          <w:i/>
          <w:iCs/>
          <w:color w:val="747474" w:themeColor="background2" w:themeShade="80"/>
          <w:sz w:val="18"/>
          <w:szCs w:val="18"/>
        </w:rPr>
      </w:pPr>
      <w:r w:rsidRPr="00DC0C20">
        <w:rPr>
          <w:i/>
          <w:iCs/>
          <w:color w:val="747474" w:themeColor="background2" w:themeShade="80"/>
          <w:sz w:val="18"/>
          <w:szCs w:val="18"/>
        </w:rPr>
        <w:t>I have checked out the GitHub repository, and think this could need some more documentation. I was happy to see the vignette though. The authors should also provide an explicit license in the repository, and ideally also a CITATION CFF file.</w:t>
      </w:r>
    </w:p>
    <w:p w14:paraId="0AC7CD9E" w14:textId="73F1A32E" w:rsidR="00CE1755" w:rsidRDefault="00000000">
      <w:pPr>
        <w:spacing w:after="120"/>
        <w:rPr>
          <w:sz w:val="22"/>
          <w:szCs w:val="22"/>
        </w:rPr>
      </w:pPr>
      <w:r>
        <w:rPr>
          <w:sz w:val="22"/>
          <w:szCs w:val="22"/>
        </w:rPr>
        <w:t xml:space="preserve">We thank the reviewer for taking the time to check the repository. We have extended the README, which now describes how the method works, the required input data, the main functions and their output, and includes a quick-start example, links to the vignette and help pages, and citation information. The vignette was </w:t>
      </w:r>
      <w:r w:rsidR="000312B4">
        <w:rPr>
          <w:sz w:val="22"/>
          <w:szCs w:val="22"/>
        </w:rPr>
        <w:t>extended</w:t>
      </w:r>
      <w:r>
        <w:rPr>
          <w:sz w:val="22"/>
          <w:szCs w:val="22"/>
        </w:rPr>
        <w:t xml:space="preserve"> as well. In addition, we added an explicit license file (Artistic License 2.0, as declared in the package DESCRIPTION) and a CITATION.cff file, so that the software can be cited directly from GitHub.</w:t>
      </w:r>
    </w:p>
    <w:p w14:paraId="2E27E8B6" w14:textId="77777777" w:rsidR="00CE1755" w:rsidRDefault="00CE1755">
      <w:pPr>
        <w:spacing w:after="120"/>
        <w:rPr>
          <w:sz w:val="22"/>
          <w:szCs w:val="22"/>
        </w:rPr>
      </w:pPr>
    </w:p>
    <w:p w14:paraId="4C175E71" w14:textId="77777777" w:rsidR="00CE1755" w:rsidRDefault="00000000">
      <w:pPr>
        <w:spacing w:after="120"/>
        <w:rPr>
          <w:sz w:val="22"/>
          <w:szCs w:val="22"/>
        </w:rPr>
      </w:pPr>
      <w:r>
        <w:rPr>
          <w:sz w:val="22"/>
          <w:szCs w:val="22"/>
        </w:rPr>
        <w:t>We thank all reviewers again for their valuable feedback, which has helped us to improve the manuscript considerably.</w:t>
      </w:r>
    </w:p>
    <w:p w14:paraId="378EE41A" w14:textId="77777777" w:rsidR="00CE1755" w:rsidRDefault="00000000">
      <w:pPr>
        <w:spacing w:after="120"/>
        <w:rPr>
          <w:sz w:val="22"/>
          <w:szCs w:val="22"/>
        </w:rPr>
      </w:pPr>
      <w:r>
        <w:rPr>
          <w:sz w:val="22"/>
          <w:szCs w:val="22"/>
        </w:rPr>
        <w:t>On behalf of all authors,</w:t>
      </w:r>
    </w:p>
    <w:p w14:paraId="7FD1851F" w14:textId="77777777" w:rsidR="00CE1755" w:rsidRDefault="00000000">
      <w:pPr>
        <w:spacing w:after="120"/>
        <w:rPr>
          <w:sz w:val="22"/>
          <w:szCs w:val="22"/>
        </w:rPr>
      </w:pPr>
      <w:r>
        <w:rPr>
          <w:sz w:val="22"/>
          <w:szCs w:val="22"/>
        </w:rPr>
        <w:t>Lucas Beerland and Lieven Clement</w:t>
      </w:r>
    </w:p>
    <w:sectPr w:rsidR="00CE1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92"/>
    <w:rsid w:val="00014D04"/>
    <w:rsid w:val="000312B4"/>
    <w:rsid w:val="00064E19"/>
    <w:rsid w:val="000B4483"/>
    <w:rsid w:val="000C5424"/>
    <w:rsid w:val="000D07BF"/>
    <w:rsid w:val="000E7F8B"/>
    <w:rsid w:val="001155E4"/>
    <w:rsid w:val="001260C6"/>
    <w:rsid w:val="00144DC6"/>
    <w:rsid w:val="0016365F"/>
    <w:rsid w:val="001F1F1C"/>
    <w:rsid w:val="0020431C"/>
    <w:rsid w:val="00237CF9"/>
    <w:rsid w:val="002571B0"/>
    <w:rsid w:val="0026138D"/>
    <w:rsid w:val="0027481C"/>
    <w:rsid w:val="002D61C9"/>
    <w:rsid w:val="002E5ED9"/>
    <w:rsid w:val="002F5496"/>
    <w:rsid w:val="00322003"/>
    <w:rsid w:val="00333D9C"/>
    <w:rsid w:val="00350408"/>
    <w:rsid w:val="00364ED5"/>
    <w:rsid w:val="00392CAF"/>
    <w:rsid w:val="003C6A73"/>
    <w:rsid w:val="003E120E"/>
    <w:rsid w:val="00411779"/>
    <w:rsid w:val="004219C5"/>
    <w:rsid w:val="0048571D"/>
    <w:rsid w:val="004C1E85"/>
    <w:rsid w:val="00514B00"/>
    <w:rsid w:val="00542261"/>
    <w:rsid w:val="00592E6A"/>
    <w:rsid w:val="005C56CF"/>
    <w:rsid w:val="005D1128"/>
    <w:rsid w:val="0061613B"/>
    <w:rsid w:val="00620486"/>
    <w:rsid w:val="00650D77"/>
    <w:rsid w:val="006C71AB"/>
    <w:rsid w:val="00704CA8"/>
    <w:rsid w:val="007101A4"/>
    <w:rsid w:val="00716BE6"/>
    <w:rsid w:val="00747D92"/>
    <w:rsid w:val="007B13B6"/>
    <w:rsid w:val="007D358F"/>
    <w:rsid w:val="007D3D86"/>
    <w:rsid w:val="007D4119"/>
    <w:rsid w:val="00893F9F"/>
    <w:rsid w:val="008D549F"/>
    <w:rsid w:val="00960337"/>
    <w:rsid w:val="00A234C5"/>
    <w:rsid w:val="00A633DA"/>
    <w:rsid w:val="00A65A97"/>
    <w:rsid w:val="00A94D8B"/>
    <w:rsid w:val="00AD2150"/>
    <w:rsid w:val="00AF017D"/>
    <w:rsid w:val="00C46A4D"/>
    <w:rsid w:val="00C6441D"/>
    <w:rsid w:val="00C66AAC"/>
    <w:rsid w:val="00CA16FB"/>
    <w:rsid w:val="00CB3E72"/>
    <w:rsid w:val="00CE1755"/>
    <w:rsid w:val="00D101D2"/>
    <w:rsid w:val="00D151F3"/>
    <w:rsid w:val="00D2529E"/>
    <w:rsid w:val="00D31A31"/>
    <w:rsid w:val="00D33C0F"/>
    <w:rsid w:val="00D53058"/>
    <w:rsid w:val="00DC0C20"/>
    <w:rsid w:val="00E21D80"/>
    <w:rsid w:val="00F31B3B"/>
    <w:rsid w:val="00F449DD"/>
    <w:rsid w:val="00F820CC"/>
    <w:rsid w:val="00FA2A88"/>
    <w:rsid w:val="00FC7495"/>
    <w:rsid w:val="00FD07DB"/>
    <w:rsid w:val="00FE0D4F"/>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9814E70"/>
  <w15:chartTrackingRefBased/>
  <w15:docId w15:val="{59BDB5B5-2A14-DA41-AE26-F53FBD84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D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D92"/>
    <w:rPr>
      <w:rFonts w:eastAsiaTheme="majorEastAsia" w:cstheme="majorBidi"/>
      <w:color w:val="272727" w:themeColor="text1" w:themeTint="D8"/>
    </w:rPr>
  </w:style>
  <w:style w:type="paragraph" w:styleId="Title">
    <w:name w:val="Title"/>
    <w:basedOn w:val="Normal"/>
    <w:next w:val="Normal"/>
    <w:link w:val="TitleChar"/>
    <w:uiPriority w:val="10"/>
    <w:qFormat/>
    <w:rsid w:val="00747D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D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D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7D92"/>
    <w:rPr>
      <w:i/>
      <w:iCs/>
      <w:color w:val="404040" w:themeColor="text1" w:themeTint="BF"/>
    </w:rPr>
  </w:style>
  <w:style w:type="paragraph" w:styleId="ListParagraph">
    <w:name w:val="List Paragraph"/>
    <w:basedOn w:val="Normal"/>
    <w:uiPriority w:val="34"/>
    <w:qFormat/>
    <w:rsid w:val="00747D92"/>
    <w:pPr>
      <w:ind w:left="720"/>
      <w:contextualSpacing/>
    </w:pPr>
  </w:style>
  <w:style w:type="character" w:styleId="IntenseEmphasis">
    <w:name w:val="Intense Emphasis"/>
    <w:basedOn w:val="DefaultParagraphFont"/>
    <w:uiPriority w:val="21"/>
    <w:qFormat/>
    <w:rsid w:val="00747D92"/>
    <w:rPr>
      <w:i/>
      <w:iCs/>
      <w:color w:val="0F4761" w:themeColor="accent1" w:themeShade="BF"/>
    </w:rPr>
  </w:style>
  <w:style w:type="paragraph" w:styleId="IntenseQuote">
    <w:name w:val="Intense Quote"/>
    <w:basedOn w:val="Normal"/>
    <w:next w:val="Normal"/>
    <w:link w:val="IntenseQuoteChar"/>
    <w:uiPriority w:val="30"/>
    <w:qFormat/>
    <w:rsid w:val="00747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D92"/>
    <w:rPr>
      <w:i/>
      <w:iCs/>
      <w:color w:val="0F4761" w:themeColor="accent1" w:themeShade="BF"/>
    </w:rPr>
  </w:style>
  <w:style w:type="character" w:styleId="IntenseReference">
    <w:name w:val="Intense Reference"/>
    <w:basedOn w:val="DefaultParagraphFont"/>
    <w:uiPriority w:val="32"/>
    <w:qFormat/>
    <w:rsid w:val="00747D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Beerland</dc:creator>
  <cp:keywords/>
  <dc:description/>
  <cp:lastModifiedBy>Lucas Beerland</cp:lastModifiedBy>
  <cp:revision>69</cp:revision>
  <dcterms:created xsi:type="dcterms:W3CDTF">2026-10-13T15:12:00Z</dcterms:created>
  <dcterms:modified xsi:type="dcterms:W3CDTF">2026-10-30T09:19:00Z</dcterms:modified>
</cp:coreProperties>
</file>