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22</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Extintores de incêndio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de riscos químicos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Protetores auriculares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Instruções de segurança</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Mobília ergonômica</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primeiros socorros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Acidentes de trabalho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Danos a equipamentos</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2023-12-08T20:01:33Z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