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11E1C9" w14:textId="77777777" w:rsidR="00977C91" w:rsidRPr="00977C91" w:rsidRDefault="00401274" w:rsidP="00B55044">
      <w:pPr>
        <w:pStyle w:val="Title2"/>
        <w:spacing w:line="480" w:lineRule="auto"/>
        <w:rPr>
          <w:rFonts w:eastAsiaTheme="minorEastAsia"/>
          <w:bCs/>
          <w:sz w:val="32"/>
          <w:lang w:eastAsia="ko-KR"/>
        </w:rPr>
      </w:pPr>
      <w:bookmarkStart w:id="0" w:name="_Hlk151575663"/>
      <w:bookmarkStart w:id="1" w:name="_Hlk151913517"/>
      <w:bookmarkStart w:id="2" w:name="_Hlk153906984"/>
      <w:bookmarkStart w:id="3" w:name="_Hlk154063297"/>
      <w:r w:rsidRPr="00977C91">
        <w:rPr>
          <w:bCs/>
          <w:sz w:val="32"/>
        </w:rPr>
        <w:t xml:space="preserve">Supporting </w:t>
      </w:r>
      <w:r w:rsidR="00977C91" w:rsidRPr="00977C91">
        <w:rPr>
          <w:rFonts w:eastAsiaTheme="minorEastAsia"/>
          <w:bCs/>
          <w:sz w:val="32"/>
          <w:lang w:eastAsia="ko-KR"/>
        </w:rPr>
        <w:t>Information</w:t>
      </w:r>
    </w:p>
    <w:p w14:paraId="0E8F93D0" w14:textId="081E03F7" w:rsidR="00780053" w:rsidRPr="00EF3C4D" w:rsidRDefault="00780053" w:rsidP="00A837AB">
      <w:pPr>
        <w:pStyle w:val="Title2"/>
        <w:spacing w:line="480" w:lineRule="auto"/>
        <w:rPr>
          <w:b w:val="0"/>
          <w:bCs/>
        </w:rPr>
      </w:pPr>
      <w:bookmarkStart w:id="4" w:name="_Hlk172639929"/>
      <w:r w:rsidRPr="00EF3C4D">
        <w:rPr>
          <w:bCs/>
        </w:rPr>
        <w:t xml:space="preserve">Note S1: </w:t>
      </w:r>
      <w:r w:rsidR="00A837AB" w:rsidRPr="00EF3C4D">
        <w:rPr>
          <w:b w:val="0"/>
          <w:bCs/>
        </w:rPr>
        <w:t>C</w:t>
      </w:r>
      <w:r w:rsidRPr="00EF3C4D">
        <w:rPr>
          <w:bCs/>
        </w:rPr>
        <w:t xml:space="preserve">odes </w:t>
      </w:r>
      <w:r w:rsidR="00A9029A" w:rsidRPr="00EF3C4D">
        <w:rPr>
          <w:bCs/>
        </w:rPr>
        <w:t>of</w:t>
      </w:r>
      <w:r w:rsidRPr="00EF3C4D">
        <w:rPr>
          <w:bCs/>
        </w:rPr>
        <w:t xml:space="preserve"> ML</w:t>
      </w:r>
      <w:r w:rsidR="00A9029A" w:rsidRPr="00EF3C4D">
        <w:rPr>
          <w:bCs/>
        </w:rPr>
        <w:t xml:space="preserve"> Models</w:t>
      </w:r>
    </w:p>
    <w:p w14:paraId="35263D46" w14:textId="77777777" w:rsidR="00780053" w:rsidRPr="00EF3C4D" w:rsidRDefault="00780053" w:rsidP="00A837AB">
      <w:pPr>
        <w:rPr>
          <w:rFonts w:ascii="Courier New" w:hAnsi="Courier New" w:cs="Courier New"/>
          <w:i/>
          <w:iCs/>
          <w:sz w:val="20"/>
          <w:szCs w:val="20"/>
        </w:rPr>
      </w:pPr>
      <w:r w:rsidRPr="00EF3C4D">
        <w:rPr>
          <w:rFonts w:ascii="Courier New" w:hAnsi="Courier New" w:cs="Courier New"/>
          <w:i/>
          <w:iCs/>
          <w:sz w:val="20"/>
          <w:szCs w:val="20"/>
        </w:rPr>
        <w:t>## ML Models – Classification and regression tree (CART) and random forest (RF)</w:t>
      </w:r>
    </w:p>
    <w:p w14:paraId="17096E70"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Output Variable Short Name - FF###</w:t>
      </w:r>
    </w:p>
    <w:p w14:paraId="5FDE8784"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Read the data from Excel File after selecting specific rows and column</w:t>
      </w:r>
    </w:p>
    <w:p w14:paraId="7701C212"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Data&lt;- read.table(file = "clipboard", sep = "\t", header=TRUE)</w:t>
      </w:r>
    </w:p>
    <w:p w14:paraId="197F14B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w:t>
      </w:r>
    </w:p>
    <w:p w14:paraId="3B49905C"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Required libraries</w:t>
      </w:r>
    </w:p>
    <w:p w14:paraId="1033ECE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library(rpart)</w:t>
      </w:r>
    </w:p>
    <w:p w14:paraId="3313CE0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library(rpart.plot)</w:t>
      </w:r>
    </w:p>
    <w:p w14:paraId="19D2DAC7"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Summary statistics of output variable</w:t>
      </w:r>
    </w:p>
    <w:p w14:paraId="491FB2AC"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summary(Data$FF)</w:t>
      </w:r>
    </w:p>
    <w:p w14:paraId="60165B08"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Set the categorical variables as factor</w:t>
      </w:r>
    </w:p>
    <w:p w14:paraId="54AF26FC"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Data$Solar_Cell_Type &lt;- as.factor(Data$Solar_Cell_Type)</w:t>
      </w:r>
    </w:p>
    <w:p w14:paraId="5E776CA8"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Data$Photoactive_Layer&lt;- as.factor(Data$Photoactive_Layer)</w:t>
      </w:r>
    </w:p>
    <w:p w14:paraId="2690647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Data$Anode&lt;- as.factor(Data$Anode)</w:t>
      </w:r>
    </w:p>
    <w:p w14:paraId="0C69FCC0"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Data$HTL&lt;- as.factor(Data$HTL)</w:t>
      </w:r>
    </w:p>
    <w:p w14:paraId="5911FFFB"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Data$BHJ_C2&lt;- as.factor(Data$BHJ_C2)</w:t>
      </w:r>
    </w:p>
    <w:p w14:paraId="22961CCC"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Data$BHJ_C3&lt;- as.factor(Data$BHJ_C3)</w:t>
      </w:r>
    </w:p>
    <w:p w14:paraId="73DB8510"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Data$ETL&lt;- as.factor(Data$ETL)</w:t>
      </w:r>
    </w:p>
    <w:p w14:paraId="478CB78A"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Data$Cathode&lt;- as.factor(Data$Cathode)</w:t>
      </w:r>
    </w:p>
    <w:p w14:paraId="7C6A055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Data$Blend_Proportion&lt;- as.factor(Data$Blend_Proportion)</w:t>
      </w:r>
    </w:p>
    <w:p w14:paraId="0A5CD7F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 CART with some tunning parameter </w:t>
      </w:r>
    </w:p>
    <w:p w14:paraId="26D6F408"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fit_FF &lt;- rpart(Data$FF~.,</w:t>
      </w:r>
    </w:p>
    <w:p w14:paraId="1F5C98B2"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             data = Data,</w:t>
      </w:r>
    </w:p>
    <w:p w14:paraId="3E5AAA93"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             method = "anova",</w:t>
      </w:r>
    </w:p>
    <w:p w14:paraId="374E8EF0"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             control = rpart.control(xval = 10, minbucket = 25, cp = 0), parms = list(split = "information"))</w:t>
      </w:r>
    </w:p>
    <w:p w14:paraId="5BCE563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Plot CART and each decision rule</w:t>
      </w:r>
    </w:p>
    <w:p w14:paraId="15CF6630"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rpart.plot(fit_FF)</w:t>
      </w:r>
    </w:p>
    <w:p w14:paraId="508FF4DC"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print(fit_FF)</w:t>
      </w:r>
    </w:p>
    <w:p w14:paraId="3DB1895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 Random Forest </w:t>
      </w:r>
    </w:p>
    <w:p w14:paraId="5EEDC9C2"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Random sampling 80:20  Split</w:t>
      </w:r>
    </w:p>
    <w:p w14:paraId="6361EF7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samplesize = round(0.80 * nrow(Data))</w:t>
      </w:r>
    </w:p>
    <w:p w14:paraId="3F2BA55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samplesize</w:t>
      </w:r>
    </w:p>
    <w:p w14:paraId="08727B3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index = sample( seq_len ( nrow ( Data ) ), size = samplesize )</w:t>
      </w:r>
    </w:p>
    <w:p w14:paraId="2AED651D"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index</w:t>
      </w:r>
    </w:p>
    <w:p w14:paraId="704CE099"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#creat training and test set</w:t>
      </w:r>
    </w:p>
    <w:p w14:paraId="5051505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datatrain=Data[index,]</w:t>
      </w:r>
    </w:p>
    <w:p w14:paraId="5A83A55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datatest=Data[-index,]</w:t>
      </w:r>
    </w:p>
    <w:p w14:paraId="076BF4D9"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#install.packages("randomForest")</w:t>
      </w:r>
    </w:p>
    <w:p w14:paraId="539CD94F"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library(randomForest)</w:t>
      </w:r>
    </w:p>
    <w:p w14:paraId="4349998B"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Var_1=datatrain$FF</w:t>
      </w:r>
    </w:p>
    <w:p w14:paraId="79944E4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Train Data</w:t>
      </w:r>
    </w:p>
    <w:p w14:paraId="498BB908"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model&lt;-randomForest(Var_1~., data = datatrain[1:25],type ="anova")</w:t>
      </w:r>
    </w:p>
    <w:p w14:paraId="10464D70"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randomForest::varImpPlot(model,sort = TRUE, main = "Variable Importance Plot")</w:t>
      </w:r>
    </w:p>
    <w:p w14:paraId="741579E2"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importance(model)</w:t>
      </w:r>
    </w:p>
    <w:p w14:paraId="76F1B5C7"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modelpred=predict(model,datatest)</w:t>
      </w:r>
    </w:p>
    <w:p w14:paraId="31D79C0A"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x=modelpred</w:t>
      </w:r>
    </w:p>
    <w:p w14:paraId="3789F224"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x</w:t>
      </w:r>
    </w:p>
    <w:p w14:paraId="421B25FF"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lastRenderedPageBreak/>
        <w:t>length(x)</w:t>
      </w:r>
    </w:p>
    <w:p w14:paraId="268D7617"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class(x)</w:t>
      </w:r>
    </w:p>
    <w:p w14:paraId="1BF80AA7"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x1=as.numeric(as.character(x))</w:t>
      </w:r>
    </w:p>
    <w:p w14:paraId="15BD6849"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class(x1)</w:t>
      </w:r>
    </w:p>
    <w:p w14:paraId="1E56742A"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y=datatest$FF</w:t>
      </w:r>
    </w:p>
    <w:p w14:paraId="75B33936"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y</w:t>
      </w:r>
    </w:p>
    <w:p w14:paraId="77A6B12B"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length(y)</w:t>
      </w:r>
    </w:p>
    <w:p w14:paraId="50E7B5D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class(y)</w:t>
      </w:r>
    </w:p>
    <w:p w14:paraId="643785EB"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y1=as.numeric(as.character(y))</w:t>
      </w:r>
    </w:p>
    <w:p w14:paraId="41196488"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class(y1)</w:t>
      </w:r>
    </w:p>
    <w:p w14:paraId="06329F49"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plot(x1,y1)</w:t>
      </w:r>
    </w:p>
    <w:p w14:paraId="5F1559E2"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Predicted_Values=x1</w:t>
      </w:r>
    </w:p>
    <w:p w14:paraId="51260CF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Actual_Values=y1</w:t>
      </w:r>
    </w:p>
    <w:p w14:paraId="3BCB4B39"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plot(Actual_Values,Predicted_Values)</w:t>
      </w:r>
    </w:p>
    <w:p w14:paraId="0111A31A"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abline(0,1)</w:t>
      </w:r>
    </w:p>
    <w:p w14:paraId="1CAAC44F"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R_sq=(cor(Actual_Values,Predicted_Values))</w:t>
      </w:r>
    </w:p>
    <w:p w14:paraId="5E39D674"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R_sq</w:t>
      </w:r>
    </w:p>
    <w:p w14:paraId="6BE4F79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Saving the data into excel in New Laptop</w:t>
      </w:r>
    </w:p>
    <w:p w14:paraId="49FC57E4"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library("writexl")</w:t>
      </w:r>
    </w:p>
    <w:p w14:paraId="70C4AA74"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df1 &lt;- data.frame(x1)</w:t>
      </w:r>
    </w:p>
    <w:p w14:paraId="43CC222C"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df1</w:t>
      </w:r>
    </w:p>
    <w:p w14:paraId="0947B98B"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write_xlsx(df1,"C:\\Users\\S</w:t>
      </w:r>
      <w:r w:rsidR="000827FB" w:rsidRPr="00EF3C4D">
        <w:rPr>
          <w:rFonts w:ascii="Courier New" w:hAnsi="Courier New" w:cs="Courier New"/>
          <w:sz w:val="20"/>
          <w:szCs w:val="20"/>
        </w:rPr>
        <w:t>SS</w:t>
      </w:r>
      <w:r w:rsidRPr="00EF3C4D">
        <w:rPr>
          <w:rFonts w:ascii="Courier New" w:hAnsi="Courier New" w:cs="Courier New"/>
          <w:sz w:val="20"/>
          <w:szCs w:val="20"/>
        </w:rPr>
        <w:t>\\Desktop\\RF_Actual_FF_Values8.xlsx")</w:t>
      </w:r>
    </w:p>
    <w:p w14:paraId="1FA5CEE2"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df2 &lt;- data.frame(y1)</w:t>
      </w:r>
    </w:p>
    <w:p w14:paraId="36FE6F39"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df2</w:t>
      </w:r>
    </w:p>
    <w:p w14:paraId="59FD9D3F"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write_xlsx(df2,"C:\\Users\\S</w:t>
      </w:r>
      <w:r w:rsidR="000827FB" w:rsidRPr="00EF3C4D">
        <w:rPr>
          <w:rFonts w:ascii="Courier New" w:hAnsi="Courier New" w:cs="Courier New"/>
          <w:sz w:val="20"/>
          <w:szCs w:val="20"/>
        </w:rPr>
        <w:t>SS</w:t>
      </w:r>
      <w:r w:rsidRPr="00EF3C4D">
        <w:rPr>
          <w:rFonts w:ascii="Courier New" w:hAnsi="Courier New" w:cs="Courier New"/>
          <w:sz w:val="20"/>
          <w:szCs w:val="20"/>
        </w:rPr>
        <w:t>\\Desktop\\RF_Predicted_FF_Values.xlsx")</w:t>
      </w:r>
    </w:p>
    <w:p w14:paraId="718654EC"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Final Results</w:t>
      </w:r>
    </w:p>
    <w:p w14:paraId="4974D62C"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R_sq</w:t>
      </w:r>
    </w:p>
    <w:p w14:paraId="22493A5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importance(model)</w:t>
      </w:r>
    </w:p>
    <w:p w14:paraId="6E4EF137"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print(fit)</w:t>
      </w:r>
    </w:p>
    <w:p w14:paraId="6588C93C" w14:textId="77777777" w:rsidR="00144E99" w:rsidRPr="00EF3C4D" w:rsidRDefault="00144E99" w:rsidP="00144E99">
      <w:pPr>
        <w:rPr>
          <w:rFonts w:ascii="Courier New" w:hAnsi="Courier New" w:cs="Courier New"/>
          <w:i/>
          <w:iCs/>
          <w:szCs w:val="20"/>
        </w:rPr>
      </w:pPr>
      <w:r w:rsidRPr="00EF3C4D">
        <w:rPr>
          <w:rFonts w:ascii="Courier New" w:hAnsi="Courier New" w:cs="Courier New"/>
          <w:i/>
          <w:iCs/>
          <w:szCs w:val="20"/>
        </w:rPr>
        <w:t>****************************************************************</w:t>
      </w:r>
    </w:p>
    <w:p w14:paraId="4B9CDF2F" w14:textId="77777777" w:rsidR="00780053" w:rsidRPr="00EF3C4D" w:rsidRDefault="00780053" w:rsidP="00A837AB">
      <w:pPr>
        <w:rPr>
          <w:rFonts w:ascii="Courier New" w:hAnsi="Courier New" w:cs="Courier New"/>
          <w:sz w:val="20"/>
          <w:szCs w:val="20"/>
        </w:rPr>
      </w:pPr>
    </w:p>
    <w:p w14:paraId="5C2AE67D" w14:textId="77777777" w:rsidR="00A837AB" w:rsidRPr="00EF3C4D" w:rsidRDefault="00A837AB" w:rsidP="00A837AB">
      <w:pPr>
        <w:rPr>
          <w:rFonts w:ascii="Courier New" w:hAnsi="Courier New" w:cs="Courier New"/>
          <w:sz w:val="20"/>
          <w:szCs w:val="20"/>
        </w:rPr>
      </w:pPr>
    </w:p>
    <w:p w14:paraId="74D93022" w14:textId="77777777" w:rsidR="00780053" w:rsidRPr="00EF3C4D" w:rsidRDefault="00780053" w:rsidP="00A837AB">
      <w:pPr>
        <w:rPr>
          <w:rFonts w:ascii="Courier New" w:hAnsi="Courier New" w:cs="Courier New"/>
          <w:i/>
          <w:iCs/>
          <w:sz w:val="20"/>
          <w:szCs w:val="20"/>
        </w:rPr>
      </w:pPr>
      <w:r w:rsidRPr="00EF3C4D">
        <w:rPr>
          <w:rFonts w:ascii="Courier New" w:hAnsi="Courier New" w:cs="Courier New"/>
          <w:i/>
          <w:iCs/>
          <w:sz w:val="20"/>
          <w:szCs w:val="20"/>
        </w:rPr>
        <w:t>## ML Models – Linear model (LM) and Artificial neural network (ANN)</w:t>
      </w:r>
    </w:p>
    <w:p w14:paraId="4B1889AD"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Output Variable PCE</w:t>
      </w:r>
    </w:p>
    <w:p w14:paraId="07669F79"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data&lt;- read.table(file = "clipboard", sep = "\t", header=TRUE)</w:t>
      </w:r>
    </w:p>
    <w:p w14:paraId="07008E79"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w:t>
      </w:r>
    </w:p>
    <w:p w14:paraId="3B665D32"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apply(data,2,function(x) sum(is.na(x)))</w:t>
      </w:r>
    </w:p>
    <w:p w14:paraId="61122B9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fit a linear regression model and test it on the test set.</w:t>
      </w:r>
    </w:p>
    <w:p w14:paraId="111E42C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index &lt;- sample(1:nrow(data),round(0.80*nrow(data)))</w:t>
      </w:r>
    </w:p>
    <w:p w14:paraId="50F5863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train &lt;- data[index,]</w:t>
      </w:r>
    </w:p>
    <w:p w14:paraId="762BD53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test &lt;- data[-index,]</w:t>
      </w:r>
    </w:p>
    <w:p w14:paraId="0A9F468C"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lm.fit &lt;- glm(PCE~., data=train)</w:t>
      </w:r>
    </w:p>
    <w:p w14:paraId="1B6218B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summary(lm.fit)</w:t>
      </w:r>
    </w:p>
    <w:p w14:paraId="1D5BE720"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pr.lm &lt;- predict(lm.fit,test)</w:t>
      </w:r>
    </w:p>
    <w:p w14:paraId="69BE6FA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MSE.lm &lt;- sum((pr.lm - test$PCE)^2)/nrow(test)</w:t>
      </w:r>
    </w:p>
    <w:p w14:paraId="49CDEF8C"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#Preparing to fit the ANN</w:t>
      </w:r>
    </w:p>
    <w:p w14:paraId="7C6BA932"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Step-1</w:t>
      </w:r>
    </w:p>
    <w:p w14:paraId="4946CD1D"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maxs &lt;- apply(data, 2, max) </w:t>
      </w:r>
    </w:p>
    <w:p w14:paraId="3C37A56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mins &lt;- apply(data, 2, min)</w:t>
      </w:r>
    </w:p>
    <w:p w14:paraId="3DD05DE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scaled &lt;- as.data.frame(scale(data, center = mins, scale = maxs - mins))</w:t>
      </w:r>
    </w:p>
    <w:p w14:paraId="7DAEE3F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train_PCE &lt;- scaled[index,]</w:t>
      </w:r>
    </w:p>
    <w:p w14:paraId="396D844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test_PCE &lt;- scaled[-index,]</w:t>
      </w:r>
    </w:p>
    <w:p w14:paraId="39778A8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library(neuralnet)</w:t>
      </w:r>
    </w:p>
    <w:p w14:paraId="3A0B345D"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library(nnet)</w:t>
      </w:r>
    </w:p>
    <w:p w14:paraId="5AE4B843"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#install.packages('devtools')</w:t>
      </w:r>
    </w:p>
    <w:p w14:paraId="137DD270"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lastRenderedPageBreak/>
        <w:t>library(devtools)</w:t>
      </w:r>
    </w:p>
    <w:p w14:paraId="5CFEBBF9"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n &lt;- names(train_PCE)</w:t>
      </w:r>
    </w:p>
    <w:p w14:paraId="337E1C8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f &lt;- as.formula(paste("PCE ~", paste(n[!n %in% "PCE"], collapse = " + ")))</w:t>
      </w:r>
    </w:p>
    <w:p w14:paraId="0818E4B9"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nn &lt;- neuralnet(f,data=train_PCE,hidden = 2,linear.output=T)</w:t>
      </w:r>
    </w:p>
    <w:p w14:paraId="3E0B4ED8"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plot(nn,res=500)</w:t>
      </w:r>
    </w:p>
    <w:p w14:paraId="52DC92CD"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nn$net.result</w:t>
      </w:r>
    </w:p>
    <w:p w14:paraId="72F8B69C"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nn$weights</w:t>
      </w:r>
    </w:p>
    <w:p w14:paraId="4A826D57"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nn$result.matrix</w:t>
      </w:r>
    </w:p>
    <w:p w14:paraId="08A98763"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nn$covariate</w:t>
      </w:r>
    </w:p>
    <w:p w14:paraId="6ABBA034"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nn$net.result[[1]]</w:t>
      </w:r>
    </w:p>
    <w:p w14:paraId="3AFDD06B"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#Predicting PCE using the neural network</w:t>
      </w:r>
    </w:p>
    <w:p w14:paraId="3631776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pr.nn &lt;- compute(nn,test_PCE[,1:26])</w:t>
      </w:r>
    </w:p>
    <w:p w14:paraId="22BF99A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pr.nn_PCE &lt;- pr.nn$net.result*(max(data$PCE)-min(data$PCE))+min(data$PCE)</w:t>
      </w:r>
    </w:p>
    <w:p w14:paraId="2B760AE3"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test.r &lt;- (test_PCE$PCE)*(max(data$PCE)-min(data$PCE))+min(data$PCE)</w:t>
      </w:r>
    </w:p>
    <w:p w14:paraId="6A8C65ED"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MSE.nn &lt;- sum((test.r - pr.nn_PCE)^2)/nrow(test_PCE)</w:t>
      </w:r>
    </w:p>
    <w:p w14:paraId="272F2F88"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print(paste(MSE.lm,MSE.nn))</w:t>
      </w:r>
    </w:p>
    <w:p w14:paraId="583F469A"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Saving the data into excel</w:t>
      </w:r>
    </w:p>
    <w:p w14:paraId="0E8465C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x1=test$PCE</w:t>
      </w:r>
    </w:p>
    <w:p w14:paraId="08404E7F"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y1=pr.nn_PCE</w:t>
      </w:r>
    </w:p>
    <w:p w14:paraId="26100626"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y2=pr.lm</w:t>
      </w:r>
    </w:p>
    <w:p w14:paraId="4FC8B97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library("writexl")</w:t>
      </w:r>
    </w:p>
    <w:p w14:paraId="628100DF"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df1 &lt;- data.frame(x1)</w:t>
      </w:r>
    </w:p>
    <w:p w14:paraId="0A0B4CA6"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df1</w:t>
      </w:r>
    </w:p>
    <w:p w14:paraId="6E88236A"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write_xlsx(df1,"C:\\Users\\S</w:t>
      </w:r>
      <w:r w:rsidR="000827FB" w:rsidRPr="00EF3C4D">
        <w:rPr>
          <w:rFonts w:ascii="Courier New" w:hAnsi="Courier New" w:cs="Courier New"/>
          <w:sz w:val="20"/>
          <w:szCs w:val="20"/>
        </w:rPr>
        <w:t>SS</w:t>
      </w:r>
      <w:r w:rsidRPr="00EF3C4D">
        <w:rPr>
          <w:rFonts w:ascii="Courier New" w:hAnsi="Courier New" w:cs="Courier New"/>
          <w:sz w:val="20"/>
          <w:szCs w:val="20"/>
        </w:rPr>
        <w:t>\\Desktop\\Actual_PCE_Valuesa.xlsx")</w:t>
      </w:r>
    </w:p>
    <w:p w14:paraId="77C392AA"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df2 &lt;- data.frame(y1)</w:t>
      </w:r>
    </w:p>
    <w:p w14:paraId="24DE7906"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df2</w:t>
      </w:r>
    </w:p>
    <w:p w14:paraId="05D59900"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write_xlsx(df2,"C:\\Users\\S</w:t>
      </w:r>
      <w:r w:rsidR="000827FB" w:rsidRPr="00EF3C4D">
        <w:rPr>
          <w:rFonts w:ascii="Courier New" w:hAnsi="Courier New" w:cs="Courier New"/>
          <w:sz w:val="20"/>
          <w:szCs w:val="20"/>
        </w:rPr>
        <w:t>SS</w:t>
      </w:r>
      <w:r w:rsidRPr="00EF3C4D">
        <w:rPr>
          <w:rFonts w:ascii="Courier New" w:hAnsi="Courier New" w:cs="Courier New"/>
          <w:sz w:val="20"/>
          <w:szCs w:val="20"/>
        </w:rPr>
        <w:t>\\Desktop\\Predicted_PCE_Values.xlsx")</w:t>
      </w:r>
    </w:p>
    <w:p w14:paraId="6E5B42DB"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df3 &lt;- data.frame(y2)</w:t>
      </w:r>
    </w:p>
    <w:p w14:paraId="3E20ABB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df3</w:t>
      </w:r>
    </w:p>
    <w:p w14:paraId="066780F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write_xlsx(df3,"C:\\Users\\S</w:t>
      </w:r>
      <w:r w:rsidR="000827FB" w:rsidRPr="00EF3C4D">
        <w:rPr>
          <w:rFonts w:ascii="Courier New" w:hAnsi="Courier New" w:cs="Courier New"/>
          <w:sz w:val="20"/>
          <w:szCs w:val="20"/>
        </w:rPr>
        <w:t>SS</w:t>
      </w:r>
      <w:r w:rsidRPr="00EF3C4D">
        <w:rPr>
          <w:rFonts w:ascii="Courier New" w:hAnsi="Courier New" w:cs="Courier New"/>
          <w:sz w:val="20"/>
          <w:szCs w:val="20"/>
        </w:rPr>
        <w:t>\\Desktop\\Predicted_LM_PCE_Values.xlsx")</w:t>
      </w:r>
    </w:p>
    <w:p w14:paraId="4BCA56A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R_sq_NN=(cor(x1,y1))</w:t>
      </w:r>
    </w:p>
    <w:p w14:paraId="2C6AE184"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R_sq_NN</w:t>
      </w:r>
    </w:p>
    <w:p w14:paraId="1B5A5C2C"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R_sq_LM=(cor(x1,y2))</w:t>
      </w:r>
    </w:p>
    <w:p w14:paraId="748EC7F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R_sq_LM</w:t>
      </w:r>
    </w:p>
    <w:p w14:paraId="24995F17"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nn$result.matrix</w:t>
      </w:r>
    </w:p>
    <w:p w14:paraId="2AE1B69F" w14:textId="77777777" w:rsidR="00780053" w:rsidRPr="00EF3C4D" w:rsidRDefault="00144E99" w:rsidP="00A837AB">
      <w:pPr>
        <w:rPr>
          <w:rFonts w:ascii="Courier New" w:hAnsi="Courier New" w:cs="Courier New"/>
          <w:i/>
          <w:iCs/>
          <w:szCs w:val="20"/>
        </w:rPr>
      </w:pPr>
      <w:r w:rsidRPr="00EF3C4D">
        <w:rPr>
          <w:rFonts w:ascii="Courier New" w:hAnsi="Courier New" w:cs="Courier New"/>
          <w:i/>
          <w:iCs/>
          <w:szCs w:val="20"/>
        </w:rPr>
        <w:t>****************************************************************</w:t>
      </w:r>
    </w:p>
    <w:p w14:paraId="3027AD42" w14:textId="77777777" w:rsidR="00A837AB" w:rsidRPr="00EF3C4D" w:rsidRDefault="00A837AB" w:rsidP="00A837AB">
      <w:pPr>
        <w:rPr>
          <w:rFonts w:ascii="Courier New" w:hAnsi="Courier New" w:cs="Courier New"/>
          <w:sz w:val="20"/>
          <w:szCs w:val="20"/>
        </w:rPr>
      </w:pPr>
    </w:p>
    <w:p w14:paraId="7D2E78FE" w14:textId="77777777" w:rsidR="00780053" w:rsidRPr="00EF3C4D" w:rsidRDefault="00780053" w:rsidP="00A837AB">
      <w:pPr>
        <w:rPr>
          <w:rFonts w:ascii="Courier New" w:hAnsi="Courier New" w:cs="Courier New"/>
          <w:i/>
          <w:iCs/>
          <w:sz w:val="20"/>
          <w:szCs w:val="20"/>
        </w:rPr>
      </w:pPr>
      <w:r w:rsidRPr="00EF3C4D">
        <w:rPr>
          <w:rFonts w:ascii="Courier New" w:hAnsi="Courier New" w:cs="Courier New"/>
          <w:i/>
          <w:iCs/>
          <w:sz w:val="20"/>
          <w:szCs w:val="20"/>
        </w:rPr>
        <w:t>## ML  Model - Gradient Boosting (GB)</w:t>
      </w:r>
    </w:p>
    <w:p w14:paraId="7AE4951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#Install the necessary libraries</w:t>
      </w:r>
    </w:p>
    <w:p w14:paraId="2E37A37D"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#install.packages('gbm')                    # for fitting the gradient boosting model</w:t>
      </w:r>
    </w:p>
    <w:p w14:paraId="2787C50F"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#install.packages('caret')       # for general data preparation and model fitting</w:t>
      </w:r>
    </w:p>
    <w:p w14:paraId="1E9F9157"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library(gbm)</w:t>
      </w:r>
    </w:p>
    <w:p w14:paraId="6A97759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library(caret)</w:t>
      </w:r>
    </w:p>
    <w:p w14:paraId="4F882562"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library(caTools)</w:t>
      </w:r>
    </w:p>
    <w:p w14:paraId="350F0B86"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Read a excel file and get the data</w:t>
      </w:r>
    </w:p>
    <w:p w14:paraId="1D39F53D"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data&lt;- read.table(file = "clipboard", sep = "\t", header=TRUE)</w:t>
      </w:r>
    </w:p>
    <w:p w14:paraId="5381EBAB"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w:t>
      </w:r>
    </w:p>
    <w:p w14:paraId="3A3AD60A"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apply(data,2,function(x) sum(is.na(x)))</w:t>
      </w:r>
    </w:p>
    <w:p w14:paraId="7E320C14"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head(data)           # head() returns the top 6 rows of the dataframe</w:t>
      </w:r>
    </w:p>
    <w:p w14:paraId="61066249"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summary(data)       # returns the statistical summary of the data columns</w:t>
      </w:r>
    </w:p>
    <w:p w14:paraId="4CF570A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dim(data)</w:t>
      </w:r>
    </w:p>
    <w:p w14:paraId="7EEF59E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#Train and Test data</w:t>
      </w:r>
    </w:p>
    <w:p w14:paraId="3F581B2D"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split = sample.split(data$PCE, </w:t>
      </w:r>
    </w:p>
    <w:p w14:paraId="321772BA"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lastRenderedPageBreak/>
        <w:t xml:space="preserve">                     SplitRatio = 0.8)</w:t>
      </w:r>
    </w:p>
    <w:p w14:paraId="48991A3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train = subset(data, </w:t>
      </w:r>
    </w:p>
    <w:p w14:paraId="348EB4B9"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               split == TRUE)</w:t>
      </w:r>
    </w:p>
    <w:p w14:paraId="61B7FEC3"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test = subset(data, </w:t>
      </w:r>
    </w:p>
    <w:p w14:paraId="6AB56BB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              split == FALSE)</w:t>
      </w:r>
    </w:p>
    <w:p w14:paraId="4CF1FC09"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Create a gbm model</w:t>
      </w:r>
    </w:p>
    <w:p w14:paraId="7A5EB3B7"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model_gbm = gbm(train$PCE ~.,</w:t>
      </w:r>
    </w:p>
    <w:p w14:paraId="1E217A8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                data = train,</w:t>
      </w:r>
    </w:p>
    <w:p w14:paraId="056566A2"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                distribution = "gaussian",</w:t>
      </w:r>
    </w:p>
    <w:p w14:paraId="1E1EF812"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                cv.folds = 10,</w:t>
      </w:r>
    </w:p>
    <w:p w14:paraId="251F8C4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                shrinkage = .01,</w:t>
      </w:r>
    </w:p>
    <w:p w14:paraId="4654588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                n.minobsinnode = 10,</w:t>
      </w:r>
    </w:p>
    <w:p w14:paraId="2CD6093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xml:space="preserve">                n.trees = 500)</w:t>
      </w:r>
    </w:p>
    <w:p w14:paraId="2A2D583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print(model_gbm)</w:t>
      </w:r>
    </w:p>
    <w:p w14:paraId="289DA413"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summary(model_gbm)</w:t>
      </w:r>
    </w:p>
    <w:p w14:paraId="42AC36EF"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class(test$PCE)</w:t>
      </w:r>
    </w:p>
    <w:p w14:paraId="63C433FB"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data.frame(test)</w:t>
      </w:r>
    </w:p>
    <w:p w14:paraId="790B171F"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class(test)</w:t>
      </w:r>
    </w:p>
    <w:p w14:paraId="3982F287"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##Predictions on the test dataset</w:t>
      </w:r>
    </w:p>
    <w:p w14:paraId="6F9EFF07"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pred_y = predict.gbm(model_gbm, test)</w:t>
      </w:r>
    </w:p>
    <w:p w14:paraId="41AAB584"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pred_y</w:t>
      </w:r>
    </w:p>
    <w:p w14:paraId="4D025A1A"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Check the accuracy of our model</w:t>
      </w:r>
    </w:p>
    <w:p w14:paraId="6E47666B"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residuals = test$PCE - pred_y</w:t>
      </w:r>
    </w:p>
    <w:p w14:paraId="443101F2"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RMSE = sqrt(mean(residuals^2))</w:t>
      </w:r>
    </w:p>
    <w:p w14:paraId="27246A1F"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cat('The root mean square error of the test data is ', round(RMSE,3),'\n')</w:t>
      </w:r>
    </w:p>
    <w:p w14:paraId="3B07EC7F"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y_test_mean = mean(test$PCE)</w:t>
      </w:r>
    </w:p>
    <w:p w14:paraId="3A0897AF"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Calculate total sum of squares</w:t>
      </w:r>
    </w:p>
    <w:p w14:paraId="76AFDC5A"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tss =  sum((test$PCE - y_test_mean)^2 )</w:t>
      </w:r>
    </w:p>
    <w:p w14:paraId="53A56959"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Calculate residual sum of squares</w:t>
      </w:r>
    </w:p>
    <w:p w14:paraId="0BC75087"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rss =  sum(residuals^2)</w:t>
      </w:r>
    </w:p>
    <w:p w14:paraId="786912AC"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Calculate R-squared</w:t>
      </w:r>
    </w:p>
    <w:p w14:paraId="71FE4332"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rsq  =  1 - (rss/tss)</w:t>
      </w:r>
    </w:p>
    <w:p w14:paraId="4264D8F7"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cat('The R-square of the test data is ', round(rsq,3), '\n')</w:t>
      </w:r>
    </w:p>
    <w:p w14:paraId="31E442B0"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visualize the model, actual and predicted data</w:t>
      </w:r>
    </w:p>
    <w:p w14:paraId="1CDF344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x_ax = 1:length(pred_y)</w:t>
      </w:r>
    </w:p>
    <w:p w14:paraId="39E64A0F"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plot(x_ax, test$PCE, col="blue", pch=20, cex=.9)</w:t>
      </w:r>
    </w:p>
    <w:p w14:paraId="52B4045B"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lines(x_ax, pred_y, col="red", pch=20, cex=.9)</w:t>
      </w:r>
    </w:p>
    <w:p w14:paraId="5F17E7E8"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 visualize the model, actual and predicted data</w:t>
      </w:r>
    </w:p>
    <w:p w14:paraId="332888BF"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plot(test$PCE, pred_y, col="blue", pch=20, cex=.9)</w:t>
      </w:r>
    </w:p>
    <w:p w14:paraId="3512DC9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#lines(x_ax, pred_y, col="red", pch=20, cex=.9)</w:t>
      </w:r>
    </w:p>
    <w:p w14:paraId="2FA507C3" w14:textId="77777777" w:rsidR="00780053" w:rsidRPr="00EF3C4D" w:rsidRDefault="00144E99" w:rsidP="00A837AB">
      <w:pPr>
        <w:rPr>
          <w:rFonts w:ascii="Courier New" w:hAnsi="Courier New" w:cs="Courier New"/>
          <w:i/>
          <w:iCs/>
          <w:szCs w:val="20"/>
        </w:rPr>
      </w:pPr>
      <w:r w:rsidRPr="00EF3C4D">
        <w:rPr>
          <w:rFonts w:ascii="Courier New" w:hAnsi="Courier New" w:cs="Courier New"/>
          <w:i/>
          <w:iCs/>
          <w:szCs w:val="20"/>
        </w:rPr>
        <w:t>****************************************************************</w:t>
      </w:r>
    </w:p>
    <w:p w14:paraId="69279031" w14:textId="77777777" w:rsidR="00A837AB" w:rsidRPr="00EF3C4D" w:rsidRDefault="00A837AB" w:rsidP="00A837AB">
      <w:pPr>
        <w:rPr>
          <w:rFonts w:ascii="Courier New" w:hAnsi="Courier New" w:cs="Courier New"/>
          <w:sz w:val="20"/>
          <w:szCs w:val="20"/>
        </w:rPr>
      </w:pPr>
    </w:p>
    <w:p w14:paraId="2DD3852A" w14:textId="77777777" w:rsidR="00780053" w:rsidRPr="00EF3C4D" w:rsidRDefault="00780053" w:rsidP="00A837AB">
      <w:pPr>
        <w:rPr>
          <w:rFonts w:ascii="Courier New" w:hAnsi="Courier New" w:cs="Courier New"/>
          <w:b/>
          <w:bCs/>
          <w:sz w:val="20"/>
          <w:szCs w:val="20"/>
        </w:rPr>
      </w:pPr>
      <w:r w:rsidRPr="00EF3C4D">
        <w:rPr>
          <w:rFonts w:ascii="Courier New" w:hAnsi="Courier New" w:cs="Courier New"/>
          <w:b/>
          <w:bCs/>
          <w:sz w:val="20"/>
          <w:szCs w:val="20"/>
        </w:rPr>
        <w:t>Python code for SHAP values</w:t>
      </w:r>
    </w:p>
    <w:p w14:paraId="26A85C2C"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#Import the libraries</w:t>
      </w:r>
    </w:p>
    <w:p w14:paraId="23E4DB81" w14:textId="77777777" w:rsidR="00780053" w:rsidRPr="00EF3C4D" w:rsidRDefault="00780053" w:rsidP="00A837AB">
      <w:pPr>
        <w:tabs>
          <w:tab w:val="left" w:pos="3494"/>
        </w:tabs>
        <w:rPr>
          <w:rFonts w:ascii="Courier New" w:hAnsi="Courier New" w:cs="Courier New"/>
          <w:sz w:val="20"/>
          <w:szCs w:val="20"/>
        </w:rPr>
      </w:pPr>
      <w:r w:rsidRPr="00EF3C4D">
        <w:rPr>
          <w:rFonts w:ascii="Courier New" w:hAnsi="Courier New" w:cs="Courier New"/>
          <w:sz w:val="20"/>
          <w:szCs w:val="20"/>
        </w:rPr>
        <w:t>import shap</w:t>
      </w:r>
      <w:r w:rsidRPr="00EF3C4D">
        <w:rPr>
          <w:rFonts w:ascii="Courier New" w:hAnsi="Courier New" w:cs="Courier New"/>
          <w:sz w:val="20"/>
          <w:szCs w:val="20"/>
        </w:rPr>
        <w:tab/>
      </w:r>
    </w:p>
    <w:p w14:paraId="1DC59D56"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import sklearn</w:t>
      </w:r>
    </w:p>
    <w:p w14:paraId="4131ABE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from sklearn.ensemble import RandomForestRegressor</w:t>
      </w:r>
    </w:p>
    <w:p w14:paraId="299DB270"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import pandas as pd</w:t>
      </w:r>
    </w:p>
    <w:p w14:paraId="21D33886"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#Import the data and divide data into input(X) and output(y).</w:t>
      </w:r>
    </w:p>
    <w:p w14:paraId="3F2C2B3F"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data=pd.read_csv(r"</w:t>
      </w:r>
      <w:r w:rsidR="00A2491C" w:rsidRPr="00EF3C4D">
        <w:rPr>
          <w:rFonts w:ascii="Courier New" w:hAnsi="Courier New" w:cs="Courier New"/>
          <w:sz w:val="20"/>
          <w:szCs w:val="20"/>
        </w:rPr>
        <w:t>D:\PT\Future Work\K\data.csv</w:t>
      </w:r>
      <w:r w:rsidRPr="00EF3C4D">
        <w:rPr>
          <w:rFonts w:ascii="Courier New" w:hAnsi="Courier New" w:cs="Courier New"/>
          <w:sz w:val="20"/>
          <w:szCs w:val="20"/>
        </w:rPr>
        <w:t>")</w:t>
      </w:r>
    </w:p>
    <w:p w14:paraId="1C83DD1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data</w:t>
      </w:r>
    </w:p>
    <w:p w14:paraId="09C48C1A" w14:textId="77777777" w:rsidR="00E97332" w:rsidRPr="00EF3C4D" w:rsidRDefault="00E97332" w:rsidP="00A837AB">
      <w:pPr>
        <w:rPr>
          <w:rFonts w:ascii="Courier New" w:hAnsi="Courier New" w:cs="Courier New"/>
          <w:sz w:val="20"/>
          <w:szCs w:val="20"/>
        </w:rPr>
      </w:pPr>
      <w:r w:rsidRPr="00EF3C4D">
        <w:rPr>
          <w:rFonts w:ascii="Courier New" w:hAnsi="Courier New" w:cs="Courier New"/>
          <w:sz w:val="20"/>
          <w:szCs w:val="20"/>
        </w:rPr>
        <w:t xml:space="preserve">X=data[['Solar Cell Type', 'BHJ', 'BHJ Thickness', 'Blend Proportion', 'Anode', 'HTL', 'HTL Thickness', 'ETL', 'ETL Thickness', 'Cathode', 'Cathode Thickness', 'BHJ C2', 'BHJ C3', 'BHJ Surface Topography', 'HOMO PM6', 'LUMO </w:t>
      </w:r>
      <w:r w:rsidRPr="00EF3C4D">
        <w:rPr>
          <w:rFonts w:ascii="Courier New" w:hAnsi="Courier New" w:cs="Courier New"/>
          <w:sz w:val="20"/>
          <w:szCs w:val="20"/>
        </w:rPr>
        <w:lastRenderedPageBreak/>
        <w:t>PM6', 'Bandgap PM6', 'HOMO C2', 'LUMO C2', 'Bandgap C2', 'HOMO C3', 'LUMO C3', 'Bandgap C3', 'ΔHOMO', 'ΔLUMO']]</w:t>
      </w:r>
    </w:p>
    <w:p w14:paraId="543F7A64"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y = data['PCE']</w:t>
      </w:r>
    </w:p>
    <w:p w14:paraId="224729F8"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#To model the data using Randomforest classifier.</w:t>
      </w:r>
    </w:p>
    <w:p w14:paraId="1F21C83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model = RandomForestRegressor()</w:t>
      </w:r>
    </w:p>
    <w:p w14:paraId="6E09C302"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model.fit(X, y)</w:t>
      </w:r>
    </w:p>
    <w:p w14:paraId="078B214F"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#Compute the SHAP values for the Randomforest model</w:t>
      </w:r>
    </w:p>
    <w:p w14:paraId="7F8997A8"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explainer = shap.Explainer(model.predict, X)</w:t>
      </w:r>
    </w:p>
    <w:p w14:paraId="5C8BFE91"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shap_values = explainer(X)</w:t>
      </w:r>
    </w:p>
    <w:p w14:paraId="01B1E84E"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shap_values</w:t>
      </w:r>
    </w:p>
    <w:p w14:paraId="2129B3D5"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#To plot the SHAP value.</w:t>
      </w:r>
    </w:p>
    <w:p w14:paraId="57E4AE66" w14:textId="77777777" w:rsidR="00780053" w:rsidRPr="00EF3C4D" w:rsidRDefault="00780053" w:rsidP="00A837AB">
      <w:pPr>
        <w:rPr>
          <w:rFonts w:ascii="Courier New" w:hAnsi="Courier New" w:cs="Courier New"/>
          <w:sz w:val="20"/>
          <w:szCs w:val="20"/>
        </w:rPr>
      </w:pPr>
      <w:r w:rsidRPr="00EF3C4D">
        <w:rPr>
          <w:rFonts w:ascii="Courier New" w:hAnsi="Courier New" w:cs="Courier New"/>
          <w:sz w:val="20"/>
          <w:szCs w:val="20"/>
        </w:rPr>
        <w:t>shap.plots.beeswarm(shap_values)”</w:t>
      </w:r>
      <w:bookmarkEnd w:id="4"/>
    </w:p>
    <w:p w14:paraId="7B035C7D" w14:textId="77777777" w:rsidR="00A837AB" w:rsidRPr="00EF3C4D" w:rsidRDefault="00A837AB" w:rsidP="00B55044">
      <w:pPr>
        <w:spacing w:line="480" w:lineRule="auto"/>
        <w:jc w:val="both"/>
        <w:rPr>
          <w:b/>
          <w:bCs/>
        </w:rPr>
      </w:pPr>
      <w:bookmarkStart w:id="5" w:name="_Hlk151575694"/>
      <w:bookmarkStart w:id="6" w:name="_Hlk151329222"/>
      <w:bookmarkStart w:id="7" w:name="_Hlk151913480"/>
      <w:bookmarkEnd w:id="0"/>
      <w:bookmarkEnd w:id="1"/>
    </w:p>
    <w:p w14:paraId="4B0014A8" w14:textId="77777777" w:rsidR="00A837AB" w:rsidRDefault="00A837AB" w:rsidP="00B55044">
      <w:pPr>
        <w:spacing w:line="480" w:lineRule="auto"/>
        <w:jc w:val="both"/>
        <w:rPr>
          <w:b/>
          <w:bCs/>
        </w:rPr>
      </w:pPr>
    </w:p>
    <w:p w14:paraId="5D254493" w14:textId="77777777" w:rsidR="00A837AB" w:rsidRDefault="00A837AB" w:rsidP="00B55044">
      <w:pPr>
        <w:spacing w:line="480" w:lineRule="auto"/>
        <w:jc w:val="both"/>
        <w:rPr>
          <w:b/>
          <w:bCs/>
        </w:rPr>
      </w:pPr>
    </w:p>
    <w:p w14:paraId="79C4A98B" w14:textId="77777777" w:rsidR="00A837AB" w:rsidRDefault="00A837AB" w:rsidP="00B55044">
      <w:pPr>
        <w:spacing w:line="480" w:lineRule="auto"/>
        <w:jc w:val="both"/>
        <w:rPr>
          <w:b/>
          <w:bCs/>
        </w:rPr>
      </w:pPr>
    </w:p>
    <w:p w14:paraId="08A93A27" w14:textId="77777777" w:rsidR="00A837AB" w:rsidRDefault="00A837AB" w:rsidP="00B55044">
      <w:pPr>
        <w:spacing w:line="480" w:lineRule="auto"/>
        <w:jc w:val="both"/>
        <w:rPr>
          <w:b/>
          <w:bCs/>
        </w:rPr>
      </w:pPr>
    </w:p>
    <w:p w14:paraId="5F2898FF" w14:textId="77777777" w:rsidR="00A837AB" w:rsidRDefault="00A837AB" w:rsidP="00B55044">
      <w:pPr>
        <w:spacing w:line="480" w:lineRule="auto"/>
        <w:jc w:val="both"/>
        <w:rPr>
          <w:b/>
          <w:bCs/>
        </w:rPr>
      </w:pPr>
    </w:p>
    <w:p w14:paraId="33825CA2" w14:textId="77777777" w:rsidR="00A837AB" w:rsidRDefault="00A837AB" w:rsidP="00B55044">
      <w:pPr>
        <w:spacing w:line="480" w:lineRule="auto"/>
        <w:jc w:val="both"/>
        <w:rPr>
          <w:b/>
          <w:bCs/>
        </w:rPr>
      </w:pPr>
    </w:p>
    <w:p w14:paraId="2B287F35" w14:textId="77777777" w:rsidR="00A837AB" w:rsidRDefault="00A837AB" w:rsidP="00B55044">
      <w:pPr>
        <w:spacing w:line="480" w:lineRule="auto"/>
        <w:jc w:val="both"/>
        <w:rPr>
          <w:b/>
          <w:bCs/>
        </w:rPr>
      </w:pPr>
    </w:p>
    <w:p w14:paraId="4BA4CB40" w14:textId="77777777" w:rsidR="00A837AB" w:rsidRDefault="00A837AB" w:rsidP="00B55044">
      <w:pPr>
        <w:spacing w:line="480" w:lineRule="auto"/>
        <w:jc w:val="both"/>
        <w:rPr>
          <w:b/>
          <w:bCs/>
        </w:rPr>
      </w:pPr>
    </w:p>
    <w:p w14:paraId="0C163C88" w14:textId="77777777" w:rsidR="00A837AB" w:rsidRDefault="00A837AB" w:rsidP="00B55044">
      <w:pPr>
        <w:spacing w:line="480" w:lineRule="auto"/>
        <w:jc w:val="both"/>
        <w:rPr>
          <w:b/>
          <w:bCs/>
        </w:rPr>
      </w:pPr>
    </w:p>
    <w:p w14:paraId="4C1CDE8F" w14:textId="77777777" w:rsidR="00A837AB" w:rsidRDefault="00A837AB" w:rsidP="00B55044">
      <w:pPr>
        <w:spacing w:line="480" w:lineRule="auto"/>
        <w:jc w:val="both"/>
        <w:rPr>
          <w:b/>
          <w:bCs/>
        </w:rPr>
      </w:pPr>
    </w:p>
    <w:p w14:paraId="0A92F3C9" w14:textId="77777777" w:rsidR="00C46F71" w:rsidRDefault="00AD1620" w:rsidP="00B55044">
      <w:pPr>
        <w:spacing w:line="480" w:lineRule="auto"/>
        <w:jc w:val="both"/>
      </w:pPr>
      <w:r w:rsidRPr="00B55044">
        <w:rPr>
          <w:noProof/>
          <w:lang w:val="en-US" w:eastAsia="en-US"/>
        </w:rPr>
        <w:lastRenderedPageBreak/>
        <w:drawing>
          <wp:inline distT="0" distB="0" distL="0" distR="0" wp14:anchorId="4F3791B3" wp14:editId="21DD5346">
            <wp:extent cx="5937069" cy="3895424"/>
            <wp:effectExtent l="0" t="0" r="6985" b="0"/>
            <wp:docPr id="125651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527" t="4216" r="6154"/>
                    <a:stretch/>
                  </pic:blipFill>
                  <pic:spPr bwMode="auto">
                    <a:xfrm>
                      <a:off x="0" y="0"/>
                      <a:ext cx="5940787" cy="3897863"/>
                    </a:xfrm>
                    <a:prstGeom prst="rect">
                      <a:avLst/>
                    </a:prstGeom>
                    <a:noFill/>
                    <a:ln>
                      <a:noFill/>
                    </a:ln>
                    <a:extLst>
                      <a:ext uri="{53640926-AAD7-44D8-BBD7-CCE9431645EC}">
                        <a14:shadowObscured xmlns:a14="http://schemas.microsoft.com/office/drawing/2010/main"/>
                      </a:ext>
                    </a:extLst>
                  </pic:spPr>
                </pic:pic>
              </a:graphicData>
            </a:graphic>
          </wp:inline>
        </w:drawing>
      </w:r>
      <w:r w:rsidR="00894FC8" w:rsidRPr="00B55044">
        <w:rPr>
          <w:b/>
          <w:bCs/>
        </w:rPr>
        <w:t>Fig</w:t>
      </w:r>
      <w:r w:rsidR="0044572E" w:rsidRPr="00B55044">
        <w:rPr>
          <w:b/>
          <w:bCs/>
        </w:rPr>
        <w:t>.</w:t>
      </w:r>
      <w:r w:rsidR="00894FC8" w:rsidRPr="00B55044">
        <w:rPr>
          <w:b/>
          <w:bCs/>
        </w:rPr>
        <w:t xml:space="preserve"> S1.</w:t>
      </w:r>
      <w:r w:rsidR="00894FC8" w:rsidRPr="00B55044">
        <w:t xml:space="preserve"> Statistics of </w:t>
      </w:r>
      <w:r w:rsidR="00FA469D" w:rsidRPr="00B55044">
        <w:t>PM6-based</w:t>
      </w:r>
      <w:r w:rsidR="00894FC8" w:rsidRPr="00B55044">
        <w:t xml:space="preserve"> </w:t>
      </w:r>
      <w:r w:rsidR="00491B7A" w:rsidRPr="00B55044">
        <w:t>T</w:t>
      </w:r>
      <w:r w:rsidR="00894FC8" w:rsidRPr="00B55044">
        <w:t>OSCs.</w:t>
      </w:r>
      <w:r w:rsidR="00F125AB" w:rsidRPr="00B55044">
        <w:t xml:space="preserve"> </w:t>
      </w:r>
      <w:r w:rsidR="0044572E" w:rsidRPr="00B55044">
        <w:t>(</w:t>
      </w:r>
      <w:r w:rsidR="00894FC8" w:rsidRPr="00B55044">
        <w:t xml:space="preserve">a) </w:t>
      </w:r>
      <w:r w:rsidR="00FE6B1A" w:rsidRPr="00B55044">
        <w:t xml:space="preserve">A histogram </w:t>
      </w:r>
      <w:r w:rsidR="00894FC8" w:rsidRPr="00B55044">
        <w:t xml:space="preserve">illustrating </w:t>
      </w:r>
      <w:r w:rsidR="001A7A74" w:rsidRPr="00B55044">
        <w:t>the</w:t>
      </w:r>
      <w:r w:rsidR="00CB29F8" w:rsidRPr="00B55044">
        <w:t xml:space="preserve"> </w:t>
      </w:r>
      <w:r w:rsidR="00894FC8" w:rsidRPr="00B55044">
        <w:t xml:space="preserve">number of publications (#) </w:t>
      </w:r>
      <w:r w:rsidR="00AF33EA" w:rsidRPr="00B55044">
        <w:t>and</w:t>
      </w:r>
      <w:r w:rsidR="00894FC8" w:rsidRPr="00B55044">
        <w:t xml:space="preserve"> year</w:t>
      </w:r>
      <w:r w:rsidR="00AF33EA" w:rsidRPr="00B55044">
        <w:t xml:space="preserve"> of publication</w:t>
      </w:r>
      <w:r w:rsidR="00894FC8" w:rsidRPr="00B55044">
        <w:t xml:space="preserve">. </w:t>
      </w:r>
      <w:r w:rsidR="0044572E" w:rsidRPr="00B55044">
        <w:t>(</w:t>
      </w:r>
      <w:r w:rsidR="00894FC8" w:rsidRPr="00B55044">
        <w:t xml:space="preserve">b) Evolution of maximum PCE based on PM6 donor over the year. </w:t>
      </w:r>
      <w:r w:rsidR="0044572E" w:rsidRPr="00B55044">
        <w:t>(</w:t>
      </w:r>
      <w:r w:rsidR="00F125AB" w:rsidRPr="00B55044">
        <w:t>c</w:t>
      </w:r>
      <w:r w:rsidR="00894FC8" w:rsidRPr="00B55044">
        <w:t xml:space="preserve">) PCE distribution of collected </w:t>
      </w:r>
      <w:r w:rsidR="00CB29F8" w:rsidRPr="00B55044">
        <w:t>PM6-based</w:t>
      </w:r>
      <w:r w:rsidR="00894FC8" w:rsidRPr="00B55044">
        <w:t xml:space="preserve"> </w:t>
      </w:r>
      <w:r w:rsidR="00491B7A" w:rsidRPr="00B55044">
        <w:t>T</w:t>
      </w:r>
      <w:r w:rsidR="00894FC8" w:rsidRPr="00B55044">
        <w:t xml:space="preserve">OSCs data. </w:t>
      </w:r>
      <w:r w:rsidR="0044572E" w:rsidRPr="00B55044">
        <w:t>(</w:t>
      </w:r>
      <w:r w:rsidR="00894FC8" w:rsidRPr="00B55044">
        <w:t xml:space="preserve">d) Histogram </w:t>
      </w:r>
      <w:r w:rsidR="00CB29F8" w:rsidRPr="00B55044">
        <w:t>interpreting</w:t>
      </w:r>
      <w:r w:rsidR="00894FC8" w:rsidRPr="00B55044">
        <w:t xml:space="preserve"> </w:t>
      </w:r>
      <w:r w:rsidR="00CB29F8" w:rsidRPr="00B55044">
        <w:t xml:space="preserve">the </w:t>
      </w:r>
      <w:r w:rsidR="00894FC8" w:rsidRPr="00B55044">
        <w:t>number of publications in</w:t>
      </w:r>
      <w:r w:rsidR="004B4E78" w:rsidRPr="00B55044">
        <w:t xml:space="preserve"> the</w:t>
      </w:r>
      <w:r w:rsidR="00894FC8" w:rsidRPr="00B55044">
        <w:t xml:space="preserve"> respective journal titles. </w:t>
      </w:r>
    </w:p>
    <w:p w14:paraId="429F25B5" w14:textId="77777777" w:rsidR="00C46F71" w:rsidRPr="00380649" w:rsidRDefault="00C46F71" w:rsidP="00C46F71">
      <w:pPr>
        <w:pStyle w:val="ListParagraph"/>
        <w:spacing w:line="276" w:lineRule="auto"/>
        <w:ind w:left="0"/>
        <w:jc w:val="center"/>
        <w:rPr>
          <w:color w:val="0000FF"/>
          <w:szCs w:val="20"/>
        </w:rPr>
      </w:pPr>
      <w:r w:rsidRPr="00380649">
        <w:rPr>
          <w:noProof/>
          <w:szCs w:val="20"/>
          <w:lang w:val="en-US" w:eastAsia="en-US"/>
        </w:rPr>
        <w:lastRenderedPageBreak/>
        <w:drawing>
          <wp:inline distT="0" distB="0" distL="0" distR="0" wp14:anchorId="42D076B3" wp14:editId="52669BCD">
            <wp:extent cx="5934456" cy="4793799"/>
            <wp:effectExtent l="0" t="0" r="9525" b="0"/>
            <wp:docPr id="893627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847" r="1462"/>
                    <a:stretch/>
                  </pic:blipFill>
                  <pic:spPr bwMode="auto">
                    <a:xfrm>
                      <a:off x="0" y="0"/>
                      <a:ext cx="5944144" cy="4801625"/>
                    </a:xfrm>
                    <a:prstGeom prst="rect">
                      <a:avLst/>
                    </a:prstGeom>
                    <a:noFill/>
                    <a:ln>
                      <a:noFill/>
                    </a:ln>
                    <a:extLst>
                      <a:ext uri="{53640926-AAD7-44D8-BBD7-CCE9431645EC}">
                        <a14:shadowObscured xmlns:a14="http://schemas.microsoft.com/office/drawing/2010/main"/>
                      </a:ext>
                    </a:extLst>
                  </pic:spPr>
                </pic:pic>
              </a:graphicData>
            </a:graphic>
          </wp:inline>
        </w:drawing>
      </w:r>
    </w:p>
    <w:p w14:paraId="6E7679BA" w14:textId="273F4B63" w:rsidR="00C46F71" w:rsidRPr="00EF3C4D" w:rsidRDefault="00C46F71" w:rsidP="00C46F71">
      <w:pPr>
        <w:pStyle w:val="ListParagraph"/>
        <w:spacing w:line="480" w:lineRule="auto"/>
        <w:ind w:left="0"/>
        <w:rPr>
          <w:szCs w:val="20"/>
        </w:rPr>
      </w:pPr>
      <w:r w:rsidRPr="00EF3C4D">
        <w:rPr>
          <w:b/>
          <w:bCs/>
          <w:szCs w:val="20"/>
        </w:rPr>
        <w:t>Fig. S2.</w:t>
      </w:r>
      <w:r w:rsidRPr="00EF3C4D">
        <w:rPr>
          <w:szCs w:val="20"/>
        </w:rPr>
        <w:t xml:space="preserve"> Histograms of all 25 descriptors used for training the ML algorithms.</w:t>
      </w:r>
    </w:p>
    <w:p w14:paraId="5228C0C4" w14:textId="77777777" w:rsidR="0096309F" w:rsidRPr="00EF3C4D" w:rsidRDefault="0096309F" w:rsidP="00B55044">
      <w:pPr>
        <w:spacing w:line="480" w:lineRule="auto"/>
        <w:jc w:val="both"/>
      </w:pPr>
    </w:p>
    <w:p w14:paraId="00780423" w14:textId="12E73E4A" w:rsidR="00C46F71" w:rsidRPr="00EF3C4D" w:rsidRDefault="008A26C2" w:rsidP="00B55044">
      <w:pPr>
        <w:spacing w:line="480" w:lineRule="auto"/>
        <w:jc w:val="both"/>
      </w:pPr>
      <w:r w:rsidRPr="00EF3C4D">
        <w:rPr>
          <w:lang w:val="en-US"/>
        </w:rPr>
        <w:t xml:space="preserve">We analyzed the performance of our ML models across different feature ranges. CART models are inherently robust to feature scaling and can manage a wide range of feature values effectively. Their performance remains stable because they can split data at any point, accommodating both continuous and categorical variables. Similarly, RF models benefit from the aggregation of multiple decision trees and are less sensitive to feature scaling. Moreover, they perform consistently well across various feature ranges due to their ability to capture diverse patterns and interactions. Although powerful, GB models can be sensitive to feature scaling, and normalizing </w:t>
      </w:r>
      <w:r w:rsidRPr="00EF3C4D">
        <w:rPr>
          <w:lang w:val="en-US"/>
        </w:rPr>
        <w:lastRenderedPageBreak/>
        <w:t>input features enhances their performance, especially with wide feature ranges. Linear models are highly sensitive to feature scaling, requiring normalization to ensure each feature contributes proportionately. Without this, features with larger ranges can disproportionately influence the model, causing suboptimal performance. ANNs are particularly sensitive to feature scaling due to their optimization algorithms. However, normalizing inputs significantly improves their convergence and performance, allowing ANNs to effectively learn and generalize from the data, resulting in optimal performance across different feature ranges.</w:t>
      </w:r>
    </w:p>
    <w:p w14:paraId="17435988" w14:textId="77777777" w:rsidR="00C46F71" w:rsidRPr="00EF3C4D" w:rsidRDefault="00C46F71" w:rsidP="00B55044">
      <w:pPr>
        <w:spacing w:line="480" w:lineRule="auto"/>
        <w:jc w:val="both"/>
      </w:pPr>
    </w:p>
    <w:p w14:paraId="0DCE6D55" w14:textId="77777777" w:rsidR="00BE560C" w:rsidRPr="00EF3C4D" w:rsidRDefault="00BE560C" w:rsidP="00B55044">
      <w:pPr>
        <w:spacing w:line="480" w:lineRule="auto"/>
        <w:jc w:val="both"/>
      </w:pPr>
    </w:p>
    <w:p w14:paraId="43451A53" w14:textId="77777777" w:rsidR="00BE560C" w:rsidRPr="00EF3C4D" w:rsidRDefault="00BE560C" w:rsidP="00B55044">
      <w:pPr>
        <w:spacing w:line="480" w:lineRule="auto"/>
        <w:jc w:val="both"/>
        <w:rPr>
          <w:noProof/>
        </w:rPr>
      </w:pPr>
    </w:p>
    <w:p w14:paraId="4F75E34B" w14:textId="77777777" w:rsidR="00E93170" w:rsidRPr="00EF3C4D" w:rsidRDefault="00E93170" w:rsidP="00B55044">
      <w:pPr>
        <w:spacing w:line="480" w:lineRule="auto"/>
        <w:jc w:val="both"/>
        <w:rPr>
          <w:noProof/>
        </w:rPr>
      </w:pPr>
    </w:p>
    <w:p w14:paraId="4138E717" w14:textId="77777777" w:rsidR="00E93170" w:rsidRPr="00EF3C4D" w:rsidRDefault="00E93170" w:rsidP="00B55044">
      <w:pPr>
        <w:spacing w:line="480" w:lineRule="auto"/>
        <w:jc w:val="both"/>
        <w:rPr>
          <w:noProof/>
        </w:rPr>
      </w:pPr>
    </w:p>
    <w:p w14:paraId="20FFAB43" w14:textId="77777777" w:rsidR="00E93170" w:rsidRPr="00EF3C4D" w:rsidRDefault="00E93170" w:rsidP="00B55044">
      <w:pPr>
        <w:spacing w:line="480" w:lineRule="auto"/>
        <w:jc w:val="both"/>
        <w:rPr>
          <w:noProof/>
        </w:rPr>
      </w:pPr>
    </w:p>
    <w:p w14:paraId="69EED78B" w14:textId="77777777" w:rsidR="00E93170" w:rsidRPr="00EF3C4D" w:rsidRDefault="00E93170" w:rsidP="00B55044">
      <w:pPr>
        <w:spacing w:line="480" w:lineRule="auto"/>
        <w:jc w:val="both"/>
        <w:rPr>
          <w:noProof/>
        </w:rPr>
      </w:pPr>
    </w:p>
    <w:p w14:paraId="21BCC8D5" w14:textId="77777777" w:rsidR="00E93170" w:rsidRDefault="00E93170" w:rsidP="00B55044">
      <w:pPr>
        <w:spacing w:line="480" w:lineRule="auto"/>
        <w:jc w:val="both"/>
        <w:rPr>
          <w:noProof/>
        </w:rPr>
      </w:pPr>
    </w:p>
    <w:p w14:paraId="6E1D956A" w14:textId="77777777" w:rsidR="00E93170" w:rsidRDefault="00E93170" w:rsidP="00B55044">
      <w:pPr>
        <w:spacing w:line="480" w:lineRule="auto"/>
        <w:jc w:val="both"/>
        <w:rPr>
          <w:noProof/>
        </w:rPr>
      </w:pPr>
    </w:p>
    <w:p w14:paraId="0AE731BE" w14:textId="77777777" w:rsidR="00E93170" w:rsidRPr="00B55044" w:rsidRDefault="00E93170" w:rsidP="00B55044">
      <w:pPr>
        <w:spacing w:line="480" w:lineRule="auto"/>
        <w:jc w:val="both"/>
        <w:rPr>
          <w:noProof/>
        </w:rPr>
      </w:pPr>
    </w:p>
    <w:p w14:paraId="1459F750" w14:textId="77777777" w:rsidR="0096309F" w:rsidRPr="00B55044" w:rsidRDefault="0096309F" w:rsidP="00B55044">
      <w:pPr>
        <w:spacing w:line="480" w:lineRule="auto"/>
        <w:jc w:val="both"/>
        <w:rPr>
          <w:noProof/>
        </w:rPr>
      </w:pPr>
    </w:p>
    <w:p w14:paraId="5A717128" w14:textId="77777777" w:rsidR="00133475" w:rsidRPr="00B55044" w:rsidRDefault="00E536DC" w:rsidP="00B55044">
      <w:pPr>
        <w:spacing w:line="480" w:lineRule="auto"/>
        <w:jc w:val="both"/>
      </w:pPr>
      <w:bookmarkStart w:id="8" w:name="_Hlk151575705"/>
      <w:bookmarkEnd w:id="5"/>
      <w:r w:rsidRPr="00B55044">
        <w:rPr>
          <w:noProof/>
          <w:lang w:val="en-US" w:eastAsia="en-US"/>
        </w:rPr>
        <w:lastRenderedPageBreak/>
        <w:drawing>
          <wp:inline distT="0" distB="0" distL="0" distR="0" wp14:anchorId="4573DB18" wp14:editId="08A8F679">
            <wp:extent cx="5958840" cy="1667683"/>
            <wp:effectExtent l="0" t="0" r="3810" b="8890"/>
            <wp:docPr id="1480233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239" t="7459" r="4685"/>
                    <a:stretch/>
                  </pic:blipFill>
                  <pic:spPr bwMode="auto">
                    <a:xfrm>
                      <a:off x="0" y="0"/>
                      <a:ext cx="5966805" cy="1669912"/>
                    </a:xfrm>
                    <a:prstGeom prst="rect">
                      <a:avLst/>
                    </a:prstGeom>
                    <a:noFill/>
                    <a:ln>
                      <a:noFill/>
                    </a:ln>
                    <a:extLst>
                      <a:ext uri="{53640926-AAD7-44D8-BBD7-CCE9431645EC}">
                        <a14:shadowObscured xmlns:a14="http://schemas.microsoft.com/office/drawing/2010/main"/>
                      </a:ext>
                    </a:extLst>
                  </pic:spPr>
                </pic:pic>
              </a:graphicData>
            </a:graphic>
          </wp:inline>
        </w:drawing>
      </w:r>
      <w:r w:rsidR="00133475" w:rsidRPr="00B55044">
        <w:rPr>
          <w:b/>
          <w:bCs/>
        </w:rPr>
        <w:t>Fig</w:t>
      </w:r>
      <w:r w:rsidR="007155E4" w:rsidRPr="00B55044">
        <w:rPr>
          <w:b/>
          <w:bCs/>
        </w:rPr>
        <w:t>.</w:t>
      </w:r>
      <w:r w:rsidR="00133475" w:rsidRPr="00B55044">
        <w:rPr>
          <w:b/>
          <w:bCs/>
        </w:rPr>
        <w:t xml:space="preserve"> S</w:t>
      </w:r>
      <w:r w:rsidR="0096309F">
        <w:rPr>
          <w:b/>
          <w:bCs/>
        </w:rPr>
        <w:t>3</w:t>
      </w:r>
      <w:r w:rsidR="00133475" w:rsidRPr="00B55044">
        <w:rPr>
          <w:b/>
          <w:bCs/>
        </w:rPr>
        <w:t>.</w:t>
      </w:r>
      <w:r w:rsidR="00133475" w:rsidRPr="00B55044">
        <w:t xml:space="preserve"> </w:t>
      </w:r>
      <w:r w:rsidR="008B1BF1" w:rsidRPr="00B55044">
        <w:t>P</w:t>
      </w:r>
      <w:r w:rsidR="00133475" w:rsidRPr="00B55044">
        <w:t xml:space="preserve">lot </w:t>
      </w:r>
      <w:r w:rsidR="00CB29F8" w:rsidRPr="00B55044">
        <w:t>correlating</w:t>
      </w:r>
      <w:r w:rsidR="00133475" w:rsidRPr="00B55044">
        <w:t xml:space="preserve"> PCE with </w:t>
      </w:r>
      <w:r w:rsidR="0044572E" w:rsidRPr="00B55044">
        <w:t>(</w:t>
      </w:r>
      <w:r w:rsidR="00133475" w:rsidRPr="00B55044">
        <w:t xml:space="preserve">a) </w:t>
      </w:r>
      <w:r w:rsidR="00133475" w:rsidRPr="00B55044">
        <w:rPr>
          <w:i/>
          <w:iCs/>
        </w:rPr>
        <w:t>J</w:t>
      </w:r>
      <w:r w:rsidR="00133475" w:rsidRPr="00B55044">
        <w:rPr>
          <w:vertAlign w:val="subscript"/>
        </w:rPr>
        <w:t>SC</w:t>
      </w:r>
      <w:r w:rsidR="004B4E78" w:rsidRPr="00B55044">
        <w:t>,</w:t>
      </w:r>
      <w:r w:rsidR="00133475" w:rsidRPr="00B55044">
        <w:t xml:space="preserve"> </w:t>
      </w:r>
      <w:r w:rsidR="0044572E" w:rsidRPr="00B55044">
        <w:t>(</w:t>
      </w:r>
      <w:r w:rsidR="00133475" w:rsidRPr="00B55044">
        <w:t>b)</w:t>
      </w:r>
      <w:r w:rsidR="00F125AB" w:rsidRPr="00B55044">
        <w:t xml:space="preserve"> </w:t>
      </w:r>
      <w:r w:rsidR="00133475" w:rsidRPr="00B55044">
        <w:rPr>
          <w:i/>
          <w:iCs/>
        </w:rPr>
        <w:t>V</w:t>
      </w:r>
      <w:r w:rsidR="004C2F3F" w:rsidRPr="00B55044">
        <w:rPr>
          <w:vertAlign w:val="subscript"/>
        </w:rPr>
        <w:t>OC</w:t>
      </w:r>
      <w:r w:rsidR="004B4E78" w:rsidRPr="00B55044">
        <w:t>, and</w:t>
      </w:r>
      <w:r w:rsidR="00133475" w:rsidRPr="00B55044">
        <w:t xml:space="preserve"> </w:t>
      </w:r>
      <w:r w:rsidR="0044572E" w:rsidRPr="00B55044">
        <w:t>(</w:t>
      </w:r>
      <w:r w:rsidR="00133475" w:rsidRPr="00B55044">
        <w:t xml:space="preserve">c) FF of </w:t>
      </w:r>
      <w:r w:rsidR="00CB29F8" w:rsidRPr="00B55044">
        <w:t>PM6-based</w:t>
      </w:r>
      <w:r w:rsidR="00133475" w:rsidRPr="00B55044">
        <w:t xml:space="preserve"> </w:t>
      </w:r>
      <w:r w:rsidR="00BD2BAC" w:rsidRPr="00B55044">
        <w:t>T</w:t>
      </w:r>
      <w:r w:rsidR="00133475" w:rsidRPr="00B55044">
        <w:t>OSC</w:t>
      </w:r>
      <w:r w:rsidR="00BD2BAC" w:rsidRPr="00B55044">
        <w:t>s</w:t>
      </w:r>
      <w:r w:rsidR="00BB63AD" w:rsidRPr="00B55044">
        <w:t>.</w:t>
      </w:r>
    </w:p>
    <w:p w14:paraId="44EE2DEC" w14:textId="27800045" w:rsidR="00E536DC" w:rsidRPr="00B55044" w:rsidRDefault="00E536DC" w:rsidP="001B1C8A">
      <w:pPr>
        <w:spacing w:line="480" w:lineRule="auto"/>
        <w:jc w:val="center"/>
        <w:rPr>
          <w:b/>
          <w:bCs/>
        </w:rPr>
      </w:pPr>
      <w:bookmarkStart w:id="9" w:name="_Hlk151576080"/>
      <w:bookmarkStart w:id="10" w:name="_Hlk151913906"/>
      <w:bookmarkStart w:id="11" w:name="_Hlk151913931"/>
      <w:bookmarkEnd w:id="8"/>
    </w:p>
    <w:p w14:paraId="25384FD7" w14:textId="529301D5" w:rsidR="001B1C8A" w:rsidRDefault="001B1C8A" w:rsidP="00E93170">
      <w:pPr>
        <w:spacing w:line="480" w:lineRule="auto"/>
        <w:jc w:val="center"/>
        <w:rPr>
          <w:b/>
          <w:bCs/>
        </w:rPr>
      </w:pPr>
      <w:r w:rsidRPr="001B1C8A">
        <w:rPr>
          <w:noProof/>
        </w:rPr>
        <w:lastRenderedPageBreak/>
        <w:drawing>
          <wp:inline distT="0" distB="0" distL="0" distR="0" wp14:anchorId="6CBA34DF" wp14:editId="166E05F4">
            <wp:extent cx="7537450" cy="4036060"/>
            <wp:effectExtent l="0" t="1905" r="4445" b="4445"/>
            <wp:docPr id="13674213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7537450" cy="4036060"/>
                    </a:xfrm>
                    <a:prstGeom prst="rect">
                      <a:avLst/>
                    </a:prstGeom>
                    <a:noFill/>
                    <a:ln>
                      <a:noFill/>
                    </a:ln>
                  </pic:spPr>
                </pic:pic>
              </a:graphicData>
            </a:graphic>
          </wp:inline>
        </w:drawing>
      </w:r>
    </w:p>
    <w:p w14:paraId="006498AB" w14:textId="378C8788" w:rsidR="00925598" w:rsidRPr="001B1C8A" w:rsidRDefault="00925598" w:rsidP="001B1C8A">
      <w:pPr>
        <w:spacing w:line="480" w:lineRule="auto"/>
        <w:jc w:val="both"/>
        <w:rPr>
          <w:b/>
          <w:bCs/>
        </w:rPr>
      </w:pPr>
      <w:r w:rsidRPr="00E93170">
        <w:rPr>
          <w:b/>
          <w:bCs/>
        </w:rPr>
        <w:t>Fig</w:t>
      </w:r>
      <w:r w:rsidR="007155E4" w:rsidRPr="00E93170">
        <w:rPr>
          <w:b/>
          <w:bCs/>
        </w:rPr>
        <w:t>.</w:t>
      </w:r>
      <w:r w:rsidRPr="00E93170">
        <w:rPr>
          <w:b/>
          <w:bCs/>
        </w:rPr>
        <w:t xml:space="preserve"> S</w:t>
      </w:r>
      <w:r w:rsidR="0096309F" w:rsidRPr="00E93170">
        <w:rPr>
          <w:b/>
          <w:bCs/>
        </w:rPr>
        <w:t>4</w:t>
      </w:r>
      <w:r w:rsidRPr="00E93170">
        <w:rPr>
          <w:b/>
          <w:bCs/>
        </w:rPr>
        <w:t>.</w:t>
      </w:r>
      <w:r w:rsidRPr="00E93170">
        <w:t xml:space="preserve"> CART</w:t>
      </w:r>
      <w:r w:rsidR="001D580B" w:rsidRPr="00E93170">
        <w:t xml:space="preserve"> model for</w:t>
      </w:r>
      <w:r w:rsidRPr="00E93170">
        <w:t xml:space="preserve"> </w:t>
      </w:r>
      <w:r w:rsidRPr="00E93170">
        <w:rPr>
          <w:i/>
          <w:iCs/>
        </w:rPr>
        <w:t>J</w:t>
      </w:r>
      <w:r w:rsidR="00F125AB" w:rsidRPr="00E93170">
        <w:rPr>
          <w:vertAlign w:val="subscript"/>
        </w:rPr>
        <w:t>SC</w:t>
      </w:r>
      <w:r w:rsidR="00F125AB" w:rsidRPr="00E93170">
        <w:t xml:space="preserve"> </w:t>
      </w:r>
      <w:r w:rsidRPr="00E93170">
        <w:t xml:space="preserve">of the </w:t>
      </w:r>
      <w:r w:rsidR="00491B7A" w:rsidRPr="00E93170">
        <w:t>T</w:t>
      </w:r>
      <w:r w:rsidRPr="00E93170">
        <w:t>OSCs based on PM6 donor.</w:t>
      </w:r>
    </w:p>
    <w:p w14:paraId="2E419B1C" w14:textId="77777777" w:rsidR="00925598" w:rsidRPr="00B55044" w:rsidRDefault="00E00979" w:rsidP="00B55044">
      <w:pPr>
        <w:spacing w:line="480" w:lineRule="auto"/>
        <w:jc w:val="both"/>
      </w:pPr>
      <w:bookmarkStart w:id="12" w:name="_Hlk151576101"/>
      <w:bookmarkEnd w:id="9"/>
      <w:bookmarkEnd w:id="10"/>
      <w:r w:rsidRPr="00E00979">
        <w:rPr>
          <w:noProof/>
          <w:lang w:val="en-US" w:eastAsia="en-US"/>
        </w:rPr>
        <w:lastRenderedPageBreak/>
        <w:drawing>
          <wp:inline distT="0" distB="0" distL="0" distR="0" wp14:anchorId="1F709D63" wp14:editId="3E529AD5">
            <wp:extent cx="5943600" cy="4697730"/>
            <wp:effectExtent l="0" t="0" r="0" b="0"/>
            <wp:docPr id="188902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697730"/>
                    </a:xfrm>
                    <a:prstGeom prst="rect">
                      <a:avLst/>
                    </a:prstGeom>
                    <a:noFill/>
                    <a:ln>
                      <a:noFill/>
                    </a:ln>
                  </pic:spPr>
                </pic:pic>
              </a:graphicData>
            </a:graphic>
          </wp:inline>
        </w:drawing>
      </w:r>
      <w:r w:rsidR="00925598" w:rsidRPr="00B55044">
        <w:rPr>
          <w:b/>
          <w:bCs/>
        </w:rPr>
        <w:t>Fig</w:t>
      </w:r>
      <w:r w:rsidR="007155E4" w:rsidRPr="00B55044">
        <w:rPr>
          <w:b/>
          <w:bCs/>
        </w:rPr>
        <w:t>.</w:t>
      </w:r>
      <w:r w:rsidR="00925598" w:rsidRPr="00B55044">
        <w:rPr>
          <w:b/>
          <w:bCs/>
        </w:rPr>
        <w:t xml:space="preserve"> S</w:t>
      </w:r>
      <w:r w:rsidR="0096309F">
        <w:rPr>
          <w:b/>
          <w:bCs/>
        </w:rPr>
        <w:t>5</w:t>
      </w:r>
      <w:r w:rsidR="00925598" w:rsidRPr="00B55044">
        <w:rPr>
          <w:b/>
          <w:bCs/>
        </w:rPr>
        <w:t>.</w:t>
      </w:r>
      <w:r w:rsidR="00925598" w:rsidRPr="00B55044">
        <w:t xml:space="preserve"> CART</w:t>
      </w:r>
      <w:r w:rsidR="001D580B" w:rsidRPr="00B55044">
        <w:t xml:space="preserve"> model for</w:t>
      </w:r>
      <w:r w:rsidR="00925598" w:rsidRPr="00B55044">
        <w:t xml:space="preserve"> </w:t>
      </w:r>
      <w:r w:rsidR="00925598" w:rsidRPr="00B55044">
        <w:rPr>
          <w:i/>
          <w:iCs/>
        </w:rPr>
        <w:t>V</w:t>
      </w:r>
      <w:r w:rsidR="00F125AB" w:rsidRPr="00B55044">
        <w:rPr>
          <w:vertAlign w:val="subscript"/>
        </w:rPr>
        <w:t>OC</w:t>
      </w:r>
      <w:r w:rsidR="00925598" w:rsidRPr="00B55044">
        <w:t xml:space="preserve"> of the </w:t>
      </w:r>
      <w:r w:rsidR="00491B7A" w:rsidRPr="00B55044">
        <w:t>T</w:t>
      </w:r>
      <w:r w:rsidR="00925598" w:rsidRPr="00B55044">
        <w:t>OSCs based on PM6 donor.</w:t>
      </w:r>
    </w:p>
    <w:p w14:paraId="25E8437D" w14:textId="77777777" w:rsidR="005A0CB3" w:rsidRPr="00B55044" w:rsidRDefault="005A0CB3" w:rsidP="00B55044">
      <w:pPr>
        <w:spacing w:line="480" w:lineRule="auto"/>
        <w:jc w:val="both"/>
        <w:rPr>
          <w:noProof/>
          <w:lang w:eastAsia="en-US"/>
        </w:rPr>
      </w:pPr>
      <w:bookmarkStart w:id="13" w:name="_Hlk151576126"/>
      <w:bookmarkEnd w:id="12"/>
    </w:p>
    <w:p w14:paraId="5A71CAC1" w14:textId="77777777" w:rsidR="005A0CB3" w:rsidRPr="00B55044" w:rsidRDefault="005A0CB3" w:rsidP="00B55044">
      <w:pPr>
        <w:spacing w:line="480" w:lineRule="auto"/>
        <w:jc w:val="both"/>
        <w:rPr>
          <w:noProof/>
          <w:lang w:eastAsia="en-US"/>
        </w:rPr>
      </w:pPr>
    </w:p>
    <w:p w14:paraId="5A7C3EBB" w14:textId="77777777" w:rsidR="00E536DC" w:rsidRPr="00B55044" w:rsidRDefault="00E536DC" w:rsidP="00B55044">
      <w:pPr>
        <w:spacing w:line="480" w:lineRule="auto"/>
        <w:jc w:val="both"/>
        <w:rPr>
          <w:noProof/>
          <w:lang w:eastAsia="en-US"/>
        </w:rPr>
      </w:pPr>
    </w:p>
    <w:p w14:paraId="6B7F65FF" w14:textId="77777777" w:rsidR="00E536DC" w:rsidRPr="00B55044" w:rsidRDefault="00E536DC" w:rsidP="00B55044">
      <w:pPr>
        <w:spacing w:line="480" w:lineRule="auto"/>
        <w:jc w:val="both"/>
        <w:rPr>
          <w:noProof/>
          <w:lang w:eastAsia="en-US"/>
        </w:rPr>
      </w:pPr>
    </w:p>
    <w:p w14:paraId="1178CE37" w14:textId="77777777" w:rsidR="00E536DC" w:rsidRPr="00B55044" w:rsidRDefault="00E536DC" w:rsidP="00B55044">
      <w:pPr>
        <w:spacing w:line="480" w:lineRule="auto"/>
        <w:jc w:val="both"/>
        <w:rPr>
          <w:noProof/>
          <w:lang w:eastAsia="en-US"/>
        </w:rPr>
      </w:pPr>
    </w:p>
    <w:p w14:paraId="628BE114" w14:textId="77777777" w:rsidR="00E536DC" w:rsidRPr="00B55044" w:rsidRDefault="00E536DC" w:rsidP="00B55044">
      <w:pPr>
        <w:spacing w:line="480" w:lineRule="auto"/>
        <w:jc w:val="both"/>
        <w:rPr>
          <w:noProof/>
          <w:lang w:eastAsia="en-US"/>
        </w:rPr>
      </w:pPr>
    </w:p>
    <w:p w14:paraId="2B46B8F3" w14:textId="77777777" w:rsidR="00E536DC" w:rsidRPr="00B55044" w:rsidRDefault="00E536DC" w:rsidP="00B55044">
      <w:pPr>
        <w:spacing w:line="480" w:lineRule="auto"/>
        <w:jc w:val="both"/>
        <w:rPr>
          <w:noProof/>
          <w:lang w:eastAsia="en-US"/>
        </w:rPr>
      </w:pPr>
    </w:p>
    <w:p w14:paraId="5331FF58" w14:textId="77777777" w:rsidR="00E536DC" w:rsidRPr="00B55044" w:rsidRDefault="00E536DC" w:rsidP="00B55044">
      <w:pPr>
        <w:spacing w:line="480" w:lineRule="auto"/>
        <w:jc w:val="both"/>
        <w:rPr>
          <w:noProof/>
          <w:lang w:eastAsia="en-US"/>
        </w:rPr>
      </w:pPr>
    </w:p>
    <w:p w14:paraId="28541276" w14:textId="77777777" w:rsidR="001B1C8A" w:rsidRDefault="001B1C8A" w:rsidP="001B1C8A">
      <w:pPr>
        <w:spacing w:line="480" w:lineRule="auto"/>
        <w:jc w:val="both"/>
        <w:rPr>
          <w:b/>
          <w:bCs/>
        </w:rPr>
      </w:pPr>
      <w:r w:rsidRPr="001B1C8A">
        <w:rPr>
          <w:noProof/>
        </w:rPr>
        <w:lastRenderedPageBreak/>
        <w:drawing>
          <wp:inline distT="0" distB="0" distL="0" distR="0" wp14:anchorId="61098E9E" wp14:editId="534F8F18">
            <wp:extent cx="5917915" cy="5003436"/>
            <wp:effectExtent l="0" t="0" r="0" b="0"/>
            <wp:docPr id="11054035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r="6137"/>
                    <a:stretch/>
                  </pic:blipFill>
                  <pic:spPr bwMode="auto">
                    <a:xfrm>
                      <a:off x="0" y="0"/>
                      <a:ext cx="5921662" cy="5006604"/>
                    </a:xfrm>
                    <a:prstGeom prst="rect">
                      <a:avLst/>
                    </a:prstGeom>
                    <a:noFill/>
                    <a:ln>
                      <a:noFill/>
                    </a:ln>
                    <a:extLst>
                      <a:ext uri="{53640926-AAD7-44D8-BBD7-CCE9431645EC}">
                        <a14:shadowObscured xmlns:a14="http://schemas.microsoft.com/office/drawing/2010/main"/>
                      </a:ext>
                    </a:extLst>
                  </pic:spPr>
                </pic:pic>
              </a:graphicData>
            </a:graphic>
          </wp:inline>
        </w:drawing>
      </w:r>
    </w:p>
    <w:p w14:paraId="4DB1F06A" w14:textId="7EE4BDD8" w:rsidR="00925598" w:rsidRDefault="00925598" w:rsidP="001B1C8A">
      <w:pPr>
        <w:spacing w:line="480" w:lineRule="auto"/>
        <w:jc w:val="both"/>
      </w:pPr>
      <w:r w:rsidRPr="00B55044">
        <w:rPr>
          <w:b/>
          <w:bCs/>
        </w:rPr>
        <w:t>Fig</w:t>
      </w:r>
      <w:r w:rsidR="007155E4" w:rsidRPr="00B55044">
        <w:rPr>
          <w:b/>
          <w:bCs/>
        </w:rPr>
        <w:t>.</w:t>
      </w:r>
      <w:r w:rsidRPr="00B55044">
        <w:rPr>
          <w:b/>
          <w:bCs/>
        </w:rPr>
        <w:t xml:space="preserve"> S</w:t>
      </w:r>
      <w:r w:rsidR="0096309F">
        <w:rPr>
          <w:b/>
          <w:bCs/>
        </w:rPr>
        <w:t>6</w:t>
      </w:r>
      <w:r w:rsidRPr="00B55044">
        <w:rPr>
          <w:b/>
          <w:bCs/>
        </w:rPr>
        <w:t>.</w:t>
      </w:r>
      <w:r w:rsidRPr="00B55044">
        <w:t xml:space="preserve"> CART</w:t>
      </w:r>
      <w:r w:rsidR="001D580B" w:rsidRPr="00B55044">
        <w:t xml:space="preserve"> model for</w:t>
      </w:r>
      <w:r w:rsidRPr="00B55044">
        <w:t xml:space="preserve"> FF of the </w:t>
      </w:r>
      <w:r w:rsidR="00491B7A" w:rsidRPr="00B55044">
        <w:t>T</w:t>
      </w:r>
      <w:r w:rsidRPr="00B55044">
        <w:t>OSCs based on PM6 donor.</w:t>
      </w:r>
      <w:bookmarkEnd w:id="11"/>
    </w:p>
    <w:p w14:paraId="3E60EA53" w14:textId="77777777" w:rsidR="00616E58" w:rsidRDefault="00616E58" w:rsidP="00B55044">
      <w:pPr>
        <w:spacing w:line="480" w:lineRule="auto"/>
        <w:jc w:val="both"/>
      </w:pPr>
    </w:p>
    <w:p w14:paraId="270A477F" w14:textId="77777777" w:rsidR="00E536DC" w:rsidRPr="00B55044" w:rsidRDefault="00E00979" w:rsidP="00B55044">
      <w:pPr>
        <w:spacing w:line="480" w:lineRule="auto"/>
        <w:jc w:val="both"/>
        <w:rPr>
          <w:b/>
          <w:bCs/>
        </w:rPr>
      </w:pPr>
      <w:bookmarkStart w:id="14" w:name="_Hlk151576201"/>
      <w:bookmarkEnd w:id="13"/>
      <w:r w:rsidRPr="00E00979">
        <w:rPr>
          <w:noProof/>
          <w:lang w:val="en-US" w:eastAsia="en-US"/>
        </w:rPr>
        <w:lastRenderedPageBreak/>
        <w:drawing>
          <wp:inline distT="0" distB="0" distL="0" distR="0" wp14:anchorId="00B87686" wp14:editId="07CE6E39">
            <wp:extent cx="5937601" cy="5264912"/>
            <wp:effectExtent l="0" t="0" r="6350" b="0"/>
            <wp:docPr id="1141143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477"/>
                    <a:stretch/>
                  </pic:blipFill>
                  <pic:spPr bwMode="auto">
                    <a:xfrm>
                      <a:off x="0" y="0"/>
                      <a:ext cx="5939602" cy="5266686"/>
                    </a:xfrm>
                    <a:prstGeom prst="rect">
                      <a:avLst/>
                    </a:prstGeom>
                    <a:noFill/>
                    <a:ln>
                      <a:noFill/>
                    </a:ln>
                    <a:extLst>
                      <a:ext uri="{53640926-AAD7-44D8-BBD7-CCE9431645EC}">
                        <a14:shadowObscured xmlns:a14="http://schemas.microsoft.com/office/drawing/2010/main"/>
                      </a:ext>
                    </a:extLst>
                  </pic:spPr>
                </pic:pic>
              </a:graphicData>
            </a:graphic>
          </wp:inline>
        </w:drawing>
      </w:r>
    </w:p>
    <w:p w14:paraId="5065A8B4" w14:textId="77777777" w:rsidR="00924AA4" w:rsidRPr="00B55044" w:rsidRDefault="00924AA4" w:rsidP="00B55044">
      <w:pPr>
        <w:spacing w:line="480" w:lineRule="auto"/>
        <w:jc w:val="both"/>
        <w:rPr>
          <w:color w:val="FF0000"/>
        </w:rPr>
      </w:pPr>
      <w:r w:rsidRPr="00B55044">
        <w:rPr>
          <w:b/>
          <w:bCs/>
        </w:rPr>
        <w:t>Fig</w:t>
      </w:r>
      <w:r w:rsidR="007155E4" w:rsidRPr="00B55044">
        <w:rPr>
          <w:b/>
          <w:bCs/>
        </w:rPr>
        <w:t>.</w:t>
      </w:r>
      <w:r w:rsidRPr="00B55044">
        <w:rPr>
          <w:b/>
          <w:bCs/>
        </w:rPr>
        <w:t xml:space="preserve"> S</w:t>
      </w:r>
      <w:r w:rsidR="00E82762">
        <w:rPr>
          <w:b/>
          <w:bCs/>
        </w:rPr>
        <w:t>7</w:t>
      </w:r>
      <w:r w:rsidRPr="00B55044">
        <w:t xml:space="preserve">. ANN </w:t>
      </w:r>
      <w:r w:rsidR="00924CE5" w:rsidRPr="00B55044">
        <w:t xml:space="preserve">model structure of </w:t>
      </w:r>
      <w:r w:rsidR="0044572E" w:rsidRPr="00B55044">
        <w:t>(</w:t>
      </w:r>
      <w:r w:rsidRPr="00B55044">
        <w:t xml:space="preserve">a) PCE, </w:t>
      </w:r>
      <w:r w:rsidR="0044572E" w:rsidRPr="00B55044">
        <w:t>(</w:t>
      </w:r>
      <w:r w:rsidRPr="00B55044">
        <w:t xml:space="preserve">b) </w:t>
      </w:r>
      <w:r w:rsidRPr="00B55044">
        <w:rPr>
          <w:i/>
          <w:iCs/>
        </w:rPr>
        <w:t>J</w:t>
      </w:r>
      <w:r w:rsidRPr="00B55044">
        <w:rPr>
          <w:vertAlign w:val="subscript"/>
        </w:rPr>
        <w:t>SC</w:t>
      </w:r>
      <w:r w:rsidRPr="00B55044">
        <w:t xml:space="preserve">, </w:t>
      </w:r>
      <w:r w:rsidR="002D2A48" w:rsidRPr="00B55044">
        <w:t>(</w:t>
      </w:r>
      <w:r w:rsidRPr="00B55044">
        <w:t xml:space="preserve">c) </w:t>
      </w:r>
      <w:r w:rsidRPr="00B55044">
        <w:rPr>
          <w:i/>
          <w:iCs/>
        </w:rPr>
        <w:t>V</w:t>
      </w:r>
      <w:r w:rsidRPr="00B55044">
        <w:rPr>
          <w:vertAlign w:val="subscript"/>
        </w:rPr>
        <w:t>OC,</w:t>
      </w:r>
      <w:r w:rsidRPr="00B55044">
        <w:t xml:space="preserve"> and </w:t>
      </w:r>
      <w:r w:rsidR="002D2A48" w:rsidRPr="00B55044">
        <w:t>(</w:t>
      </w:r>
      <w:r w:rsidRPr="00B55044">
        <w:t>d) FF of the TOSCs based on the PM6 donor.</w:t>
      </w:r>
    </w:p>
    <w:p w14:paraId="6705EBDD" w14:textId="77777777" w:rsidR="00617DFD" w:rsidRPr="00B55044" w:rsidRDefault="00617DFD" w:rsidP="00B55044">
      <w:pPr>
        <w:spacing w:line="480" w:lineRule="auto"/>
        <w:jc w:val="both"/>
        <w:rPr>
          <w:noProof/>
        </w:rPr>
      </w:pPr>
    </w:p>
    <w:p w14:paraId="69365B65" w14:textId="77777777" w:rsidR="00553333" w:rsidRPr="00B55044" w:rsidRDefault="00553333" w:rsidP="00B55044">
      <w:pPr>
        <w:spacing w:line="480" w:lineRule="auto"/>
        <w:jc w:val="both"/>
        <w:rPr>
          <w:noProof/>
        </w:rPr>
      </w:pPr>
    </w:p>
    <w:p w14:paraId="655D10EC" w14:textId="77777777" w:rsidR="00553333" w:rsidRPr="00B55044" w:rsidRDefault="00553333" w:rsidP="00B55044">
      <w:pPr>
        <w:spacing w:line="480" w:lineRule="auto"/>
        <w:jc w:val="both"/>
        <w:rPr>
          <w:noProof/>
        </w:rPr>
      </w:pPr>
    </w:p>
    <w:p w14:paraId="3E5F28C4" w14:textId="77777777" w:rsidR="00553333" w:rsidRPr="00B55044" w:rsidRDefault="00553333" w:rsidP="00B55044">
      <w:pPr>
        <w:spacing w:line="480" w:lineRule="auto"/>
        <w:jc w:val="both"/>
        <w:rPr>
          <w:noProof/>
        </w:rPr>
      </w:pPr>
    </w:p>
    <w:p w14:paraId="63ABCAC8" w14:textId="77777777" w:rsidR="00553333" w:rsidRPr="00B55044" w:rsidRDefault="00553333" w:rsidP="00B55044">
      <w:pPr>
        <w:spacing w:line="480" w:lineRule="auto"/>
        <w:jc w:val="both"/>
        <w:rPr>
          <w:noProof/>
        </w:rPr>
      </w:pPr>
    </w:p>
    <w:p w14:paraId="508F43DB" w14:textId="77777777" w:rsidR="00025822" w:rsidRPr="00B55044" w:rsidRDefault="00924AC4" w:rsidP="00B55044">
      <w:pPr>
        <w:spacing w:line="480" w:lineRule="auto"/>
        <w:jc w:val="both"/>
        <w:rPr>
          <w:b/>
          <w:bCs/>
        </w:rPr>
      </w:pPr>
      <w:r w:rsidRPr="00B55044">
        <w:rPr>
          <w:noProof/>
          <w:lang w:val="en-US" w:eastAsia="en-US"/>
        </w:rPr>
        <w:lastRenderedPageBreak/>
        <w:drawing>
          <wp:inline distT="0" distB="0" distL="0" distR="0" wp14:anchorId="1D59214F" wp14:editId="7F5FA85D">
            <wp:extent cx="5943600" cy="4796514"/>
            <wp:effectExtent l="0" t="0" r="0" b="0"/>
            <wp:docPr id="9106505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175" t="2807" r="5128" b="2686"/>
                    <a:stretch/>
                  </pic:blipFill>
                  <pic:spPr bwMode="auto">
                    <a:xfrm>
                      <a:off x="0" y="0"/>
                      <a:ext cx="5947983" cy="4800051"/>
                    </a:xfrm>
                    <a:prstGeom prst="rect">
                      <a:avLst/>
                    </a:prstGeom>
                    <a:noFill/>
                    <a:ln>
                      <a:noFill/>
                    </a:ln>
                    <a:extLst>
                      <a:ext uri="{53640926-AAD7-44D8-BBD7-CCE9431645EC}">
                        <a14:shadowObscured xmlns:a14="http://schemas.microsoft.com/office/drawing/2010/main"/>
                      </a:ext>
                    </a:extLst>
                  </pic:spPr>
                </pic:pic>
              </a:graphicData>
            </a:graphic>
          </wp:inline>
        </w:drawing>
      </w:r>
    </w:p>
    <w:p w14:paraId="232B034D" w14:textId="77777777" w:rsidR="008B55A0" w:rsidRPr="00B55044" w:rsidRDefault="008B55A0" w:rsidP="00B55044">
      <w:pPr>
        <w:spacing w:line="480" w:lineRule="auto"/>
        <w:jc w:val="both"/>
      </w:pPr>
      <w:r w:rsidRPr="00B55044">
        <w:rPr>
          <w:b/>
          <w:bCs/>
        </w:rPr>
        <w:t>Fig</w:t>
      </w:r>
      <w:r w:rsidR="007155E4" w:rsidRPr="00B55044">
        <w:rPr>
          <w:b/>
          <w:bCs/>
        </w:rPr>
        <w:t xml:space="preserve">. </w:t>
      </w:r>
      <w:r w:rsidRPr="00B55044">
        <w:rPr>
          <w:b/>
          <w:bCs/>
        </w:rPr>
        <w:t>S</w:t>
      </w:r>
      <w:r w:rsidR="00E82762">
        <w:rPr>
          <w:b/>
          <w:bCs/>
        </w:rPr>
        <w:t>8</w:t>
      </w:r>
      <w:r w:rsidRPr="00B55044">
        <w:rPr>
          <w:b/>
          <w:bCs/>
        </w:rPr>
        <w:t>.</w:t>
      </w:r>
      <w:r w:rsidRPr="00B55044">
        <w:t xml:space="preserve"> </w:t>
      </w:r>
      <w:r w:rsidR="001A1570" w:rsidRPr="00B55044">
        <w:t>ANN-based</w:t>
      </w:r>
      <w:r w:rsidR="00924CE5" w:rsidRPr="00B55044">
        <w:t xml:space="preserve"> p</w:t>
      </w:r>
      <w:r w:rsidRPr="00B55044">
        <w:t xml:space="preserve">redictions of </w:t>
      </w:r>
      <w:r w:rsidR="007155E4" w:rsidRPr="00B55044">
        <w:t>(</w:t>
      </w:r>
      <w:r w:rsidRPr="00B55044">
        <w:t xml:space="preserve">a) PCE, </w:t>
      </w:r>
      <w:r w:rsidR="007155E4" w:rsidRPr="00B55044">
        <w:t>(</w:t>
      </w:r>
      <w:r w:rsidRPr="00B55044">
        <w:t xml:space="preserve">b) </w:t>
      </w:r>
      <w:r w:rsidRPr="00B55044">
        <w:rPr>
          <w:i/>
          <w:iCs/>
        </w:rPr>
        <w:t>J</w:t>
      </w:r>
      <w:r w:rsidR="00F125AB" w:rsidRPr="00B55044">
        <w:rPr>
          <w:vertAlign w:val="subscript"/>
        </w:rPr>
        <w:t>SC</w:t>
      </w:r>
      <w:r w:rsidRPr="00B55044">
        <w:t xml:space="preserve">, </w:t>
      </w:r>
      <w:r w:rsidR="007155E4" w:rsidRPr="00B55044">
        <w:t>(</w:t>
      </w:r>
      <w:r w:rsidRPr="00B55044">
        <w:t xml:space="preserve">c) </w:t>
      </w:r>
      <w:r w:rsidRPr="00B55044">
        <w:rPr>
          <w:i/>
          <w:iCs/>
        </w:rPr>
        <w:t>V</w:t>
      </w:r>
      <w:r w:rsidR="00F125AB" w:rsidRPr="00B55044">
        <w:rPr>
          <w:vertAlign w:val="subscript"/>
        </w:rPr>
        <w:t>OC</w:t>
      </w:r>
      <w:r w:rsidRPr="00B55044">
        <w:rPr>
          <w:vertAlign w:val="subscript"/>
        </w:rPr>
        <w:t>,</w:t>
      </w:r>
      <w:r w:rsidRPr="00B55044">
        <w:t xml:space="preserve"> and </w:t>
      </w:r>
      <w:r w:rsidR="007155E4" w:rsidRPr="00B55044">
        <w:t>(</w:t>
      </w:r>
      <w:r w:rsidRPr="00B55044">
        <w:t xml:space="preserve">d) FF of the </w:t>
      </w:r>
      <w:r w:rsidR="00F125AB" w:rsidRPr="00B55044">
        <w:t>TOSCs</w:t>
      </w:r>
      <w:r w:rsidRPr="00B55044">
        <w:t xml:space="preserve"> based on PM6 donor</w:t>
      </w:r>
      <w:r w:rsidR="001A1570" w:rsidRPr="00B55044">
        <w:t xml:space="preserve"> (based on all defined descriptors)</w:t>
      </w:r>
      <w:r w:rsidR="00924CE5" w:rsidRPr="00B55044">
        <w:t>.</w:t>
      </w:r>
    </w:p>
    <w:bookmarkEnd w:id="14"/>
    <w:p w14:paraId="442A532D" w14:textId="77777777" w:rsidR="008B55A0" w:rsidRPr="00B55044" w:rsidRDefault="008B55A0" w:rsidP="00B55044">
      <w:pPr>
        <w:spacing w:line="480" w:lineRule="auto"/>
      </w:pPr>
    </w:p>
    <w:p w14:paraId="0989BA07" w14:textId="2727B982" w:rsidR="0057443F" w:rsidRPr="008A26C2" w:rsidRDefault="00924AA4" w:rsidP="00B55044">
      <w:pPr>
        <w:spacing w:line="480" w:lineRule="auto"/>
        <w:jc w:val="both"/>
      </w:pPr>
      <w:r w:rsidRPr="00B55044">
        <w:t xml:space="preserve">An artificial neural network (ANN) is a powerful </w:t>
      </w:r>
      <w:r w:rsidR="007E3E25" w:rsidRPr="00B55044">
        <w:t>machine learning (</w:t>
      </w:r>
      <w:r w:rsidR="00183810" w:rsidRPr="00B55044">
        <w:t>ML</w:t>
      </w:r>
      <w:r w:rsidR="007E3E25" w:rsidRPr="00B55044">
        <w:t>)</w:t>
      </w:r>
      <w:r w:rsidR="00183810" w:rsidRPr="00B55044">
        <w:t xml:space="preserve"> algorithm</w:t>
      </w:r>
      <w:r w:rsidRPr="00B55044">
        <w:t xml:space="preserve"> that </w:t>
      </w:r>
      <w:r w:rsidR="007E3E25" w:rsidRPr="00B55044">
        <w:t>is inspired by</w:t>
      </w:r>
      <w:r w:rsidRPr="00B55044">
        <w:t xml:space="preserve"> the complex structure of the human brain. This sophisticated system is </w:t>
      </w:r>
      <w:r w:rsidR="007E3E25" w:rsidRPr="00B55044">
        <w:t>based on</w:t>
      </w:r>
      <w:r w:rsidRPr="00B55044">
        <w:t xml:space="preserve"> a mathematical framework that allows it to process information seamlessly. It assigns weights to input and output data, </w:t>
      </w:r>
      <w:r w:rsidR="00013F81" w:rsidRPr="00B55044">
        <w:t xml:space="preserve">thereby </w:t>
      </w:r>
      <w:r w:rsidRPr="00B55044">
        <w:t xml:space="preserve">orchestrating </w:t>
      </w:r>
      <w:r w:rsidR="00013F81" w:rsidRPr="00B55044">
        <w:t>an</w:t>
      </w:r>
      <w:r w:rsidRPr="00B55044">
        <w:t xml:space="preserve"> intelligence </w:t>
      </w:r>
      <w:r w:rsidR="00013F81" w:rsidRPr="00B55044">
        <w:t xml:space="preserve">model </w:t>
      </w:r>
      <w:r w:rsidRPr="00B55044">
        <w:t>within its computational realm</w:t>
      </w:r>
      <w:r w:rsidR="00F73C3C" w:rsidRPr="00B55044">
        <w:rPr>
          <w:rFonts w:eastAsiaTheme="minorEastAsia"/>
          <w:lang w:eastAsia="ko-KR"/>
        </w:rPr>
        <w:t xml:space="preserve"> </w:t>
      </w:r>
      <w:r w:rsidR="003F3787" w:rsidRPr="00B55044">
        <w:rPr>
          <w:color w:val="0000FF"/>
          <w:vertAlign w:val="superscript"/>
        </w:rPr>
        <w:fldChar w:fldCharType="begin"/>
      </w:r>
      <w:r w:rsidR="001F36B1" w:rsidRPr="00B55044">
        <w:rPr>
          <w:color w:val="0000FF"/>
          <w:vertAlign w:val="superscript"/>
        </w:rPr>
        <w:instrText xml:space="preserve"> ADDIN ZOTERO_ITEM CSL_CITATION {"citationID":"a27vi8lcrr8","properties":{"formattedCitation":"[1]","plainCitation":"[1]","noteIndex":0},"citationItems":[{"id":779,"uris":["http://zotero.org/users/12909065/items/ZYX8Q47V"],"itemData":{"id":779,"type":"article-journal","abstract":"In recent years, high energy demands have posed a huge challenge to the research community to come up with efficient and robust energy-producing materials. In lieu of this, materials discovery by building a Process-Structure-Properties (P–S–P) relationship for organic photovoltaic (OPV) cells using mathematical and statistical models is a useful approach, however, computationally expensive and time-consuming. The present study utilizes the physics-based model to develop the Process-Structure (P–S) relationship for 68 different blend ratios and proposed Artificial Neural Network (ANN) models to map blend concentration with structural properties of OPV cells, namely, Percolation Fraction (PF) and Interfacial Area (IA). The fitted ANN model is then utilised for multi-objective optimization to find the optimal concentration of donor and acceptor to have maximum PF and IA using a Genetic Algorithm; this is further verified by search-based multi-objective optimization to have better insight into the design sub-space which contained optimal solution. Finally, the optimal values of concentrations are validated through device optimization where efficiency predictions were made on structural data of the same morphologies using a mechanistic and regression model. It has been demonstrated that the amalgamation of data-driven techniques and physics-based simulation is the new way forward for accelerated material discovery.","container-title":"Solar Energy Materials and Solar Cells","DOI":"10.1016/j.solmat.2023.112258","ISSN":"0927-0248","journalAbbreviation":"Solar Energy Materials and Solar Cells","page":"112258","source":"ScienceDirect","title":"Employing artificial neural network on geometrical morphological descriptors for deriving physics-based insights in multi-component organic photovoltaics","volume":"254","author":[{"family":"Keshav","given":"Manjeet"},{"family":"Kaka","given":"Fiyanshu"}],"issued":{"date-parts":[["2023",6,1]]}}}],"schema":"https://github.com/citation-style-language/schema/raw/master/csl-citation.json"} </w:instrText>
      </w:r>
      <w:r w:rsidR="003F3787" w:rsidRPr="00B55044">
        <w:rPr>
          <w:color w:val="0000FF"/>
          <w:vertAlign w:val="superscript"/>
        </w:rPr>
        <w:fldChar w:fldCharType="separate"/>
      </w:r>
      <w:r w:rsidR="00B452EB" w:rsidRPr="00B55044">
        <w:rPr>
          <w:color w:val="0000FF"/>
        </w:rPr>
        <w:t>[1]</w:t>
      </w:r>
      <w:r w:rsidR="003F3787" w:rsidRPr="00B55044">
        <w:rPr>
          <w:color w:val="0000FF"/>
          <w:vertAlign w:val="superscript"/>
        </w:rPr>
        <w:fldChar w:fldCharType="end"/>
      </w:r>
      <w:r w:rsidR="00F73C3C" w:rsidRPr="00B55044">
        <w:rPr>
          <w:rFonts w:eastAsiaTheme="minorEastAsia"/>
          <w:lang w:eastAsia="ko-KR"/>
        </w:rPr>
        <w:t>.</w:t>
      </w:r>
      <w:r w:rsidRPr="00B55044">
        <w:t xml:space="preserve"> In this case, a multi-layer feedforward neural network architecture of the ANN was </w:t>
      </w:r>
      <w:r w:rsidR="0008757D" w:rsidRPr="00B55044">
        <w:t xml:space="preserve">used </w:t>
      </w:r>
      <w:r w:rsidRPr="00B55044">
        <w:t xml:space="preserve">to make predictions. </w:t>
      </w:r>
      <w:r w:rsidRPr="00B55044">
        <w:rPr>
          <w:color w:val="0000FF"/>
        </w:rPr>
        <w:t>Fig</w:t>
      </w:r>
      <w:r w:rsidR="00021222" w:rsidRPr="00B55044">
        <w:rPr>
          <w:color w:val="0000FF"/>
        </w:rPr>
        <w:t>.</w:t>
      </w:r>
      <w:r w:rsidRPr="00B55044">
        <w:rPr>
          <w:color w:val="0000FF"/>
        </w:rPr>
        <w:t xml:space="preserve"> S</w:t>
      </w:r>
      <w:r w:rsidR="00E82762">
        <w:rPr>
          <w:color w:val="0000FF"/>
        </w:rPr>
        <w:t>7</w:t>
      </w:r>
      <w:r w:rsidRPr="00B55044">
        <w:t xml:space="preserve"> shows the ANN structure for each parameter of the solar cell. These structures include </w:t>
      </w:r>
      <w:r w:rsidRPr="00B55044">
        <w:lastRenderedPageBreak/>
        <w:t xml:space="preserve">specific input descriptors, output solar cell parameters, synaptic weights, bias values, and input, hidden, and output layers. </w:t>
      </w:r>
      <w:r w:rsidR="0057443F" w:rsidRPr="00B55044">
        <w:t xml:space="preserve">The scatter plot in </w:t>
      </w:r>
      <w:r w:rsidR="0057443F" w:rsidRPr="00B55044">
        <w:rPr>
          <w:color w:val="0000FF"/>
        </w:rPr>
        <w:t>Fig</w:t>
      </w:r>
      <w:r w:rsidR="00021222" w:rsidRPr="00B55044">
        <w:rPr>
          <w:color w:val="0000FF"/>
        </w:rPr>
        <w:t>.</w:t>
      </w:r>
      <w:r w:rsidR="0057443F" w:rsidRPr="00B55044">
        <w:rPr>
          <w:color w:val="0000FF"/>
        </w:rPr>
        <w:t xml:space="preserve"> S</w:t>
      </w:r>
      <w:r w:rsidR="00E82762">
        <w:rPr>
          <w:color w:val="0000FF"/>
        </w:rPr>
        <w:t>8</w:t>
      </w:r>
      <w:r w:rsidR="0057443F" w:rsidRPr="00B55044">
        <w:rPr>
          <w:color w:val="0000FF"/>
        </w:rPr>
        <w:t xml:space="preserve"> </w:t>
      </w:r>
      <w:r w:rsidR="0057443F" w:rsidRPr="00B55044">
        <w:t xml:space="preserve">displays the predicted and actual values of device parameters </w:t>
      </w:r>
      <w:r w:rsidR="007E3E25" w:rsidRPr="00B55044">
        <w:t xml:space="preserve">such as </w:t>
      </w:r>
      <w:r w:rsidR="0057443F" w:rsidRPr="00B55044">
        <w:t xml:space="preserve">PCE, </w:t>
      </w:r>
      <w:r w:rsidR="0057443F" w:rsidRPr="00B55044">
        <w:rPr>
          <w:i/>
          <w:iCs/>
        </w:rPr>
        <w:t>J</w:t>
      </w:r>
      <w:r w:rsidR="0057443F" w:rsidRPr="00B55044">
        <w:rPr>
          <w:vertAlign w:val="subscript"/>
        </w:rPr>
        <w:t>SC</w:t>
      </w:r>
      <w:r w:rsidR="0057443F" w:rsidRPr="00B55044">
        <w:t xml:space="preserve">, </w:t>
      </w:r>
      <w:r w:rsidR="0057443F" w:rsidRPr="00B55044">
        <w:rPr>
          <w:i/>
          <w:iCs/>
        </w:rPr>
        <w:t>V</w:t>
      </w:r>
      <w:r w:rsidR="0057443F" w:rsidRPr="00B55044">
        <w:rPr>
          <w:vertAlign w:val="subscript"/>
        </w:rPr>
        <w:t>OC</w:t>
      </w:r>
      <w:r w:rsidR="0057443F" w:rsidRPr="00B55044">
        <w:t xml:space="preserve">, and FF of </w:t>
      </w:r>
      <w:r w:rsidR="00183810" w:rsidRPr="00B55044">
        <w:t>PM6 donor</w:t>
      </w:r>
      <w:r w:rsidR="001A7A74" w:rsidRPr="00B55044">
        <w:t>-</w:t>
      </w:r>
      <w:r w:rsidR="00183810" w:rsidRPr="00B55044">
        <w:t xml:space="preserve">based </w:t>
      </w:r>
      <w:r w:rsidR="0057443F" w:rsidRPr="00B55044">
        <w:t>TOSC</w:t>
      </w:r>
      <w:r w:rsidR="00183810" w:rsidRPr="00B55044">
        <w:t xml:space="preserve">s, based on </w:t>
      </w:r>
      <w:r w:rsidR="0057443F" w:rsidRPr="00B55044">
        <w:t>ANN ML technique</w:t>
      </w:r>
      <w:r w:rsidR="00024399" w:rsidRPr="00B55044">
        <w:t xml:space="preserve">. All the defined descriptors were </w:t>
      </w:r>
      <w:r w:rsidR="00013F81" w:rsidRPr="00B55044">
        <w:t>considered</w:t>
      </w:r>
      <w:r w:rsidR="00024399" w:rsidRPr="00B55044">
        <w:t xml:space="preserve"> for making predictions. </w:t>
      </w:r>
      <w:r w:rsidR="0057443F" w:rsidRPr="00B55044">
        <w:t xml:space="preserve">The values of Pearson r for PCE, </w:t>
      </w:r>
      <w:r w:rsidR="0057443F" w:rsidRPr="00B55044">
        <w:rPr>
          <w:i/>
          <w:iCs/>
        </w:rPr>
        <w:t>J</w:t>
      </w:r>
      <w:r w:rsidR="0057443F" w:rsidRPr="00B55044">
        <w:rPr>
          <w:vertAlign w:val="subscript"/>
        </w:rPr>
        <w:t>SC</w:t>
      </w:r>
      <w:r w:rsidR="0057443F" w:rsidRPr="00B55044">
        <w:t xml:space="preserve">, </w:t>
      </w:r>
      <w:r w:rsidR="0057443F" w:rsidRPr="00B55044">
        <w:rPr>
          <w:i/>
          <w:iCs/>
        </w:rPr>
        <w:t>V</w:t>
      </w:r>
      <w:r w:rsidR="0057443F" w:rsidRPr="00B55044">
        <w:rPr>
          <w:vertAlign w:val="subscript"/>
        </w:rPr>
        <w:t>OC</w:t>
      </w:r>
      <w:r w:rsidR="0057443F" w:rsidRPr="00B55044">
        <w:t xml:space="preserve">, and FF </w:t>
      </w:r>
      <w:r w:rsidR="0008757D" w:rsidRPr="00B55044">
        <w:t xml:space="preserve">were observed </w:t>
      </w:r>
      <w:r w:rsidR="0057443F" w:rsidRPr="00B55044">
        <w:t>to be 0.</w:t>
      </w:r>
      <w:r w:rsidR="003907A1" w:rsidRPr="00B55044">
        <w:rPr>
          <w:rFonts w:eastAsiaTheme="minorEastAsia"/>
          <w:lang w:eastAsia="ko-KR"/>
        </w:rPr>
        <w:t>3654</w:t>
      </w:r>
      <w:r w:rsidR="0057443F" w:rsidRPr="00B55044">
        <w:t>, 0.</w:t>
      </w:r>
      <w:r w:rsidR="003907A1" w:rsidRPr="00B55044">
        <w:rPr>
          <w:rFonts w:eastAsiaTheme="minorEastAsia"/>
          <w:lang w:eastAsia="ko-KR"/>
        </w:rPr>
        <w:t>1708</w:t>
      </w:r>
      <w:r w:rsidR="0057443F" w:rsidRPr="00B55044">
        <w:t>, 0.</w:t>
      </w:r>
      <w:r w:rsidR="00522C5E" w:rsidRPr="00B55044">
        <w:t>3</w:t>
      </w:r>
      <w:r w:rsidR="003907A1" w:rsidRPr="00B55044">
        <w:rPr>
          <w:rFonts w:eastAsiaTheme="minorEastAsia"/>
          <w:lang w:eastAsia="ko-KR"/>
        </w:rPr>
        <w:t>459</w:t>
      </w:r>
      <w:r w:rsidR="0008757D" w:rsidRPr="00B55044">
        <w:t>,</w:t>
      </w:r>
      <w:r w:rsidR="0057443F" w:rsidRPr="00B55044">
        <w:t xml:space="preserve"> and 0.</w:t>
      </w:r>
      <w:r w:rsidR="003907A1" w:rsidRPr="00B55044">
        <w:rPr>
          <w:rFonts w:eastAsiaTheme="minorEastAsia"/>
          <w:lang w:eastAsia="ko-KR"/>
        </w:rPr>
        <w:t>2063</w:t>
      </w:r>
      <w:r w:rsidR="0008757D" w:rsidRPr="00B55044">
        <w:t>,</w:t>
      </w:r>
      <w:r w:rsidR="0057443F" w:rsidRPr="00B55044">
        <w:t xml:space="preserve"> respectively. </w:t>
      </w:r>
      <w:r w:rsidR="00650504" w:rsidRPr="00B55044">
        <w:t xml:space="preserve">In addition, the predictions made by </w:t>
      </w:r>
      <w:r w:rsidR="007C512E" w:rsidRPr="00B55044">
        <w:t xml:space="preserve">the </w:t>
      </w:r>
      <w:r w:rsidR="0008757D" w:rsidRPr="00B55044">
        <w:t xml:space="preserve">linear </w:t>
      </w:r>
      <w:r w:rsidR="00154926" w:rsidRPr="00B55044">
        <w:t xml:space="preserve">model (LM) and </w:t>
      </w:r>
      <w:r w:rsidR="0008757D" w:rsidRPr="00B55044">
        <w:t xml:space="preserve">gradient boosting </w:t>
      </w:r>
      <w:r w:rsidR="00650504" w:rsidRPr="00B55044">
        <w:t xml:space="preserve">(GB) algorithms are presented in </w:t>
      </w:r>
      <w:r w:rsidR="00391B26" w:rsidRPr="00B55044">
        <w:rPr>
          <w:color w:val="0000FF"/>
        </w:rPr>
        <w:t>Fig</w:t>
      </w:r>
      <w:r w:rsidR="00021222" w:rsidRPr="00B55044">
        <w:rPr>
          <w:color w:val="0000FF"/>
        </w:rPr>
        <w:t>s.</w:t>
      </w:r>
      <w:r w:rsidR="0008757D" w:rsidRPr="00B55044">
        <w:rPr>
          <w:color w:val="0000FF"/>
        </w:rPr>
        <w:t xml:space="preserve"> </w:t>
      </w:r>
      <w:r w:rsidR="00650504" w:rsidRPr="00B55044">
        <w:rPr>
          <w:color w:val="0000FF"/>
        </w:rPr>
        <w:t>S</w:t>
      </w:r>
      <w:r w:rsidR="00E82762">
        <w:rPr>
          <w:color w:val="0000FF"/>
        </w:rPr>
        <w:t>9</w:t>
      </w:r>
      <w:r w:rsidR="00154926" w:rsidRPr="00B55044">
        <w:rPr>
          <w:b/>
          <w:bCs/>
          <w:color w:val="0000FF"/>
        </w:rPr>
        <w:t xml:space="preserve"> </w:t>
      </w:r>
      <w:r w:rsidR="00154926" w:rsidRPr="00B55044">
        <w:t>and</w:t>
      </w:r>
      <w:r w:rsidR="00154926" w:rsidRPr="00B55044">
        <w:rPr>
          <w:b/>
          <w:bCs/>
        </w:rPr>
        <w:t xml:space="preserve"> </w:t>
      </w:r>
      <w:r w:rsidR="00154926" w:rsidRPr="00B55044">
        <w:rPr>
          <w:color w:val="0000FF"/>
        </w:rPr>
        <w:t>S</w:t>
      </w:r>
      <w:r w:rsidR="00ED6C6F">
        <w:rPr>
          <w:color w:val="0000FF"/>
        </w:rPr>
        <w:t>1</w:t>
      </w:r>
      <w:r w:rsidR="00E82762">
        <w:rPr>
          <w:color w:val="0000FF"/>
        </w:rPr>
        <w:t>0</w:t>
      </w:r>
      <w:r w:rsidR="00154926" w:rsidRPr="00B55044">
        <w:t>, respectively</w:t>
      </w:r>
      <w:r w:rsidR="00650504" w:rsidRPr="00B55044">
        <w:t xml:space="preserve">. The correlation between the predicted and extracted </w:t>
      </w:r>
      <w:r w:rsidR="00183810" w:rsidRPr="00B55044">
        <w:t>data</w:t>
      </w:r>
      <w:r w:rsidR="00650504" w:rsidRPr="00B55044">
        <w:t xml:space="preserve">, as determined by the r values, indicates </w:t>
      </w:r>
      <w:r w:rsidR="00183810" w:rsidRPr="00B55044">
        <w:t xml:space="preserve">better </w:t>
      </w:r>
      <w:r w:rsidR="00650504" w:rsidRPr="00B55044">
        <w:t xml:space="preserve">evaluation performance when compared to the values predicted by </w:t>
      </w:r>
      <w:r w:rsidR="00650504" w:rsidRPr="00EF3C4D">
        <w:t>the ANN.</w:t>
      </w:r>
      <w:r w:rsidR="00E4499B" w:rsidRPr="00EF3C4D">
        <w:t xml:space="preserve"> </w:t>
      </w:r>
      <w:r w:rsidR="008A26C2" w:rsidRPr="00EF3C4D">
        <w:rPr>
          <w:lang w:val="en-US"/>
        </w:rPr>
        <w:t>We built a neural network model with two hidden layers. Batch gradient descent was employed to update the weights with the entire dataset for each iteration and the number of epochs was set to 100. In the case of optimizing the GB model for regression with a Gaussian distribution, we used 10-fold cross-validation, set a shrinkage value of 0.01, required at least 10 observations per node, and employed 500 trees. The goal was to fine-tune these parameters to improve predictive accuracy and ensure model reliability.</w:t>
      </w:r>
    </w:p>
    <w:p w14:paraId="03B26667" w14:textId="77777777" w:rsidR="00585839" w:rsidRPr="00B55044" w:rsidRDefault="00585839" w:rsidP="00B55044">
      <w:pPr>
        <w:spacing w:line="480" w:lineRule="auto"/>
        <w:jc w:val="both"/>
        <w:rPr>
          <w:noProof/>
          <w:lang w:eastAsia="en-US"/>
        </w:rPr>
      </w:pPr>
      <w:bookmarkStart w:id="15" w:name="_Hlk151576190"/>
      <w:bookmarkStart w:id="16" w:name="_Hlk151576215"/>
    </w:p>
    <w:p w14:paraId="6E0F384F" w14:textId="77777777" w:rsidR="00585839" w:rsidRPr="00B55044" w:rsidRDefault="00585839" w:rsidP="00B55044">
      <w:pPr>
        <w:spacing w:line="480" w:lineRule="auto"/>
        <w:jc w:val="both"/>
        <w:rPr>
          <w:noProof/>
          <w:lang w:eastAsia="en-US"/>
        </w:rPr>
      </w:pPr>
    </w:p>
    <w:p w14:paraId="58F0260F" w14:textId="77777777" w:rsidR="00585839" w:rsidRPr="00B55044" w:rsidRDefault="00585839" w:rsidP="00B55044">
      <w:pPr>
        <w:spacing w:line="480" w:lineRule="auto"/>
        <w:jc w:val="both"/>
        <w:rPr>
          <w:noProof/>
          <w:lang w:eastAsia="en-US"/>
        </w:rPr>
      </w:pPr>
    </w:p>
    <w:p w14:paraId="0FF0F4EE" w14:textId="77777777" w:rsidR="00585839" w:rsidRPr="00B55044" w:rsidRDefault="00585839" w:rsidP="00B55044">
      <w:pPr>
        <w:spacing w:line="480" w:lineRule="auto"/>
        <w:jc w:val="both"/>
        <w:rPr>
          <w:noProof/>
          <w:lang w:eastAsia="en-US"/>
        </w:rPr>
      </w:pPr>
    </w:p>
    <w:p w14:paraId="29F0FC05" w14:textId="77777777" w:rsidR="00585839" w:rsidRPr="00B55044" w:rsidRDefault="00585839" w:rsidP="00B55044">
      <w:pPr>
        <w:spacing w:line="480" w:lineRule="auto"/>
        <w:jc w:val="both"/>
        <w:rPr>
          <w:noProof/>
          <w:lang w:eastAsia="en-US"/>
        </w:rPr>
      </w:pPr>
    </w:p>
    <w:p w14:paraId="1D011014" w14:textId="77777777" w:rsidR="00585839" w:rsidRPr="00B55044" w:rsidRDefault="00585839" w:rsidP="00B55044">
      <w:pPr>
        <w:spacing w:line="480" w:lineRule="auto"/>
        <w:jc w:val="both"/>
        <w:rPr>
          <w:noProof/>
          <w:lang w:eastAsia="en-US"/>
        </w:rPr>
      </w:pPr>
    </w:p>
    <w:p w14:paraId="4CD294F3" w14:textId="77777777" w:rsidR="00585839" w:rsidRPr="00B55044" w:rsidRDefault="00585839" w:rsidP="00B55044">
      <w:pPr>
        <w:spacing w:line="480" w:lineRule="auto"/>
        <w:jc w:val="both"/>
        <w:rPr>
          <w:noProof/>
          <w:lang w:eastAsia="en-US"/>
        </w:rPr>
      </w:pPr>
    </w:p>
    <w:p w14:paraId="45A90545" w14:textId="77777777" w:rsidR="00AF6ADA" w:rsidRPr="00B55044" w:rsidRDefault="00AF6ADA" w:rsidP="00B55044">
      <w:pPr>
        <w:spacing w:line="480" w:lineRule="auto"/>
        <w:jc w:val="both"/>
        <w:rPr>
          <w:b/>
          <w:bCs/>
        </w:rPr>
      </w:pPr>
      <w:r w:rsidRPr="00B55044">
        <w:rPr>
          <w:noProof/>
          <w:lang w:val="en-US" w:eastAsia="en-US"/>
        </w:rPr>
        <w:lastRenderedPageBreak/>
        <w:drawing>
          <wp:inline distT="0" distB="0" distL="0" distR="0" wp14:anchorId="13CB01BB" wp14:editId="6E0E25D8">
            <wp:extent cx="5933440" cy="4730297"/>
            <wp:effectExtent l="0" t="0" r="0" b="0"/>
            <wp:docPr id="15986376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191" t="3077" r="5181" b="3030"/>
                    <a:stretch/>
                  </pic:blipFill>
                  <pic:spPr bwMode="auto">
                    <a:xfrm>
                      <a:off x="0" y="0"/>
                      <a:ext cx="5936270" cy="4732553"/>
                    </a:xfrm>
                    <a:prstGeom prst="rect">
                      <a:avLst/>
                    </a:prstGeom>
                    <a:noFill/>
                    <a:ln>
                      <a:noFill/>
                    </a:ln>
                    <a:extLst>
                      <a:ext uri="{53640926-AAD7-44D8-BBD7-CCE9431645EC}">
                        <a14:shadowObscured xmlns:a14="http://schemas.microsoft.com/office/drawing/2010/main"/>
                      </a:ext>
                    </a:extLst>
                  </pic:spPr>
                </pic:pic>
              </a:graphicData>
            </a:graphic>
          </wp:inline>
        </w:drawing>
      </w:r>
    </w:p>
    <w:p w14:paraId="003BFD7D" w14:textId="77777777" w:rsidR="00515EA2" w:rsidRPr="00B55044" w:rsidRDefault="00515EA2" w:rsidP="00B55044">
      <w:pPr>
        <w:spacing w:line="480" w:lineRule="auto"/>
        <w:jc w:val="both"/>
        <w:rPr>
          <w:noProof/>
          <w:lang w:eastAsia="en-US"/>
        </w:rPr>
      </w:pPr>
      <w:r w:rsidRPr="00B55044">
        <w:rPr>
          <w:b/>
          <w:bCs/>
        </w:rPr>
        <w:t>Fig</w:t>
      </w:r>
      <w:r w:rsidR="007155E4" w:rsidRPr="00B55044">
        <w:rPr>
          <w:b/>
          <w:bCs/>
        </w:rPr>
        <w:t>.</w:t>
      </w:r>
      <w:r w:rsidRPr="00B55044">
        <w:rPr>
          <w:b/>
          <w:bCs/>
        </w:rPr>
        <w:t xml:space="preserve"> S</w:t>
      </w:r>
      <w:r w:rsidR="00E82762">
        <w:rPr>
          <w:b/>
          <w:bCs/>
        </w:rPr>
        <w:t>9</w:t>
      </w:r>
      <w:r w:rsidRPr="00B55044">
        <w:rPr>
          <w:b/>
          <w:bCs/>
        </w:rPr>
        <w:t>.</w:t>
      </w:r>
      <w:r w:rsidRPr="00B55044">
        <w:t xml:space="preserve"> LM</w:t>
      </w:r>
      <w:r w:rsidR="001A7A74" w:rsidRPr="00B55044">
        <w:t>-</w:t>
      </w:r>
      <w:r w:rsidRPr="00B55044">
        <w:t xml:space="preserve">based predictions of </w:t>
      </w:r>
      <w:r w:rsidR="007155E4" w:rsidRPr="00B55044">
        <w:t>(</w:t>
      </w:r>
      <w:r w:rsidRPr="00B55044">
        <w:t xml:space="preserve">a) PCE, </w:t>
      </w:r>
      <w:r w:rsidR="007155E4" w:rsidRPr="00B55044">
        <w:t>(</w:t>
      </w:r>
      <w:r w:rsidRPr="00B55044">
        <w:t xml:space="preserve">b) </w:t>
      </w:r>
      <w:r w:rsidRPr="00B55044">
        <w:rPr>
          <w:i/>
          <w:iCs/>
        </w:rPr>
        <w:t>J</w:t>
      </w:r>
      <w:r w:rsidRPr="00B55044">
        <w:rPr>
          <w:vertAlign w:val="subscript"/>
        </w:rPr>
        <w:t>SC</w:t>
      </w:r>
      <w:r w:rsidRPr="00B55044">
        <w:t xml:space="preserve">, </w:t>
      </w:r>
      <w:r w:rsidR="007155E4" w:rsidRPr="00B55044">
        <w:t>(</w:t>
      </w:r>
      <w:r w:rsidRPr="00B55044">
        <w:t xml:space="preserve">c) </w:t>
      </w:r>
      <w:r w:rsidRPr="00B55044">
        <w:rPr>
          <w:i/>
          <w:iCs/>
        </w:rPr>
        <w:t>V</w:t>
      </w:r>
      <w:r w:rsidRPr="00B55044">
        <w:rPr>
          <w:vertAlign w:val="subscript"/>
        </w:rPr>
        <w:t>OC,</w:t>
      </w:r>
      <w:r w:rsidRPr="00B55044">
        <w:t xml:space="preserve"> and </w:t>
      </w:r>
      <w:r w:rsidR="007155E4" w:rsidRPr="00B55044">
        <w:t>(</w:t>
      </w:r>
      <w:r w:rsidRPr="00B55044">
        <w:t>d) FF of the TOSCs based on PM6 donor</w:t>
      </w:r>
      <w:r w:rsidR="001A1570" w:rsidRPr="00B55044">
        <w:t xml:space="preserve"> (based on all defined descriptors)</w:t>
      </w:r>
      <w:r w:rsidRPr="00B55044">
        <w:t>.</w:t>
      </w:r>
    </w:p>
    <w:p w14:paraId="18785A96" w14:textId="77777777" w:rsidR="00B25594" w:rsidRPr="00B55044" w:rsidRDefault="00B25594" w:rsidP="00B55044">
      <w:pPr>
        <w:spacing w:line="480" w:lineRule="auto"/>
        <w:jc w:val="both"/>
        <w:rPr>
          <w:noProof/>
        </w:rPr>
      </w:pPr>
    </w:p>
    <w:p w14:paraId="5C37EC7B" w14:textId="77777777" w:rsidR="00B25594" w:rsidRPr="00B55044" w:rsidRDefault="00B25594" w:rsidP="00B55044">
      <w:pPr>
        <w:spacing w:line="480" w:lineRule="auto"/>
        <w:jc w:val="both"/>
        <w:rPr>
          <w:noProof/>
        </w:rPr>
      </w:pPr>
    </w:p>
    <w:p w14:paraId="68781789" w14:textId="77777777" w:rsidR="00B25594" w:rsidRPr="00B55044" w:rsidRDefault="00B25594" w:rsidP="00B55044">
      <w:pPr>
        <w:spacing w:line="480" w:lineRule="auto"/>
        <w:jc w:val="both"/>
        <w:rPr>
          <w:noProof/>
        </w:rPr>
      </w:pPr>
    </w:p>
    <w:p w14:paraId="622BC18D" w14:textId="77777777" w:rsidR="00B25594" w:rsidRPr="00B55044" w:rsidRDefault="00B25594" w:rsidP="00B55044">
      <w:pPr>
        <w:spacing w:line="480" w:lineRule="auto"/>
        <w:jc w:val="both"/>
        <w:rPr>
          <w:noProof/>
        </w:rPr>
      </w:pPr>
    </w:p>
    <w:p w14:paraId="43AD35CF" w14:textId="77777777" w:rsidR="00B25594" w:rsidRPr="00B55044" w:rsidRDefault="00B25594" w:rsidP="00B55044">
      <w:pPr>
        <w:spacing w:line="480" w:lineRule="auto"/>
        <w:jc w:val="both"/>
        <w:rPr>
          <w:noProof/>
        </w:rPr>
      </w:pPr>
    </w:p>
    <w:p w14:paraId="66F61C24" w14:textId="77777777" w:rsidR="00B25594" w:rsidRPr="00B55044" w:rsidRDefault="00B25594" w:rsidP="00B55044">
      <w:pPr>
        <w:spacing w:line="480" w:lineRule="auto"/>
        <w:jc w:val="both"/>
        <w:rPr>
          <w:noProof/>
        </w:rPr>
      </w:pPr>
    </w:p>
    <w:p w14:paraId="0AA27808" w14:textId="77777777" w:rsidR="00B25594" w:rsidRPr="00B55044" w:rsidRDefault="00B25594" w:rsidP="00B55044">
      <w:pPr>
        <w:spacing w:line="480" w:lineRule="auto"/>
        <w:jc w:val="both"/>
        <w:rPr>
          <w:noProof/>
        </w:rPr>
      </w:pPr>
    </w:p>
    <w:p w14:paraId="15E3946A" w14:textId="77777777" w:rsidR="00AF6ADA" w:rsidRPr="00B55044" w:rsidRDefault="00AF6ADA" w:rsidP="00B55044">
      <w:pPr>
        <w:spacing w:line="480" w:lineRule="auto"/>
        <w:jc w:val="both"/>
        <w:rPr>
          <w:b/>
          <w:bCs/>
        </w:rPr>
      </w:pPr>
      <w:r w:rsidRPr="00B55044">
        <w:rPr>
          <w:noProof/>
          <w:lang w:val="en-US" w:eastAsia="en-US"/>
        </w:rPr>
        <w:lastRenderedPageBreak/>
        <w:drawing>
          <wp:inline distT="0" distB="0" distL="0" distR="0" wp14:anchorId="2FCEB12D" wp14:editId="276FDFCB">
            <wp:extent cx="5950857" cy="4577825"/>
            <wp:effectExtent l="0" t="0" r="0" b="0"/>
            <wp:docPr id="20583149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519" t="3073" r="4994" b="4732"/>
                    <a:stretch/>
                  </pic:blipFill>
                  <pic:spPr bwMode="auto">
                    <a:xfrm>
                      <a:off x="0" y="0"/>
                      <a:ext cx="5955181" cy="4581151"/>
                    </a:xfrm>
                    <a:prstGeom prst="rect">
                      <a:avLst/>
                    </a:prstGeom>
                    <a:noFill/>
                    <a:ln>
                      <a:noFill/>
                    </a:ln>
                    <a:extLst>
                      <a:ext uri="{53640926-AAD7-44D8-BBD7-CCE9431645EC}">
                        <a14:shadowObscured xmlns:a14="http://schemas.microsoft.com/office/drawing/2010/main"/>
                      </a:ext>
                    </a:extLst>
                  </pic:spPr>
                </pic:pic>
              </a:graphicData>
            </a:graphic>
          </wp:inline>
        </w:drawing>
      </w:r>
    </w:p>
    <w:p w14:paraId="56C16140" w14:textId="77777777" w:rsidR="008B55A0" w:rsidRDefault="008B55A0" w:rsidP="00B55044">
      <w:pPr>
        <w:spacing w:line="480" w:lineRule="auto"/>
        <w:jc w:val="both"/>
      </w:pPr>
      <w:r w:rsidRPr="00B55044">
        <w:rPr>
          <w:b/>
          <w:bCs/>
        </w:rPr>
        <w:t>Fig</w:t>
      </w:r>
      <w:r w:rsidR="007155E4" w:rsidRPr="00B55044">
        <w:rPr>
          <w:b/>
          <w:bCs/>
        </w:rPr>
        <w:t>.</w:t>
      </w:r>
      <w:r w:rsidRPr="00B55044">
        <w:rPr>
          <w:b/>
          <w:bCs/>
        </w:rPr>
        <w:t xml:space="preserve"> S</w:t>
      </w:r>
      <w:r w:rsidR="00E322D7">
        <w:rPr>
          <w:b/>
          <w:bCs/>
        </w:rPr>
        <w:t>1</w:t>
      </w:r>
      <w:r w:rsidR="00E82762">
        <w:rPr>
          <w:b/>
          <w:bCs/>
        </w:rPr>
        <w:t>0</w:t>
      </w:r>
      <w:r w:rsidRPr="00B55044">
        <w:rPr>
          <w:b/>
          <w:bCs/>
        </w:rPr>
        <w:t>.</w:t>
      </w:r>
      <w:r w:rsidRPr="00B55044">
        <w:t xml:space="preserve"> </w:t>
      </w:r>
      <w:r w:rsidR="00924CE5" w:rsidRPr="00B55044">
        <w:t>GB</w:t>
      </w:r>
      <w:r w:rsidR="001A7A74" w:rsidRPr="00B55044">
        <w:t>-</w:t>
      </w:r>
      <w:r w:rsidR="00924CE5" w:rsidRPr="00B55044">
        <w:t>based p</w:t>
      </w:r>
      <w:r w:rsidRPr="00B55044">
        <w:t xml:space="preserve">redictions of </w:t>
      </w:r>
      <w:r w:rsidR="007155E4" w:rsidRPr="00B55044">
        <w:t>(</w:t>
      </w:r>
      <w:r w:rsidRPr="00B55044">
        <w:t xml:space="preserve">a) PCE, </w:t>
      </w:r>
      <w:r w:rsidR="007155E4" w:rsidRPr="00B55044">
        <w:t>(</w:t>
      </w:r>
      <w:r w:rsidRPr="00B55044">
        <w:t xml:space="preserve">b) </w:t>
      </w:r>
      <w:r w:rsidRPr="00B55044">
        <w:rPr>
          <w:i/>
          <w:iCs/>
        </w:rPr>
        <w:t>J</w:t>
      </w:r>
      <w:r w:rsidR="00F125AB" w:rsidRPr="00B55044">
        <w:rPr>
          <w:vertAlign w:val="subscript"/>
        </w:rPr>
        <w:t>SC</w:t>
      </w:r>
      <w:r w:rsidRPr="00B55044">
        <w:t xml:space="preserve">, </w:t>
      </w:r>
      <w:r w:rsidR="007155E4" w:rsidRPr="00B55044">
        <w:t>(</w:t>
      </w:r>
      <w:r w:rsidRPr="00B55044">
        <w:t xml:space="preserve">c) </w:t>
      </w:r>
      <w:r w:rsidRPr="00B55044">
        <w:rPr>
          <w:i/>
          <w:iCs/>
        </w:rPr>
        <w:t>V</w:t>
      </w:r>
      <w:r w:rsidR="00F125AB" w:rsidRPr="00B55044">
        <w:rPr>
          <w:vertAlign w:val="subscript"/>
        </w:rPr>
        <w:t>OC</w:t>
      </w:r>
      <w:r w:rsidRPr="00B55044">
        <w:rPr>
          <w:vertAlign w:val="subscript"/>
        </w:rPr>
        <w:t>,</w:t>
      </w:r>
      <w:r w:rsidRPr="00B55044">
        <w:t xml:space="preserve"> and </w:t>
      </w:r>
      <w:r w:rsidR="007155E4" w:rsidRPr="00B55044">
        <w:t>(</w:t>
      </w:r>
      <w:r w:rsidRPr="00B55044">
        <w:t xml:space="preserve">d) FF of the </w:t>
      </w:r>
      <w:r w:rsidR="00F125AB" w:rsidRPr="00B55044">
        <w:t>TOSCs</w:t>
      </w:r>
      <w:r w:rsidRPr="00B55044">
        <w:t xml:space="preserve"> based on PM6 donor</w:t>
      </w:r>
      <w:r w:rsidR="001A1570" w:rsidRPr="00B55044">
        <w:t xml:space="preserve"> (based on all defined descriptors)</w:t>
      </w:r>
      <w:r w:rsidR="00924CE5" w:rsidRPr="00B55044">
        <w:t>.</w:t>
      </w:r>
    </w:p>
    <w:p w14:paraId="53BCBDAC" w14:textId="77777777" w:rsidR="00E82762" w:rsidRDefault="00E82762" w:rsidP="00B55044">
      <w:pPr>
        <w:spacing w:line="480" w:lineRule="auto"/>
        <w:jc w:val="both"/>
      </w:pPr>
    </w:p>
    <w:p w14:paraId="0AC55F22" w14:textId="77777777" w:rsidR="00E82762" w:rsidRDefault="00E82762" w:rsidP="00B55044">
      <w:pPr>
        <w:spacing w:line="480" w:lineRule="auto"/>
        <w:jc w:val="both"/>
      </w:pPr>
    </w:p>
    <w:p w14:paraId="50DF4131" w14:textId="77777777" w:rsidR="00E82762" w:rsidRDefault="00E82762" w:rsidP="00B55044">
      <w:pPr>
        <w:spacing w:line="480" w:lineRule="auto"/>
        <w:jc w:val="both"/>
      </w:pPr>
    </w:p>
    <w:p w14:paraId="1FD4C43A" w14:textId="77777777" w:rsidR="00E82762" w:rsidRDefault="00E82762" w:rsidP="00B55044">
      <w:pPr>
        <w:spacing w:line="480" w:lineRule="auto"/>
        <w:jc w:val="both"/>
      </w:pPr>
    </w:p>
    <w:p w14:paraId="4078AD3A" w14:textId="77777777" w:rsidR="000E7A4A" w:rsidRDefault="000E7A4A" w:rsidP="00B55044">
      <w:pPr>
        <w:spacing w:line="480" w:lineRule="auto"/>
        <w:jc w:val="both"/>
      </w:pPr>
    </w:p>
    <w:p w14:paraId="709A60D6" w14:textId="77777777" w:rsidR="000E7A4A" w:rsidRDefault="000E7A4A" w:rsidP="00B55044">
      <w:pPr>
        <w:spacing w:line="480" w:lineRule="auto"/>
        <w:jc w:val="both"/>
      </w:pPr>
    </w:p>
    <w:p w14:paraId="6D81D89E" w14:textId="77777777" w:rsidR="000E7A4A" w:rsidRDefault="000E7A4A" w:rsidP="00B55044">
      <w:pPr>
        <w:spacing w:line="480" w:lineRule="auto"/>
        <w:jc w:val="both"/>
      </w:pPr>
    </w:p>
    <w:p w14:paraId="29600E60" w14:textId="77777777" w:rsidR="000E7A4A" w:rsidRPr="00B55044" w:rsidRDefault="000E7A4A" w:rsidP="000E7A4A">
      <w:pPr>
        <w:spacing w:line="480" w:lineRule="auto"/>
        <w:jc w:val="both"/>
        <w:rPr>
          <w:b/>
          <w:bCs/>
        </w:rPr>
      </w:pPr>
      <w:r w:rsidRPr="00B55044">
        <w:rPr>
          <w:noProof/>
          <w:lang w:val="en-US" w:eastAsia="en-US"/>
        </w:rPr>
        <w:lastRenderedPageBreak/>
        <w:drawing>
          <wp:inline distT="0" distB="0" distL="0" distR="0" wp14:anchorId="09E93D6D" wp14:editId="53E6276F">
            <wp:extent cx="5953059" cy="4278600"/>
            <wp:effectExtent l="0" t="0" r="0" b="0"/>
            <wp:docPr id="1566620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336" t="5907" r="7454" b="8159"/>
                    <a:stretch/>
                  </pic:blipFill>
                  <pic:spPr bwMode="auto">
                    <a:xfrm>
                      <a:off x="0" y="0"/>
                      <a:ext cx="5964471" cy="4286802"/>
                    </a:xfrm>
                    <a:prstGeom prst="rect">
                      <a:avLst/>
                    </a:prstGeom>
                    <a:noFill/>
                    <a:ln>
                      <a:noFill/>
                    </a:ln>
                    <a:extLst>
                      <a:ext uri="{53640926-AAD7-44D8-BBD7-CCE9431645EC}">
                        <a14:shadowObscured xmlns:a14="http://schemas.microsoft.com/office/drawing/2010/main"/>
                      </a:ext>
                    </a:extLst>
                  </pic:spPr>
                </pic:pic>
              </a:graphicData>
            </a:graphic>
          </wp:inline>
        </w:drawing>
      </w:r>
    </w:p>
    <w:p w14:paraId="65143EC8" w14:textId="77777777" w:rsidR="000E7A4A" w:rsidRPr="00B55044" w:rsidRDefault="000E7A4A" w:rsidP="000E7A4A">
      <w:pPr>
        <w:spacing w:line="480" w:lineRule="auto"/>
        <w:jc w:val="both"/>
        <w:rPr>
          <w:b/>
          <w:bCs/>
        </w:rPr>
      </w:pPr>
      <w:r w:rsidRPr="00B55044">
        <w:rPr>
          <w:b/>
          <w:bCs/>
        </w:rPr>
        <w:t>Fig. S1</w:t>
      </w:r>
      <w:r>
        <w:rPr>
          <w:b/>
          <w:bCs/>
        </w:rPr>
        <w:t>1</w:t>
      </w:r>
      <w:r w:rsidRPr="00B55044">
        <w:rPr>
          <w:b/>
          <w:bCs/>
        </w:rPr>
        <w:t>.</w:t>
      </w:r>
      <w:r w:rsidRPr="00B55044">
        <w:t xml:space="preserve"> Distribution of (a) PCE, (b) </w:t>
      </w:r>
      <w:r w:rsidRPr="00B55044">
        <w:rPr>
          <w:i/>
          <w:iCs/>
        </w:rPr>
        <w:t>J</w:t>
      </w:r>
      <w:r w:rsidRPr="00B55044">
        <w:rPr>
          <w:vertAlign w:val="subscript"/>
        </w:rPr>
        <w:t>SC</w:t>
      </w:r>
      <w:r w:rsidRPr="00B55044">
        <w:t xml:space="preserve">, (c) </w:t>
      </w:r>
      <w:r w:rsidRPr="00B55044">
        <w:rPr>
          <w:i/>
          <w:iCs/>
        </w:rPr>
        <w:t>V</w:t>
      </w:r>
      <w:r w:rsidRPr="00B55044">
        <w:rPr>
          <w:vertAlign w:val="subscript"/>
        </w:rPr>
        <w:t>OC,</w:t>
      </w:r>
      <w:r w:rsidRPr="00B55044">
        <w:t xml:space="preserve"> and (d) FF of the TOSCs based on PM6 donor from extracted data from peer-reviewed articles.</w:t>
      </w:r>
      <w:r w:rsidRPr="00B55044">
        <w:rPr>
          <w:vertAlign w:val="superscript"/>
        </w:rPr>
        <w:t>[2–237]</w:t>
      </w:r>
    </w:p>
    <w:p w14:paraId="54B96A8D" w14:textId="77777777" w:rsidR="000E7A4A" w:rsidRDefault="000E7A4A" w:rsidP="00B55044">
      <w:pPr>
        <w:spacing w:line="480" w:lineRule="auto"/>
        <w:jc w:val="both"/>
      </w:pPr>
    </w:p>
    <w:p w14:paraId="683992A4" w14:textId="77777777" w:rsidR="00E82762" w:rsidRDefault="00E82762" w:rsidP="00B55044">
      <w:pPr>
        <w:spacing w:line="480" w:lineRule="auto"/>
        <w:jc w:val="both"/>
      </w:pPr>
    </w:p>
    <w:p w14:paraId="03BB7B3E" w14:textId="77777777" w:rsidR="00E82762" w:rsidRDefault="00E82762" w:rsidP="00B55044">
      <w:pPr>
        <w:spacing w:line="480" w:lineRule="auto"/>
        <w:jc w:val="both"/>
      </w:pPr>
    </w:p>
    <w:p w14:paraId="4A73AEF2" w14:textId="77777777" w:rsidR="00E82762" w:rsidRDefault="00E82762" w:rsidP="00B55044">
      <w:pPr>
        <w:spacing w:line="480" w:lineRule="auto"/>
        <w:jc w:val="both"/>
      </w:pPr>
    </w:p>
    <w:p w14:paraId="530B674F" w14:textId="2530F105" w:rsidR="00E82762" w:rsidRPr="00EF7256" w:rsidRDefault="00EF7256" w:rsidP="00E82762">
      <w:pPr>
        <w:spacing w:line="276" w:lineRule="auto"/>
        <w:jc w:val="center"/>
        <w:rPr>
          <w:i/>
          <w:iCs/>
          <w:color w:val="C00000"/>
          <w:szCs w:val="20"/>
          <w:u w:val="single"/>
        </w:rPr>
      </w:pPr>
      <w:r w:rsidRPr="00DB5345">
        <w:rPr>
          <w:noProof/>
        </w:rPr>
        <w:lastRenderedPageBreak/>
        <w:drawing>
          <wp:inline distT="0" distB="0" distL="0" distR="0" wp14:anchorId="619B18DE" wp14:editId="1615E480">
            <wp:extent cx="3657035" cy="8061649"/>
            <wp:effectExtent l="0" t="0" r="635" b="0"/>
            <wp:docPr id="2144740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t="925" b="388"/>
                    <a:stretch/>
                  </pic:blipFill>
                  <pic:spPr bwMode="auto">
                    <a:xfrm>
                      <a:off x="0" y="0"/>
                      <a:ext cx="3664423" cy="8077935"/>
                    </a:xfrm>
                    <a:prstGeom prst="rect">
                      <a:avLst/>
                    </a:prstGeom>
                    <a:noFill/>
                    <a:ln>
                      <a:noFill/>
                    </a:ln>
                    <a:extLst>
                      <a:ext uri="{53640926-AAD7-44D8-BBD7-CCE9431645EC}">
                        <a14:shadowObscured xmlns:a14="http://schemas.microsoft.com/office/drawing/2010/main"/>
                      </a:ext>
                    </a:extLst>
                  </pic:spPr>
                </pic:pic>
              </a:graphicData>
            </a:graphic>
          </wp:inline>
        </w:drawing>
      </w:r>
    </w:p>
    <w:p w14:paraId="77872307" w14:textId="7C58A3C9" w:rsidR="00E82762" w:rsidRPr="004569DD" w:rsidRDefault="00E82762" w:rsidP="00E82762">
      <w:pPr>
        <w:spacing w:line="480" w:lineRule="auto"/>
        <w:rPr>
          <w:szCs w:val="20"/>
        </w:rPr>
      </w:pPr>
      <w:r w:rsidRPr="004569DD">
        <w:rPr>
          <w:b/>
          <w:bCs/>
          <w:szCs w:val="20"/>
        </w:rPr>
        <w:lastRenderedPageBreak/>
        <w:t>Fig. S1</w:t>
      </w:r>
      <w:r w:rsidR="000E7A4A" w:rsidRPr="004569DD">
        <w:rPr>
          <w:b/>
          <w:bCs/>
          <w:szCs w:val="20"/>
        </w:rPr>
        <w:t>2</w:t>
      </w:r>
      <w:r w:rsidRPr="004569DD">
        <w:rPr>
          <w:b/>
          <w:bCs/>
          <w:szCs w:val="20"/>
        </w:rPr>
        <w:t>.</w:t>
      </w:r>
      <w:r w:rsidRPr="004569DD">
        <w:rPr>
          <w:szCs w:val="20"/>
        </w:rPr>
        <w:t xml:space="preserve"> </w:t>
      </w:r>
      <w:r w:rsidR="00161E84" w:rsidRPr="004569DD">
        <w:rPr>
          <w:szCs w:val="20"/>
        </w:rPr>
        <w:t xml:space="preserve">Positive and negative impact of selected descriptors on the output of the RF model for (a) PCE, (b) </w:t>
      </w:r>
      <w:r w:rsidR="00161E84" w:rsidRPr="004569DD">
        <w:rPr>
          <w:i/>
          <w:iCs/>
          <w:szCs w:val="20"/>
        </w:rPr>
        <w:t>J</w:t>
      </w:r>
      <w:r w:rsidR="00161E84" w:rsidRPr="004569DD">
        <w:rPr>
          <w:szCs w:val="20"/>
          <w:vertAlign w:val="subscript"/>
        </w:rPr>
        <w:t>SC</w:t>
      </w:r>
      <w:r w:rsidR="00161E84" w:rsidRPr="004569DD">
        <w:rPr>
          <w:szCs w:val="20"/>
        </w:rPr>
        <w:t xml:space="preserve">, (c) </w:t>
      </w:r>
      <w:r w:rsidR="00161E84" w:rsidRPr="004569DD">
        <w:rPr>
          <w:i/>
          <w:iCs/>
          <w:szCs w:val="20"/>
        </w:rPr>
        <w:t>V</w:t>
      </w:r>
      <w:r w:rsidR="00161E84" w:rsidRPr="004569DD">
        <w:rPr>
          <w:szCs w:val="20"/>
          <w:vertAlign w:val="subscript"/>
        </w:rPr>
        <w:t>OC,</w:t>
      </w:r>
      <w:r w:rsidR="00161E84" w:rsidRPr="004569DD">
        <w:rPr>
          <w:szCs w:val="20"/>
        </w:rPr>
        <w:t xml:space="preserve"> and (d) FF prediction.</w:t>
      </w:r>
      <w:r w:rsidR="00161E84" w:rsidRPr="004569DD">
        <w:rPr>
          <w:rFonts w:eastAsiaTheme="minorEastAsia" w:hint="eastAsia"/>
          <w:szCs w:val="20"/>
          <w:lang w:eastAsia="ko-KR"/>
        </w:rPr>
        <w:t xml:space="preserve"> </w:t>
      </w:r>
    </w:p>
    <w:p w14:paraId="1657C1E0" w14:textId="77777777" w:rsidR="00E82762" w:rsidRPr="00EF3C4D" w:rsidRDefault="00E82762" w:rsidP="00E82762">
      <w:pPr>
        <w:spacing w:line="480" w:lineRule="auto"/>
        <w:jc w:val="both"/>
      </w:pPr>
    </w:p>
    <w:p w14:paraId="13F9D55E" w14:textId="4DE28107" w:rsidR="008A26C2" w:rsidRPr="00EF3C4D" w:rsidRDefault="008A26C2" w:rsidP="008A26C2">
      <w:pPr>
        <w:spacing w:line="480" w:lineRule="auto"/>
        <w:jc w:val="both"/>
        <w:rPr>
          <w:lang w:val="en-US"/>
        </w:rPr>
      </w:pPr>
      <w:r w:rsidRPr="00EF3C4D">
        <w:rPr>
          <w:lang w:val="en-US"/>
        </w:rPr>
        <w:t xml:space="preserve">SHapley Additive exPlanations (SHAP) provides a unified measure of feature importance based on Shapley values from cooperative game theory. The X-axis of the SHAP plot displays the impact of each feature on the model’s prediction, with positive values increasing prediction and negative values decreasing prediction. The Y-axis displays the features. Each point on the plot represents a feature’s SHAP value for one data point. A wider spread on the X-axis indicates more variation in the feature’s impact. The color of the points represents the feature’s value, with blue for low, red for high, and purple for medium. In this case, all the features are continuous and they are vertically sorted based on their average impact on the predictions. From Fig. S12 (a), the SHAP value plot reveals that BHJ surface topography and the cathode had balanced impacts on the PCE, with both high and low values contributing positively and negatively. The blend proportion generally exhibited a neutral impact, although it tended to reduce the PCE. HOMO C2 and HOMO C3 had wide spreads, with higher values usually increasing the PCE. ΔHOMO and ΔLUMO mostly clustered around zero, indicating minimal impacts, although there were instances of notable effects. The Bandgap of PM6 typically had negative impacts, especially at higher values, reducing the PCE. ETL exhibited balanced impacts, and the combined effect of the remaining 16 features had a significant impact in some cases. The blend proportion descriptor was the most significant contributor to the predicted Jsc values, followed by the selection of cathode material (Fig. S12b). BHJ surface topography provided the largest positive contribution to Jsc. Although the HOMO and LUMO levels of C2 and C3 had neutral responses, they generally reduced Jsc. The Bandgap of C2 negatively affected Jsc, particularly at lower values. The ΔLUMO clusters around zero with </w:t>
      </w:r>
      <w:r w:rsidRPr="00EF3C4D">
        <w:rPr>
          <w:lang w:val="en-US"/>
        </w:rPr>
        <w:lastRenderedPageBreak/>
        <w:t>the combined effect of the remaining 16 features had notable impacts in some cases. For V</w:t>
      </w:r>
      <w:r w:rsidRPr="00EF3C4D">
        <w:rPr>
          <w:vertAlign w:val="subscript"/>
          <w:lang w:val="en-US"/>
        </w:rPr>
        <w:t>OC</w:t>
      </w:r>
      <w:r w:rsidRPr="00EF3C4D">
        <w:rPr>
          <w:lang w:val="en-US"/>
        </w:rPr>
        <w:t xml:space="preserve"> prediction, ΔLUMO and blend proportion were the most critical factors, with low values of these descriptors positively influencing the V</w:t>
      </w:r>
      <w:r w:rsidRPr="00EF3C4D">
        <w:rPr>
          <w:vertAlign w:val="subscript"/>
          <w:lang w:val="en-US"/>
        </w:rPr>
        <w:t xml:space="preserve">OC </w:t>
      </w:r>
      <w:r w:rsidRPr="00EF3C4D">
        <w:rPr>
          <w:lang w:val="en-US"/>
        </w:rPr>
        <w:t>forecasts, as depicted in Fig. S12(c). The Bandgap of C2 had a balanced impact on V</w:t>
      </w:r>
      <w:r w:rsidRPr="00EF3C4D">
        <w:rPr>
          <w:vertAlign w:val="subscript"/>
          <w:lang w:val="en-US"/>
        </w:rPr>
        <w:t>OC</w:t>
      </w:r>
      <w:r w:rsidRPr="00EF3C4D">
        <w:rPr>
          <w:lang w:val="en-US"/>
        </w:rPr>
        <w:t>, and BHJ thickness positively affected V</w:t>
      </w:r>
      <w:r w:rsidRPr="00EF3C4D">
        <w:rPr>
          <w:vertAlign w:val="subscript"/>
          <w:lang w:val="en-US"/>
        </w:rPr>
        <w:t>OC</w:t>
      </w:r>
      <w:r w:rsidRPr="00EF3C4D">
        <w:rPr>
          <w:lang w:val="en-US"/>
        </w:rPr>
        <w:t xml:space="preserve"> prediction. HOMO C3 and LUMO C3 generally reduced V</w:t>
      </w:r>
      <w:r w:rsidRPr="00EF3C4D">
        <w:rPr>
          <w:vertAlign w:val="subscript"/>
          <w:lang w:val="en-US"/>
        </w:rPr>
        <w:t>OC</w:t>
      </w:r>
      <w:r w:rsidRPr="00EF3C4D">
        <w:rPr>
          <w:lang w:val="en-US"/>
        </w:rPr>
        <w:t>, despite having balanced impacts. Additionally, HOMO C2 and HOMO PM6 clustered around zero, although they tended to have negative impacts. The remaining descriptors exhibited balanced impacts on V</w:t>
      </w:r>
      <w:r w:rsidRPr="00EF3C4D">
        <w:rPr>
          <w:vertAlign w:val="subscript"/>
          <w:lang w:val="en-US"/>
        </w:rPr>
        <w:t>OC</w:t>
      </w:r>
      <w:r w:rsidRPr="00EF3C4D">
        <w:rPr>
          <w:lang w:val="en-US"/>
        </w:rPr>
        <w:t>. Figure S12(d) illustrates that BHJ surface topography had the highest positive impact on FF prediction. The energy levels and bandgaps of components in the BHJ tended to negatively affect FF, despite exhibiting balanced impacts. The BHJ thickness negatively impacted FF prediction. Selecting ETLs such as PFN and PNDIT-F3N had a positive effect while choosing cathodes other than Ag or Al reduced FF. The remaining features exhibited balanced impacts on FF prediction.</w:t>
      </w:r>
    </w:p>
    <w:p w14:paraId="2DE7A951" w14:textId="61DC2286" w:rsidR="00E82762" w:rsidRDefault="00E82762" w:rsidP="00E82762">
      <w:pPr>
        <w:spacing w:line="480" w:lineRule="auto"/>
        <w:jc w:val="both"/>
      </w:pPr>
    </w:p>
    <w:p w14:paraId="2B57450B" w14:textId="77777777" w:rsidR="00AF1BA9" w:rsidRPr="00B55044" w:rsidRDefault="00AF1BA9" w:rsidP="00B55044">
      <w:pPr>
        <w:spacing w:line="480" w:lineRule="auto"/>
        <w:jc w:val="both"/>
      </w:pPr>
      <w:bookmarkStart w:id="17" w:name="_Hlk151576173"/>
      <w:bookmarkEnd w:id="15"/>
      <w:bookmarkEnd w:id="16"/>
      <w:r w:rsidRPr="00B55044">
        <w:rPr>
          <w:noProof/>
          <w:lang w:val="en-US" w:eastAsia="en-US"/>
        </w:rPr>
        <w:lastRenderedPageBreak/>
        <w:drawing>
          <wp:inline distT="0" distB="0" distL="0" distR="0" wp14:anchorId="261F912E" wp14:editId="24115ED0">
            <wp:extent cx="5946753" cy="4796872"/>
            <wp:effectExtent l="0" t="0" r="0" b="0"/>
            <wp:docPr id="6924575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698" t="5127" r="9378" b="1194"/>
                    <a:stretch/>
                  </pic:blipFill>
                  <pic:spPr bwMode="auto">
                    <a:xfrm>
                      <a:off x="0" y="0"/>
                      <a:ext cx="5949359" cy="4798974"/>
                    </a:xfrm>
                    <a:prstGeom prst="rect">
                      <a:avLst/>
                    </a:prstGeom>
                    <a:noFill/>
                    <a:ln>
                      <a:noFill/>
                    </a:ln>
                    <a:extLst>
                      <a:ext uri="{53640926-AAD7-44D8-BBD7-CCE9431645EC}">
                        <a14:shadowObscured xmlns:a14="http://schemas.microsoft.com/office/drawing/2010/main"/>
                      </a:ext>
                    </a:extLst>
                  </pic:spPr>
                </pic:pic>
              </a:graphicData>
            </a:graphic>
          </wp:inline>
        </w:drawing>
      </w:r>
    </w:p>
    <w:p w14:paraId="4E008ED0" w14:textId="77777777" w:rsidR="00894FC8" w:rsidRPr="00B55044" w:rsidRDefault="00894FC8" w:rsidP="00B55044">
      <w:pPr>
        <w:spacing w:line="480" w:lineRule="auto"/>
        <w:jc w:val="both"/>
      </w:pPr>
      <w:r w:rsidRPr="00B55044">
        <w:rPr>
          <w:b/>
          <w:bCs/>
        </w:rPr>
        <w:t>Fig</w:t>
      </w:r>
      <w:r w:rsidR="007155E4" w:rsidRPr="00B55044">
        <w:rPr>
          <w:b/>
          <w:bCs/>
        </w:rPr>
        <w:t>.</w:t>
      </w:r>
      <w:r w:rsidRPr="00B55044">
        <w:rPr>
          <w:b/>
          <w:bCs/>
        </w:rPr>
        <w:t xml:space="preserve"> S</w:t>
      </w:r>
      <w:r w:rsidR="00515EA2" w:rsidRPr="00B55044">
        <w:rPr>
          <w:b/>
          <w:bCs/>
        </w:rPr>
        <w:t>1</w:t>
      </w:r>
      <w:r w:rsidR="00E322D7">
        <w:rPr>
          <w:b/>
          <w:bCs/>
        </w:rPr>
        <w:t>3</w:t>
      </w:r>
      <w:r w:rsidRPr="00B55044">
        <w:rPr>
          <w:b/>
          <w:bCs/>
        </w:rPr>
        <w:t>.</w:t>
      </w:r>
      <w:r w:rsidRPr="00B55044">
        <w:t xml:space="preserve"> Correlation matri</w:t>
      </w:r>
      <w:r w:rsidR="00BD7AF2" w:rsidRPr="00B55044">
        <w:t xml:space="preserve">ces of </w:t>
      </w:r>
      <w:r w:rsidR="007155E4" w:rsidRPr="00B55044">
        <w:t>(</w:t>
      </w:r>
      <w:r w:rsidR="00BD7AF2" w:rsidRPr="00B55044">
        <w:t xml:space="preserve">a) PCE </w:t>
      </w:r>
      <w:r w:rsidR="007155E4" w:rsidRPr="00B55044">
        <w:t>(</w:t>
      </w:r>
      <w:r w:rsidR="00BD7AF2" w:rsidRPr="00B55044">
        <w:t xml:space="preserve">b) </w:t>
      </w:r>
      <w:r w:rsidR="00BD7AF2" w:rsidRPr="00B55044">
        <w:rPr>
          <w:i/>
          <w:iCs/>
        </w:rPr>
        <w:t>J</w:t>
      </w:r>
      <w:r w:rsidR="00F125AB" w:rsidRPr="00B55044">
        <w:rPr>
          <w:vertAlign w:val="subscript"/>
        </w:rPr>
        <w:t>SC</w:t>
      </w:r>
      <w:r w:rsidR="00BD7AF2" w:rsidRPr="00B55044">
        <w:t xml:space="preserve"> </w:t>
      </w:r>
      <w:r w:rsidR="007155E4" w:rsidRPr="00B55044">
        <w:t>(</w:t>
      </w:r>
      <w:r w:rsidR="00BD7AF2" w:rsidRPr="00B55044">
        <w:t xml:space="preserve">c) </w:t>
      </w:r>
      <w:r w:rsidR="00BD7AF2" w:rsidRPr="00B55044">
        <w:rPr>
          <w:i/>
          <w:iCs/>
        </w:rPr>
        <w:t>V</w:t>
      </w:r>
      <w:r w:rsidR="00F125AB" w:rsidRPr="00B55044">
        <w:rPr>
          <w:vertAlign w:val="subscript"/>
        </w:rPr>
        <w:t xml:space="preserve">OC </w:t>
      </w:r>
      <w:r w:rsidR="00BD7AF2" w:rsidRPr="00B55044">
        <w:t xml:space="preserve">and </w:t>
      </w:r>
      <w:r w:rsidR="007155E4" w:rsidRPr="00B55044">
        <w:t>(</w:t>
      </w:r>
      <w:r w:rsidR="001D580B" w:rsidRPr="00B55044">
        <w:t xml:space="preserve">d) </w:t>
      </w:r>
      <w:r w:rsidR="00BD7AF2" w:rsidRPr="00B55044">
        <w:t>FF with materials energy levels</w:t>
      </w:r>
      <w:r w:rsidR="001D580B" w:rsidRPr="00B55044">
        <w:t xml:space="preserve"> i.e.</w:t>
      </w:r>
      <w:r w:rsidR="00BD7AF2" w:rsidRPr="00B55044">
        <w:t xml:space="preserve"> HOMO and LUMO of PM6, HOMO C2</w:t>
      </w:r>
      <w:r w:rsidR="001A7A74" w:rsidRPr="00B55044">
        <w:t>,</w:t>
      </w:r>
      <w:r w:rsidR="00BD7AF2" w:rsidRPr="00B55044">
        <w:t xml:space="preserve"> and LUMO C2 of 2</w:t>
      </w:r>
      <w:r w:rsidR="00BD7AF2" w:rsidRPr="00B55044">
        <w:rPr>
          <w:vertAlign w:val="superscript"/>
        </w:rPr>
        <w:t>nd</w:t>
      </w:r>
      <w:r w:rsidR="00BD7AF2" w:rsidRPr="00B55044">
        <w:t xml:space="preserve"> component of ternary BHJ and HOMO C3 and LUMO C3 of </w:t>
      </w:r>
      <w:r w:rsidR="001B7D77" w:rsidRPr="00B55044">
        <w:t xml:space="preserve">the </w:t>
      </w:r>
      <w:r w:rsidR="00BD7AF2" w:rsidRPr="00B55044">
        <w:t>third component in ternary BHJ.</w:t>
      </w:r>
    </w:p>
    <w:bookmarkEnd w:id="17"/>
    <w:p w14:paraId="067396E9" w14:textId="77777777" w:rsidR="00894FC8" w:rsidRPr="00B55044" w:rsidRDefault="00894FC8" w:rsidP="00B55044">
      <w:pPr>
        <w:spacing w:line="480" w:lineRule="auto"/>
        <w:jc w:val="both"/>
      </w:pPr>
    </w:p>
    <w:p w14:paraId="1B7117DA" w14:textId="77777777" w:rsidR="004F2F23" w:rsidRPr="00B55044" w:rsidRDefault="004F2F23" w:rsidP="00B55044">
      <w:pPr>
        <w:spacing w:line="480" w:lineRule="auto"/>
        <w:jc w:val="center"/>
      </w:pPr>
    </w:p>
    <w:p w14:paraId="5CACCA4E" w14:textId="77777777" w:rsidR="00133475" w:rsidRPr="00B55044" w:rsidRDefault="00133475" w:rsidP="00B55044">
      <w:pPr>
        <w:spacing w:line="480" w:lineRule="auto"/>
      </w:pPr>
    </w:p>
    <w:p w14:paraId="6BD9F072" w14:textId="77777777" w:rsidR="00AF1BA9" w:rsidRPr="00B55044" w:rsidRDefault="00AF1BA9" w:rsidP="00B55044">
      <w:pPr>
        <w:spacing w:line="480" w:lineRule="auto"/>
        <w:jc w:val="both"/>
        <w:rPr>
          <w:noProof/>
          <w:lang w:eastAsia="en-US"/>
        </w:rPr>
      </w:pPr>
      <w:bookmarkStart w:id="18" w:name="_Hlk151575714"/>
    </w:p>
    <w:p w14:paraId="22EA24A6" w14:textId="77777777" w:rsidR="00AF1BA9" w:rsidRPr="00B55044" w:rsidRDefault="00AF1BA9" w:rsidP="00B55044">
      <w:pPr>
        <w:spacing w:line="480" w:lineRule="auto"/>
        <w:jc w:val="both"/>
        <w:rPr>
          <w:noProof/>
          <w:lang w:eastAsia="en-US"/>
        </w:rPr>
      </w:pPr>
    </w:p>
    <w:p w14:paraId="0B8CC90D" w14:textId="77777777" w:rsidR="00AF1BA9" w:rsidRPr="00B55044" w:rsidRDefault="00AF1BA9" w:rsidP="00B55044">
      <w:pPr>
        <w:spacing w:line="480" w:lineRule="auto"/>
        <w:jc w:val="both"/>
        <w:rPr>
          <w:noProof/>
          <w:lang w:eastAsia="en-US"/>
        </w:rPr>
      </w:pPr>
    </w:p>
    <w:p w14:paraId="3309BBE9" w14:textId="26C7434D" w:rsidR="0017038C" w:rsidRPr="00B55044" w:rsidRDefault="00D3680E" w:rsidP="00B55044">
      <w:pPr>
        <w:spacing w:line="480" w:lineRule="auto"/>
        <w:jc w:val="both"/>
      </w:pPr>
      <w:r w:rsidRPr="00D3680E">
        <w:rPr>
          <w:noProof/>
        </w:rPr>
        <w:lastRenderedPageBreak/>
        <w:drawing>
          <wp:inline distT="0" distB="0" distL="0" distR="0" wp14:anchorId="6798FAA2" wp14:editId="49BA4379">
            <wp:extent cx="5936823" cy="2454275"/>
            <wp:effectExtent l="0" t="0" r="6985" b="0"/>
            <wp:docPr id="73874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1923"/>
                    <a:stretch/>
                  </pic:blipFill>
                  <pic:spPr bwMode="auto">
                    <a:xfrm>
                      <a:off x="0" y="0"/>
                      <a:ext cx="5941360" cy="2456151"/>
                    </a:xfrm>
                    <a:prstGeom prst="rect">
                      <a:avLst/>
                    </a:prstGeom>
                    <a:noFill/>
                    <a:ln>
                      <a:noFill/>
                    </a:ln>
                    <a:extLst>
                      <a:ext uri="{53640926-AAD7-44D8-BBD7-CCE9431645EC}">
                        <a14:shadowObscured xmlns:a14="http://schemas.microsoft.com/office/drawing/2010/main"/>
                      </a:ext>
                    </a:extLst>
                  </pic:spPr>
                </pic:pic>
              </a:graphicData>
            </a:graphic>
          </wp:inline>
        </w:drawing>
      </w:r>
      <w:r w:rsidR="0017038C" w:rsidRPr="00B55044">
        <w:rPr>
          <w:b/>
          <w:bCs/>
        </w:rPr>
        <w:t>Fig</w:t>
      </w:r>
      <w:r w:rsidR="007155E4" w:rsidRPr="00B55044">
        <w:rPr>
          <w:b/>
          <w:bCs/>
        </w:rPr>
        <w:t>.</w:t>
      </w:r>
      <w:r w:rsidR="0017038C" w:rsidRPr="00B55044">
        <w:rPr>
          <w:b/>
          <w:bCs/>
        </w:rPr>
        <w:t xml:space="preserve"> S1</w:t>
      </w:r>
      <w:r w:rsidR="00E322D7">
        <w:rPr>
          <w:b/>
          <w:bCs/>
        </w:rPr>
        <w:t>4</w:t>
      </w:r>
      <w:r w:rsidR="0017038C" w:rsidRPr="00B55044">
        <w:rPr>
          <w:b/>
          <w:bCs/>
        </w:rPr>
        <w:t>.</w:t>
      </w:r>
      <w:r w:rsidR="0017038C" w:rsidRPr="00B55044">
        <w:t xml:space="preserve"> Schematic demonstrating the operational mechanism of </w:t>
      </w:r>
      <w:r w:rsidR="00491B7A" w:rsidRPr="00B55044">
        <w:t>T</w:t>
      </w:r>
      <w:r w:rsidR="0017038C" w:rsidRPr="00B55044">
        <w:t xml:space="preserve">OSCs based on </w:t>
      </w:r>
      <w:r w:rsidR="007155E4" w:rsidRPr="00B55044">
        <w:t>(</w:t>
      </w:r>
      <w:r w:rsidR="0017038C" w:rsidRPr="00B55044">
        <w:t xml:space="preserve">a) PM6/D2/A and </w:t>
      </w:r>
      <w:r w:rsidR="007155E4" w:rsidRPr="00B55044">
        <w:t>(</w:t>
      </w:r>
      <w:r w:rsidR="0017038C" w:rsidRPr="00B55044">
        <w:t>b) PM6/A2/A1 systems</w:t>
      </w:r>
      <w:r w:rsidR="00C62C69" w:rsidRPr="00B55044">
        <w:t xml:space="preserve">. The </w:t>
      </w:r>
      <w:r w:rsidR="0017038C" w:rsidRPr="00B55044">
        <w:t>arrows correspond to potential channels enabling charge transfer and transport.</w:t>
      </w:r>
    </w:p>
    <w:p w14:paraId="177A985D" w14:textId="77777777" w:rsidR="00EA3EE9" w:rsidRPr="00B55044" w:rsidRDefault="00EA3EE9" w:rsidP="00B55044">
      <w:pPr>
        <w:spacing w:line="480" w:lineRule="auto"/>
        <w:jc w:val="both"/>
      </w:pPr>
    </w:p>
    <w:p w14:paraId="5533DC89" w14:textId="77777777" w:rsidR="004B7782" w:rsidRPr="00B55044" w:rsidRDefault="004B7782" w:rsidP="00B55044">
      <w:pPr>
        <w:spacing w:line="480" w:lineRule="auto"/>
        <w:jc w:val="both"/>
      </w:pPr>
    </w:p>
    <w:p w14:paraId="41A048D0" w14:textId="77777777" w:rsidR="004B7782" w:rsidRPr="00B55044" w:rsidRDefault="004B7782" w:rsidP="00B55044">
      <w:pPr>
        <w:spacing w:line="480" w:lineRule="auto"/>
        <w:jc w:val="both"/>
      </w:pPr>
    </w:p>
    <w:p w14:paraId="3D16339F" w14:textId="77777777" w:rsidR="004B7782" w:rsidRPr="00B55044" w:rsidRDefault="004B7782" w:rsidP="00B55044">
      <w:pPr>
        <w:spacing w:line="480" w:lineRule="auto"/>
        <w:jc w:val="center"/>
        <w:rPr>
          <w:color w:val="FF0000"/>
        </w:rPr>
      </w:pPr>
    </w:p>
    <w:p w14:paraId="17C72F5C" w14:textId="77777777" w:rsidR="004B7782" w:rsidRPr="00B55044" w:rsidRDefault="004B7782" w:rsidP="00B55044">
      <w:pPr>
        <w:spacing w:line="480" w:lineRule="auto"/>
        <w:jc w:val="both"/>
        <w:rPr>
          <w:b/>
          <w:bCs/>
        </w:rPr>
      </w:pPr>
    </w:p>
    <w:p w14:paraId="4F7092AB" w14:textId="77777777" w:rsidR="00932251" w:rsidRPr="00B55044" w:rsidRDefault="00932251" w:rsidP="00B55044">
      <w:pPr>
        <w:spacing w:line="480" w:lineRule="auto"/>
        <w:jc w:val="both"/>
        <w:rPr>
          <w:b/>
          <w:bCs/>
        </w:rPr>
      </w:pPr>
    </w:p>
    <w:p w14:paraId="2CB79771" w14:textId="77777777" w:rsidR="00932251" w:rsidRPr="00B55044" w:rsidRDefault="00932251" w:rsidP="00B55044">
      <w:pPr>
        <w:spacing w:line="480" w:lineRule="auto"/>
        <w:jc w:val="both"/>
        <w:rPr>
          <w:b/>
          <w:bCs/>
        </w:rPr>
      </w:pPr>
    </w:p>
    <w:p w14:paraId="1A39A46B" w14:textId="77777777" w:rsidR="00932251" w:rsidRPr="00B55044" w:rsidRDefault="00932251" w:rsidP="00B55044">
      <w:pPr>
        <w:spacing w:line="480" w:lineRule="auto"/>
        <w:jc w:val="both"/>
        <w:rPr>
          <w:b/>
          <w:bCs/>
        </w:rPr>
      </w:pPr>
    </w:p>
    <w:p w14:paraId="30655299" w14:textId="77777777" w:rsidR="001D0E03" w:rsidRPr="00B55044" w:rsidRDefault="001D0E03" w:rsidP="00B55044">
      <w:pPr>
        <w:spacing w:line="480" w:lineRule="auto"/>
        <w:jc w:val="both"/>
        <w:rPr>
          <w:b/>
          <w:bCs/>
        </w:rPr>
      </w:pPr>
    </w:p>
    <w:p w14:paraId="3A1E7420" w14:textId="77777777" w:rsidR="001D0E03" w:rsidRPr="00B55044" w:rsidRDefault="001D0E03" w:rsidP="00B55044">
      <w:pPr>
        <w:spacing w:line="480" w:lineRule="auto"/>
        <w:jc w:val="both"/>
        <w:rPr>
          <w:b/>
          <w:bCs/>
        </w:rPr>
      </w:pPr>
    </w:p>
    <w:p w14:paraId="3D59C079" w14:textId="77777777" w:rsidR="001D0E03" w:rsidRPr="00B55044" w:rsidRDefault="001D0E03" w:rsidP="00B55044">
      <w:pPr>
        <w:spacing w:line="480" w:lineRule="auto"/>
        <w:jc w:val="both"/>
        <w:rPr>
          <w:b/>
          <w:bCs/>
        </w:rPr>
      </w:pPr>
    </w:p>
    <w:p w14:paraId="3739BB6C" w14:textId="77777777" w:rsidR="001D0E03" w:rsidRPr="00B55044" w:rsidRDefault="001D0E03" w:rsidP="00B55044">
      <w:pPr>
        <w:spacing w:line="480" w:lineRule="auto"/>
        <w:jc w:val="both"/>
        <w:rPr>
          <w:b/>
          <w:bCs/>
        </w:rPr>
      </w:pPr>
    </w:p>
    <w:p w14:paraId="3CD7F36E" w14:textId="77777777" w:rsidR="001D0E03" w:rsidRPr="00B55044" w:rsidRDefault="001D0E03" w:rsidP="00B55044">
      <w:pPr>
        <w:spacing w:line="480" w:lineRule="auto"/>
        <w:jc w:val="both"/>
        <w:rPr>
          <w:b/>
          <w:bCs/>
        </w:rPr>
      </w:pPr>
    </w:p>
    <w:p w14:paraId="43A28A98" w14:textId="77777777" w:rsidR="00AF1BA9" w:rsidRPr="00B55044" w:rsidRDefault="00E00979" w:rsidP="00B55044">
      <w:pPr>
        <w:spacing w:line="480" w:lineRule="auto"/>
        <w:jc w:val="center"/>
        <w:rPr>
          <w:b/>
          <w:bCs/>
        </w:rPr>
      </w:pPr>
      <w:r w:rsidRPr="00E00979">
        <w:rPr>
          <w:noProof/>
          <w:lang w:val="en-US" w:eastAsia="en-US"/>
        </w:rPr>
        <w:lastRenderedPageBreak/>
        <w:drawing>
          <wp:inline distT="0" distB="0" distL="0" distR="0" wp14:anchorId="37143AE2" wp14:editId="1E23D316">
            <wp:extent cx="4271262" cy="7329831"/>
            <wp:effectExtent l="0" t="0" r="0" b="0"/>
            <wp:docPr id="296047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84946" cy="7353314"/>
                    </a:xfrm>
                    <a:prstGeom prst="rect">
                      <a:avLst/>
                    </a:prstGeom>
                    <a:noFill/>
                    <a:ln>
                      <a:noFill/>
                    </a:ln>
                  </pic:spPr>
                </pic:pic>
              </a:graphicData>
            </a:graphic>
          </wp:inline>
        </w:drawing>
      </w:r>
    </w:p>
    <w:p w14:paraId="4DABB592" w14:textId="77777777" w:rsidR="004B7782" w:rsidRPr="00B55044" w:rsidRDefault="00932251" w:rsidP="00B55044">
      <w:pPr>
        <w:spacing w:line="480" w:lineRule="auto"/>
        <w:jc w:val="both"/>
        <w:rPr>
          <w:rFonts w:eastAsiaTheme="minorEastAsia"/>
          <w:b/>
          <w:bCs/>
          <w:lang w:eastAsia="ko-KR"/>
        </w:rPr>
      </w:pPr>
      <w:r w:rsidRPr="00B55044">
        <w:rPr>
          <w:b/>
          <w:bCs/>
        </w:rPr>
        <w:t>Fig</w:t>
      </w:r>
      <w:r w:rsidR="007155E4" w:rsidRPr="00B55044">
        <w:rPr>
          <w:b/>
          <w:bCs/>
        </w:rPr>
        <w:t>.</w:t>
      </w:r>
      <w:r w:rsidRPr="00B55044">
        <w:rPr>
          <w:b/>
          <w:bCs/>
        </w:rPr>
        <w:t xml:space="preserve"> S1</w:t>
      </w:r>
      <w:r w:rsidR="00E322D7">
        <w:rPr>
          <w:b/>
          <w:bCs/>
        </w:rPr>
        <w:t>5</w:t>
      </w:r>
      <w:r w:rsidRPr="00B55044">
        <w:rPr>
          <w:b/>
          <w:bCs/>
        </w:rPr>
        <w:t>.</w:t>
      </w:r>
      <w:r w:rsidRPr="00B55044">
        <w:t xml:space="preserve"> Chemical structure of </w:t>
      </w:r>
      <w:r w:rsidR="007155E4" w:rsidRPr="00B55044">
        <w:t>(</w:t>
      </w:r>
      <w:r w:rsidRPr="00B55044">
        <w:t xml:space="preserve">a) PM6, </w:t>
      </w:r>
      <w:r w:rsidR="007155E4" w:rsidRPr="00B55044">
        <w:t>(</w:t>
      </w:r>
      <w:r w:rsidRPr="00B55044">
        <w:t>b) Y6</w:t>
      </w:r>
      <w:r w:rsidR="001A7A74" w:rsidRPr="00B55044">
        <w:t>,</w:t>
      </w:r>
      <w:r w:rsidRPr="00B55044">
        <w:t xml:space="preserve"> and </w:t>
      </w:r>
      <w:r w:rsidR="007155E4" w:rsidRPr="00B55044">
        <w:t>(</w:t>
      </w:r>
      <w:r w:rsidRPr="00B55044">
        <w:t>c) PC</w:t>
      </w:r>
      <w:r w:rsidRPr="00B55044">
        <w:rPr>
          <w:vertAlign w:val="subscript"/>
        </w:rPr>
        <w:t>71</w:t>
      </w:r>
      <w:r w:rsidRPr="00B55044">
        <w:t>BM.</w:t>
      </w:r>
    </w:p>
    <w:p w14:paraId="4F617F66" w14:textId="77777777" w:rsidR="00DC2662" w:rsidRPr="00B55044" w:rsidRDefault="00DC2662" w:rsidP="00B55044">
      <w:pPr>
        <w:spacing w:line="480" w:lineRule="auto"/>
        <w:jc w:val="center"/>
        <w:rPr>
          <w:b/>
          <w:bCs/>
        </w:rPr>
      </w:pPr>
      <w:r w:rsidRPr="00B55044">
        <w:rPr>
          <w:noProof/>
          <w:lang w:val="en-US" w:eastAsia="en-US"/>
        </w:rPr>
        <w:lastRenderedPageBreak/>
        <w:drawing>
          <wp:inline distT="0" distB="0" distL="0" distR="0" wp14:anchorId="5F65A471" wp14:editId="59627EC2">
            <wp:extent cx="3375717" cy="2743200"/>
            <wp:effectExtent l="0" t="0" r="0" b="0"/>
            <wp:docPr id="2143780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1020" t="34268" r="7810" b="2135"/>
                    <a:stretch/>
                  </pic:blipFill>
                  <pic:spPr bwMode="auto">
                    <a:xfrm>
                      <a:off x="0" y="0"/>
                      <a:ext cx="3375854" cy="2743311"/>
                    </a:xfrm>
                    <a:prstGeom prst="rect">
                      <a:avLst/>
                    </a:prstGeom>
                    <a:noFill/>
                    <a:ln>
                      <a:noFill/>
                    </a:ln>
                    <a:extLst>
                      <a:ext uri="{53640926-AAD7-44D8-BBD7-CCE9431645EC}">
                        <a14:shadowObscured xmlns:a14="http://schemas.microsoft.com/office/drawing/2010/main"/>
                      </a:ext>
                    </a:extLst>
                  </pic:spPr>
                </pic:pic>
              </a:graphicData>
            </a:graphic>
          </wp:inline>
        </w:drawing>
      </w:r>
    </w:p>
    <w:p w14:paraId="6A615254" w14:textId="77777777" w:rsidR="00DC2662" w:rsidRPr="00B55044" w:rsidRDefault="00DC2662" w:rsidP="00B55044">
      <w:pPr>
        <w:spacing w:line="480" w:lineRule="auto"/>
        <w:jc w:val="both"/>
      </w:pPr>
      <w:r w:rsidRPr="00B55044">
        <w:rPr>
          <w:b/>
          <w:bCs/>
        </w:rPr>
        <w:t>Fig</w:t>
      </w:r>
      <w:r w:rsidR="007155E4" w:rsidRPr="00B55044">
        <w:rPr>
          <w:b/>
          <w:bCs/>
        </w:rPr>
        <w:t>.</w:t>
      </w:r>
      <w:r w:rsidRPr="00B55044">
        <w:rPr>
          <w:b/>
          <w:bCs/>
        </w:rPr>
        <w:t xml:space="preserve"> S1</w:t>
      </w:r>
      <w:r w:rsidR="00E322D7">
        <w:rPr>
          <w:b/>
          <w:bCs/>
        </w:rPr>
        <w:t>6</w:t>
      </w:r>
      <w:r w:rsidRPr="00B55044">
        <w:rPr>
          <w:b/>
          <w:bCs/>
        </w:rPr>
        <w:t>.</w:t>
      </w:r>
      <w:r w:rsidRPr="00B55044">
        <w:t xml:space="preserve"> EQE spectra of best performing (champion) device.</w:t>
      </w:r>
    </w:p>
    <w:p w14:paraId="32A05E65" w14:textId="77777777" w:rsidR="00DC2662" w:rsidRPr="00B55044" w:rsidRDefault="00DC2662" w:rsidP="00B55044">
      <w:pPr>
        <w:spacing w:line="480" w:lineRule="auto"/>
        <w:jc w:val="center"/>
        <w:rPr>
          <w:b/>
          <w:bCs/>
        </w:rPr>
      </w:pPr>
    </w:p>
    <w:p w14:paraId="4D522886" w14:textId="77777777" w:rsidR="004B7782" w:rsidRPr="00B55044" w:rsidRDefault="004B7782" w:rsidP="00B55044">
      <w:pPr>
        <w:spacing w:line="480" w:lineRule="auto"/>
        <w:jc w:val="both"/>
        <w:rPr>
          <w:b/>
          <w:bCs/>
        </w:rPr>
      </w:pPr>
    </w:p>
    <w:p w14:paraId="63E982BB" w14:textId="77777777" w:rsidR="00932251" w:rsidRPr="00B55044" w:rsidRDefault="00932251" w:rsidP="00B55044">
      <w:pPr>
        <w:spacing w:line="480" w:lineRule="auto"/>
        <w:jc w:val="both"/>
        <w:rPr>
          <w:b/>
          <w:bCs/>
        </w:rPr>
      </w:pPr>
    </w:p>
    <w:p w14:paraId="104928E9" w14:textId="77777777" w:rsidR="00932251" w:rsidRPr="00B55044" w:rsidRDefault="00932251" w:rsidP="00B55044">
      <w:pPr>
        <w:spacing w:line="480" w:lineRule="auto"/>
        <w:jc w:val="both"/>
        <w:rPr>
          <w:b/>
          <w:bCs/>
        </w:rPr>
      </w:pPr>
    </w:p>
    <w:p w14:paraId="61B3387A" w14:textId="77777777" w:rsidR="00932251" w:rsidRPr="00B55044" w:rsidRDefault="00932251" w:rsidP="00B55044">
      <w:pPr>
        <w:spacing w:line="480" w:lineRule="auto"/>
        <w:jc w:val="both"/>
        <w:rPr>
          <w:b/>
          <w:bCs/>
        </w:rPr>
      </w:pPr>
    </w:p>
    <w:p w14:paraId="338A8540" w14:textId="77777777" w:rsidR="00932251" w:rsidRPr="00B55044" w:rsidRDefault="00932251" w:rsidP="00B55044">
      <w:pPr>
        <w:spacing w:line="480" w:lineRule="auto"/>
        <w:jc w:val="both"/>
        <w:rPr>
          <w:b/>
          <w:bCs/>
        </w:rPr>
      </w:pPr>
    </w:p>
    <w:p w14:paraId="6426B56D" w14:textId="77777777" w:rsidR="004B7782" w:rsidRPr="00B55044" w:rsidRDefault="004B7782" w:rsidP="00B55044">
      <w:pPr>
        <w:spacing w:line="480" w:lineRule="auto"/>
        <w:jc w:val="both"/>
        <w:rPr>
          <w:b/>
          <w:bCs/>
        </w:rPr>
      </w:pPr>
    </w:p>
    <w:p w14:paraId="3C0AF3E2" w14:textId="77777777" w:rsidR="004B7782" w:rsidRPr="00B55044" w:rsidRDefault="004B7782" w:rsidP="00B55044">
      <w:pPr>
        <w:spacing w:line="480" w:lineRule="auto"/>
        <w:jc w:val="both"/>
        <w:rPr>
          <w:b/>
          <w:bCs/>
        </w:rPr>
      </w:pPr>
    </w:p>
    <w:p w14:paraId="0B3B046A" w14:textId="77777777" w:rsidR="00EA3EE9" w:rsidRPr="00B55044" w:rsidRDefault="00EA3EE9" w:rsidP="00B55044">
      <w:pPr>
        <w:spacing w:line="480" w:lineRule="auto"/>
        <w:jc w:val="both"/>
      </w:pPr>
    </w:p>
    <w:p w14:paraId="72250BC7" w14:textId="77777777" w:rsidR="00EA3EE9" w:rsidRPr="00B55044" w:rsidRDefault="00EA3EE9" w:rsidP="00B55044">
      <w:pPr>
        <w:spacing w:line="480" w:lineRule="auto"/>
        <w:jc w:val="both"/>
      </w:pPr>
    </w:p>
    <w:p w14:paraId="1241D71E" w14:textId="77777777" w:rsidR="00EA3EE9" w:rsidRPr="00B55044" w:rsidRDefault="00EA3EE9" w:rsidP="00B55044">
      <w:pPr>
        <w:spacing w:line="480" w:lineRule="auto"/>
        <w:jc w:val="both"/>
      </w:pPr>
    </w:p>
    <w:p w14:paraId="02E65D43" w14:textId="77777777" w:rsidR="00EA3EE9" w:rsidRPr="00B55044" w:rsidRDefault="00EA3EE9" w:rsidP="00B55044">
      <w:pPr>
        <w:spacing w:line="480" w:lineRule="auto"/>
        <w:jc w:val="both"/>
      </w:pPr>
    </w:p>
    <w:p w14:paraId="5A949221" w14:textId="77777777" w:rsidR="00094610" w:rsidRPr="00B55044" w:rsidRDefault="00094610" w:rsidP="00B55044">
      <w:pPr>
        <w:spacing w:line="480" w:lineRule="auto"/>
        <w:jc w:val="both"/>
      </w:pPr>
    </w:p>
    <w:p w14:paraId="10B6DE13" w14:textId="77777777" w:rsidR="00094610" w:rsidRPr="00B55044" w:rsidRDefault="00094610" w:rsidP="00B55044">
      <w:pPr>
        <w:spacing w:line="480" w:lineRule="auto"/>
        <w:jc w:val="both"/>
      </w:pPr>
    </w:p>
    <w:p w14:paraId="52724077" w14:textId="77777777" w:rsidR="008D39C8" w:rsidRPr="00791B40" w:rsidRDefault="000F0DBE" w:rsidP="00094610">
      <w:pPr>
        <w:spacing w:line="360" w:lineRule="auto"/>
        <w:jc w:val="both"/>
      </w:pPr>
      <w:r w:rsidRPr="00791B40">
        <w:rPr>
          <w:b/>
          <w:bCs/>
        </w:rPr>
        <w:lastRenderedPageBreak/>
        <w:t>Table S1.</w:t>
      </w:r>
      <w:r w:rsidRPr="00791B40">
        <w:t xml:space="preserve"> </w:t>
      </w:r>
      <w:r w:rsidR="00585839" w:rsidRPr="00791B40">
        <w:t>M</w:t>
      </w:r>
      <w:r w:rsidR="000F3E7C" w:rsidRPr="00791B40">
        <w:t>anually collected data</w:t>
      </w:r>
      <w:r w:rsidR="00585839" w:rsidRPr="00791B40">
        <w:t xml:space="preserve"> of PM6:C2:C3 based TOSCs</w:t>
      </w:r>
      <w:r w:rsidR="000F3E7C" w:rsidRPr="00791B40">
        <w:t xml:space="preserve"> from </w:t>
      </w:r>
      <w:r w:rsidR="008D39C8" w:rsidRPr="00791B40">
        <w:t xml:space="preserve">the </w:t>
      </w:r>
      <w:r w:rsidR="000F3E7C" w:rsidRPr="00791B40">
        <w:t>literature</w:t>
      </w:r>
      <w:r w:rsidR="00F125AB" w:rsidRPr="00791B40">
        <w:t xml:space="preserve"> and their performance</w:t>
      </w:r>
      <w:r w:rsidR="000F3E7C" w:rsidRPr="00791B40">
        <w:t>.</w:t>
      </w:r>
      <w:r w:rsidR="002634AF" w:rsidRPr="00791B40">
        <w:t xml:space="preserve"> Detailed data is provided in </w:t>
      </w:r>
      <w:r w:rsidR="009E7377" w:rsidRPr="00791B40">
        <w:t>the supporting</w:t>
      </w:r>
      <w:r w:rsidR="002634AF" w:rsidRPr="00791B40">
        <w:t xml:space="preserve"> excel file.</w:t>
      </w:r>
    </w:p>
    <w:tbl>
      <w:tblPr>
        <w:tblW w:w="5000" w:type="pct"/>
        <w:tblLayout w:type="fixed"/>
        <w:tblLook w:val="04A0" w:firstRow="1" w:lastRow="0" w:firstColumn="1" w:lastColumn="0" w:noHBand="0" w:noVBand="1"/>
      </w:tblPr>
      <w:tblGrid>
        <w:gridCol w:w="549"/>
        <w:gridCol w:w="2855"/>
        <w:gridCol w:w="2411"/>
        <w:gridCol w:w="709"/>
        <w:gridCol w:w="709"/>
        <w:gridCol w:w="708"/>
        <w:gridCol w:w="713"/>
        <w:gridCol w:w="706"/>
      </w:tblGrid>
      <w:tr w:rsidR="00D47774" w:rsidRPr="00B55044" w14:paraId="1F1FAF6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41FEC9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No</w:t>
            </w:r>
          </w:p>
        </w:tc>
        <w:tc>
          <w:tcPr>
            <w:tcW w:w="1525" w:type="pct"/>
            <w:tcBorders>
              <w:top w:val="single" w:sz="4" w:space="0" w:color="auto"/>
              <w:left w:val="nil"/>
              <w:bottom w:val="single" w:sz="4" w:space="0" w:color="auto"/>
              <w:right w:val="nil"/>
            </w:tcBorders>
            <w:shd w:val="clear" w:color="auto" w:fill="auto"/>
            <w:noWrap/>
            <w:vAlign w:val="bottom"/>
            <w:hideMark/>
          </w:tcPr>
          <w:p w14:paraId="57C47B7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Solar cell structure</w:t>
            </w:r>
          </w:p>
        </w:tc>
        <w:tc>
          <w:tcPr>
            <w:tcW w:w="1288" w:type="pct"/>
            <w:tcBorders>
              <w:top w:val="single" w:sz="4" w:space="0" w:color="auto"/>
              <w:left w:val="nil"/>
              <w:bottom w:val="single" w:sz="4" w:space="0" w:color="auto"/>
              <w:right w:val="nil"/>
            </w:tcBorders>
            <w:shd w:val="clear" w:color="auto" w:fill="auto"/>
            <w:noWrap/>
            <w:vAlign w:val="bottom"/>
            <w:hideMark/>
          </w:tcPr>
          <w:p w14:paraId="27C1E59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Photoactive layer</w:t>
            </w:r>
          </w:p>
        </w:tc>
        <w:tc>
          <w:tcPr>
            <w:tcW w:w="379" w:type="pct"/>
            <w:tcBorders>
              <w:top w:val="single" w:sz="4" w:space="0" w:color="auto"/>
              <w:left w:val="nil"/>
              <w:bottom w:val="single" w:sz="4" w:space="0" w:color="auto"/>
              <w:right w:val="nil"/>
            </w:tcBorders>
            <w:shd w:val="clear" w:color="auto" w:fill="auto"/>
            <w:noWrap/>
            <w:vAlign w:val="bottom"/>
            <w:hideMark/>
          </w:tcPr>
          <w:p w14:paraId="5492A042" w14:textId="77777777" w:rsidR="003D460F" w:rsidRPr="00B55044" w:rsidRDefault="003D460F" w:rsidP="00F26985">
            <w:pPr>
              <w:spacing w:line="360" w:lineRule="auto"/>
              <w:rPr>
                <w:rFonts w:eastAsia="Times New Roman"/>
                <w:sz w:val="16"/>
                <w:szCs w:val="16"/>
              </w:rPr>
            </w:pPr>
            <w:r w:rsidRPr="00B55044">
              <w:rPr>
                <w:rFonts w:eastAsia="Times New Roman"/>
                <w:i/>
                <w:iCs/>
                <w:sz w:val="16"/>
                <w:szCs w:val="16"/>
              </w:rPr>
              <w:t>V</w:t>
            </w:r>
            <w:r w:rsidRPr="00B55044">
              <w:rPr>
                <w:rFonts w:eastAsia="Times New Roman"/>
                <w:sz w:val="16"/>
                <w:szCs w:val="16"/>
                <w:vertAlign w:val="subscript"/>
              </w:rPr>
              <w:t>oc</w:t>
            </w:r>
          </w:p>
        </w:tc>
        <w:tc>
          <w:tcPr>
            <w:tcW w:w="379" w:type="pct"/>
            <w:tcBorders>
              <w:top w:val="single" w:sz="4" w:space="0" w:color="auto"/>
              <w:left w:val="nil"/>
              <w:bottom w:val="single" w:sz="4" w:space="0" w:color="auto"/>
              <w:right w:val="nil"/>
            </w:tcBorders>
            <w:shd w:val="clear" w:color="auto" w:fill="auto"/>
            <w:noWrap/>
            <w:vAlign w:val="bottom"/>
            <w:hideMark/>
          </w:tcPr>
          <w:p w14:paraId="181AF738" w14:textId="77777777" w:rsidR="003D460F" w:rsidRPr="00B55044" w:rsidRDefault="003D460F" w:rsidP="00F26985">
            <w:pPr>
              <w:spacing w:line="360" w:lineRule="auto"/>
              <w:rPr>
                <w:rFonts w:eastAsia="Times New Roman"/>
                <w:sz w:val="16"/>
                <w:szCs w:val="16"/>
              </w:rPr>
            </w:pPr>
            <w:r w:rsidRPr="00B55044">
              <w:rPr>
                <w:rFonts w:eastAsia="Times New Roman"/>
                <w:i/>
                <w:iCs/>
                <w:sz w:val="16"/>
                <w:szCs w:val="16"/>
              </w:rPr>
              <w:t>J</w:t>
            </w:r>
            <w:r w:rsidRPr="00B55044">
              <w:rPr>
                <w:rFonts w:eastAsia="Times New Roman"/>
                <w:sz w:val="16"/>
                <w:szCs w:val="16"/>
                <w:vertAlign w:val="subscript"/>
              </w:rPr>
              <w:t>sc</w:t>
            </w:r>
          </w:p>
        </w:tc>
        <w:tc>
          <w:tcPr>
            <w:tcW w:w="378" w:type="pct"/>
            <w:tcBorders>
              <w:top w:val="single" w:sz="4" w:space="0" w:color="auto"/>
              <w:left w:val="nil"/>
              <w:bottom w:val="single" w:sz="4" w:space="0" w:color="auto"/>
              <w:right w:val="nil"/>
            </w:tcBorders>
            <w:shd w:val="clear" w:color="auto" w:fill="auto"/>
            <w:noWrap/>
            <w:vAlign w:val="bottom"/>
            <w:hideMark/>
          </w:tcPr>
          <w:p w14:paraId="5D8AE0C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FF</w:t>
            </w:r>
          </w:p>
        </w:tc>
        <w:tc>
          <w:tcPr>
            <w:tcW w:w="381" w:type="pct"/>
            <w:tcBorders>
              <w:top w:val="single" w:sz="4" w:space="0" w:color="auto"/>
              <w:left w:val="nil"/>
              <w:bottom w:val="single" w:sz="4" w:space="0" w:color="auto"/>
              <w:right w:val="nil"/>
            </w:tcBorders>
            <w:shd w:val="clear" w:color="auto" w:fill="auto"/>
            <w:noWrap/>
            <w:vAlign w:val="bottom"/>
            <w:hideMark/>
          </w:tcPr>
          <w:p w14:paraId="33DD3BE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PCE</w:t>
            </w:r>
          </w:p>
        </w:tc>
        <w:tc>
          <w:tcPr>
            <w:tcW w:w="378" w:type="pct"/>
            <w:tcBorders>
              <w:top w:val="single" w:sz="4" w:space="0" w:color="auto"/>
              <w:left w:val="nil"/>
              <w:bottom w:val="single" w:sz="4" w:space="0" w:color="auto"/>
              <w:right w:val="nil"/>
            </w:tcBorders>
            <w:shd w:val="clear" w:color="auto" w:fill="auto"/>
            <w:noWrap/>
            <w:vAlign w:val="bottom"/>
            <w:hideMark/>
          </w:tcPr>
          <w:p w14:paraId="49500D6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Ref.</w:t>
            </w:r>
          </w:p>
        </w:tc>
      </w:tr>
      <w:tr w:rsidR="00D47774" w:rsidRPr="00B55044" w14:paraId="7E6ECDC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D9964C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w:t>
            </w:r>
          </w:p>
        </w:tc>
        <w:tc>
          <w:tcPr>
            <w:tcW w:w="1525" w:type="pct"/>
            <w:tcBorders>
              <w:top w:val="single" w:sz="4" w:space="0" w:color="auto"/>
              <w:left w:val="nil"/>
              <w:bottom w:val="single" w:sz="4" w:space="0" w:color="auto"/>
              <w:right w:val="nil"/>
            </w:tcBorders>
            <w:shd w:val="clear" w:color="auto" w:fill="auto"/>
            <w:noWrap/>
            <w:vAlign w:val="bottom"/>
            <w:hideMark/>
          </w:tcPr>
          <w:p w14:paraId="20BBF60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65D9DB7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PM6:PY2Se-F:BTO</w:t>
            </w:r>
          </w:p>
        </w:tc>
        <w:tc>
          <w:tcPr>
            <w:tcW w:w="379" w:type="pct"/>
            <w:tcBorders>
              <w:top w:val="single" w:sz="4" w:space="0" w:color="auto"/>
              <w:left w:val="nil"/>
              <w:bottom w:val="single" w:sz="4" w:space="0" w:color="auto"/>
              <w:right w:val="nil"/>
            </w:tcBorders>
            <w:shd w:val="clear" w:color="auto" w:fill="auto"/>
            <w:noWrap/>
            <w:vAlign w:val="bottom"/>
            <w:hideMark/>
          </w:tcPr>
          <w:p w14:paraId="71C5EA5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0.872</w:t>
            </w:r>
          </w:p>
        </w:tc>
        <w:tc>
          <w:tcPr>
            <w:tcW w:w="379" w:type="pct"/>
            <w:tcBorders>
              <w:top w:val="single" w:sz="4" w:space="0" w:color="auto"/>
              <w:left w:val="nil"/>
              <w:bottom w:val="single" w:sz="4" w:space="0" w:color="auto"/>
              <w:right w:val="nil"/>
            </w:tcBorders>
            <w:shd w:val="clear" w:color="auto" w:fill="auto"/>
            <w:noWrap/>
            <w:vAlign w:val="bottom"/>
            <w:hideMark/>
          </w:tcPr>
          <w:p w14:paraId="50BB80E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25.35</w:t>
            </w:r>
          </w:p>
        </w:tc>
        <w:tc>
          <w:tcPr>
            <w:tcW w:w="378" w:type="pct"/>
            <w:tcBorders>
              <w:top w:val="single" w:sz="4" w:space="0" w:color="auto"/>
              <w:left w:val="nil"/>
              <w:bottom w:val="single" w:sz="4" w:space="0" w:color="auto"/>
              <w:right w:val="nil"/>
            </w:tcBorders>
            <w:shd w:val="clear" w:color="auto" w:fill="auto"/>
            <w:noWrap/>
            <w:vAlign w:val="bottom"/>
            <w:hideMark/>
          </w:tcPr>
          <w:p w14:paraId="444C85B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76.93</w:t>
            </w:r>
          </w:p>
        </w:tc>
        <w:tc>
          <w:tcPr>
            <w:tcW w:w="381" w:type="pct"/>
            <w:tcBorders>
              <w:top w:val="single" w:sz="4" w:space="0" w:color="auto"/>
              <w:left w:val="nil"/>
              <w:bottom w:val="single" w:sz="4" w:space="0" w:color="auto"/>
              <w:right w:val="nil"/>
            </w:tcBorders>
            <w:shd w:val="clear" w:color="auto" w:fill="auto"/>
            <w:noWrap/>
            <w:vAlign w:val="bottom"/>
            <w:hideMark/>
          </w:tcPr>
          <w:p w14:paraId="46B2A3F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17.01</w:t>
            </w:r>
          </w:p>
        </w:tc>
        <w:tc>
          <w:tcPr>
            <w:tcW w:w="378" w:type="pct"/>
            <w:tcBorders>
              <w:top w:val="single" w:sz="4" w:space="0" w:color="auto"/>
              <w:left w:val="nil"/>
              <w:bottom w:val="single" w:sz="4" w:space="0" w:color="auto"/>
              <w:right w:val="nil"/>
            </w:tcBorders>
            <w:shd w:val="clear" w:color="auto" w:fill="auto"/>
            <w:noWrap/>
            <w:vAlign w:val="bottom"/>
            <w:hideMark/>
          </w:tcPr>
          <w:p w14:paraId="4E49C09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{"citationID":"ioYlYoNP","properties":{"formattedCitation":"[2]","plainCitation":"[2]","noteIndex":0},"citationItems":[{"id":657,"uris":["http://zotero.org/users/12909065/items/U45RYRRP"],"itemData":{"id":657,"type":"article-journal","abstract":"Comprehensive Summary The power conversion efficiencies (PCEs) of all-polymer solar cells (all-PSCs), usually processed from low-boiling-point and toxic solvents, have reached high values of 18%. However, poor miscibility and uncontrollable crystallinity in polymer blends lead to a notable drop in the PCEs when using green solvents, limiting the practical development of all-PSCs. Herein, a third component (guest) BTO was employed to optimize the miscibility and enhance the crystallinity of PM6/PY2Se-F host film processed from green solvent toluene (TL), which can effectively suppress the excessive aggregation of PY2Se-F and facilitate a nano-scale interpenetrating network morphology for exciton dissociation and charge transport. As a result, TL-processed all-polymer hosted solar cells (all-PHSCs) exhibited an impressive PCE of 17.01%. Moreover, the strong molecular interaction between the host and guest molecules also enhances the thermal stability of the devices. Our host-guest strategy provides a unique approach to developing high-efficiency and stable all-PHSCs processed from green solvents, paving the way for the industrial development of all-PHSCs.","container-title":"Chinese Journal of Chemistry","DOI":"10.1002/cjoc.202200770","ISSN":"1614-7065","issue":"9","language":"en","license":"© 2023 SIOC, CAS, Shanghai, &amp; WILEY-VCH GmbH.","note":"_eprint: https://onlinelibrary.wiley.com/doi/pdf/10.1002/cjoc.202200770","page":"1066-1074","source":"Wiley Online Library","title":"Host-Guest Strategy Enabling Nonhalogenated Solvent Processing for High-Performance All-Polymer Hosted Solar Cells†","volume":"41","author":[{"family":"Huang","given":"Yuting"},{"family":"Chen","given":"Haiyang"},{"family":"Fan","given":"Qunping"},{"family":"Chen","given":"Ziyuan"},{"family":"Ding","given":"Junyuan"},{"family":"Yang","given":"Heyi"},{"family":"Sun","given":"Zhe"},{"family":"Zhang","given":"Rui"},{"family":"Chen","given":"Weijie"},{"family":"Yang","given":"Changduk"},{"family":"Gao","given":"Feng"},{"family":"Li","given":"Yaowen"}],"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w:t>
            </w:r>
            <w:r w:rsidRPr="00B55044">
              <w:rPr>
                <w:rFonts w:eastAsia="Times New Roman"/>
                <w:color w:val="0000FF"/>
                <w:sz w:val="16"/>
                <w:szCs w:val="16"/>
              </w:rPr>
              <w:fldChar w:fldCharType="end"/>
            </w:r>
          </w:p>
        </w:tc>
      </w:tr>
      <w:tr w:rsidR="00D47774" w:rsidRPr="00B55044" w14:paraId="467E03E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BD9327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w:t>
            </w:r>
          </w:p>
        </w:tc>
        <w:tc>
          <w:tcPr>
            <w:tcW w:w="1525" w:type="pct"/>
            <w:tcBorders>
              <w:top w:val="single" w:sz="4" w:space="0" w:color="auto"/>
              <w:left w:val="nil"/>
              <w:bottom w:val="single" w:sz="4" w:space="0" w:color="auto"/>
              <w:right w:val="nil"/>
            </w:tcBorders>
            <w:shd w:val="clear" w:color="auto" w:fill="auto"/>
            <w:noWrap/>
            <w:vAlign w:val="bottom"/>
            <w:hideMark/>
          </w:tcPr>
          <w:p w14:paraId="567204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6F134F0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PM6:PY2Se-F:BTO</w:t>
            </w:r>
          </w:p>
        </w:tc>
        <w:tc>
          <w:tcPr>
            <w:tcW w:w="379" w:type="pct"/>
            <w:tcBorders>
              <w:top w:val="single" w:sz="4" w:space="0" w:color="auto"/>
              <w:left w:val="nil"/>
              <w:bottom w:val="single" w:sz="4" w:space="0" w:color="auto"/>
              <w:right w:val="nil"/>
            </w:tcBorders>
            <w:shd w:val="clear" w:color="auto" w:fill="auto"/>
            <w:noWrap/>
            <w:vAlign w:val="bottom"/>
            <w:hideMark/>
          </w:tcPr>
          <w:p w14:paraId="52CC931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0.873</w:t>
            </w:r>
          </w:p>
        </w:tc>
        <w:tc>
          <w:tcPr>
            <w:tcW w:w="379" w:type="pct"/>
            <w:tcBorders>
              <w:top w:val="single" w:sz="4" w:space="0" w:color="auto"/>
              <w:left w:val="nil"/>
              <w:bottom w:val="single" w:sz="4" w:space="0" w:color="auto"/>
              <w:right w:val="nil"/>
            </w:tcBorders>
            <w:shd w:val="clear" w:color="auto" w:fill="auto"/>
            <w:noWrap/>
            <w:vAlign w:val="bottom"/>
            <w:hideMark/>
          </w:tcPr>
          <w:p w14:paraId="0D34C7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25.02</w:t>
            </w:r>
          </w:p>
        </w:tc>
        <w:tc>
          <w:tcPr>
            <w:tcW w:w="378" w:type="pct"/>
            <w:tcBorders>
              <w:top w:val="single" w:sz="4" w:space="0" w:color="auto"/>
              <w:left w:val="nil"/>
              <w:bottom w:val="single" w:sz="4" w:space="0" w:color="auto"/>
              <w:right w:val="nil"/>
            </w:tcBorders>
            <w:shd w:val="clear" w:color="auto" w:fill="auto"/>
            <w:noWrap/>
            <w:vAlign w:val="bottom"/>
            <w:hideMark/>
          </w:tcPr>
          <w:p w14:paraId="3CCBFA6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72.22</w:t>
            </w:r>
          </w:p>
        </w:tc>
        <w:tc>
          <w:tcPr>
            <w:tcW w:w="381" w:type="pct"/>
            <w:tcBorders>
              <w:top w:val="single" w:sz="4" w:space="0" w:color="auto"/>
              <w:left w:val="nil"/>
              <w:bottom w:val="single" w:sz="4" w:space="0" w:color="auto"/>
              <w:right w:val="nil"/>
            </w:tcBorders>
            <w:shd w:val="clear" w:color="auto" w:fill="auto"/>
            <w:noWrap/>
            <w:vAlign w:val="bottom"/>
            <w:hideMark/>
          </w:tcPr>
          <w:p w14:paraId="7851FE5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15.77</w:t>
            </w:r>
          </w:p>
        </w:tc>
        <w:tc>
          <w:tcPr>
            <w:tcW w:w="378" w:type="pct"/>
            <w:tcBorders>
              <w:top w:val="single" w:sz="4" w:space="0" w:color="auto"/>
              <w:left w:val="nil"/>
              <w:bottom w:val="single" w:sz="4" w:space="0" w:color="auto"/>
              <w:right w:val="nil"/>
            </w:tcBorders>
            <w:shd w:val="clear" w:color="auto" w:fill="auto"/>
            <w:noWrap/>
            <w:vAlign w:val="bottom"/>
            <w:hideMark/>
          </w:tcPr>
          <w:p w14:paraId="7C96F69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{"citationID":"lRlHKugM","properties":{"formattedCitation":"[2]","plainCitation":"[2]","noteIndex":0},"citationItems":[{"id":657,"uris":["http://zotero.org/users/12909065/items/U45RYRRP"],"itemData":{"id":657,"type":"article-journal","abstract":"Comprehensive Summary The power conversion efficiencies (PCEs) of all-polymer solar cells (all-PSCs), usually processed from low-boiling-point and toxic solvents, have reached high values of 18%. However, poor miscibility and uncontrollable crystallinity in polymer blends lead to a notable drop in the PCEs when using green solvents, limiting the practical development of all-PSCs. Herein, a third component (guest) BTO was employed to optimize the miscibility and enhance the crystallinity of PM6/PY2Se-F host film processed from green solvent toluene (TL), which can effectively suppress the excessive aggregation of PY2Se-F and facilitate a nano-scale interpenetrating network morphology for exciton dissociation and charge transport. As a result, TL-processed all-polymer hosted solar cells (all-PHSCs) exhibited an impressive PCE of 17.01%. Moreover, the strong molecular interaction between the host and guest molecules also enhances the thermal stability of the devices. Our host-guest strategy provides a unique approach to developing high-efficiency and stable all-PHSCs processed from green solvents, paving the way for the industrial development of all-PHSCs.","container-title":"Chinese Journal of Chemistry","DOI":"10.1002/cjoc.202200770","ISSN":"1614-7065","issue":"9","language":"en","license":"© 2023 SIOC, CAS, Shanghai, &amp; WILEY-VCH GmbH.","note":"_eprint: https://onlinelibrary.wiley.com/doi/pdf/10.1002/cjoc.202200770","page":"1066-1074","source":"Wiley Online Library","title":"Host-Guest Strategy Enabling Nonhalogenated Solvent Processing for High-Performance All-Polymer Hosted Solar Cells†","volume":"41","author":[{"family":"Huang","given":"Yuting"},{"family":"Chen","given":"Haiyang"},{"family":"Fan","given":"Qunping"},{"family":"Chen","given":"Ziyuan"},{"family":"Ding","given":"Junyuan"},{"family":"Yang","given":"Heyi"},{"family":"Sun","given":"Zhe"},{"family":"Zhang","given":"Rui"},{"family":"Chen","given":"Weijie"},{"family":"Yang","given":"Changduk"},{"family":"Gao","given":"Feng"},{"family":"Li","given":"Yaowen"}],"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w:t>
            </w:r>
            <w:r w:rsidRPr="00B55044">
              <w:rPr>
                <w:rFonts w:eastAsia="Times New Roman"/>
                <w:color w:val="0000FF"/>
                <w:sz w:val="16"/>
                <w:szCs w:val="16"/>
              </w:rPr>
              <w:fldChar w:fldCharType="end"/>
            </w:r>
          </w:p>
        </w:tc>
      </w:tr>
      <w:tr w:rsidR="00D47774" w:rsidRPr="00B55044" w14:paraId="2202B37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B6865B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w:t>
            </w:r>
          </w:p>
        </w:tc>
        <w:tc>
          <w:tcPr>
            <w:tcW w:w="1525" w:type="pct"/>
            <w:tcBorders>
              <w:top w:val="single" w:sz="4" w:space="0" w:color="auto"/>
              <w:left w:val="nil"/>
              <w:bottom w:val="single" w:sz="4" w:space="0" w:color="auto"/>
              <w:right w:val="nil"/>
            </w:tcBorders>
            <w:shd w:val="clear" w:color="auto" w:fill="auto"/>
            <w:noWrap/>
            <w:vAlign w:val="bottom"/>
            <w:hideMark/>
          </w:tcPr>
          <w:p w14:paraId="1F12410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1A55314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PM6:PY2Se-F:BTO</w:t>
            </w:r>
          </w:p>
        </w:tc>
        <w:tc>
          <w:tcPr>
            <w:tcW w:w="379" w:type="pct"/>
            <w:tcBorders>
              <w:top w:val="single" w:sz="4" w:space="0" w:color="auto"/>
              <w:left w:val="nil"/>
              <w:bottom w:val="single" w:sz="4" w:space="0" w:color="auto"/>
              <w:right w:val="nil"/>
            </w:tcBorders>
            <w:shd w:val="clear" w:color="auto" w:fill="auto"/>
            <w:noWrap/>
            <w:vAlign w:val="bottom"/>
            <w:hideMark/>
          </w:tcPr>
          <w:p w14:paraId="514FA60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0.866</w:t>
            </w:r>
          </w:p>
        </w:tc>
        <w:tc>
          <w:tcPr>
            <w:tcW w:w="379" w:type="pct"/>
            <w:tcBorders>
              <w:top w:val="single" w:sz="4" w:space="0" w:color="auto"/>
              <w:left w:val="nil"/>
              <w:bottom w:val="single" w:sz="4" w:space="0" w:color="auto"/>
              <w:right w:val="nil"/>
            </w:tcBorders>
            <w:shd w:val="clear" w:color="auto" w:fill="auto"/>
            <w:noWrap/>
            <w:vAlign w:val="bottom"/>
            <w:hideMark/>
          </w:tcPr>
          <w:p w14:paraId="77A0B6A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25.48</w:t>
            </w:r>
          </w:p>
        </w:tc>
        <w:tc>
          <w:tcPr>
            <w:tcW w:w="378" w:type="pct"/>
            <w:tcBorders>
              <w:top w:val="single" w:sz="4" w:space="0" w:color="auto"/>
              <w:left w:val="nil"/>
              <w:bottom w:val="single" w:sz="4" w:space="0" w:color="auto"/>
              <w:right w:val="nil"/>
            </w:tcBorders>
            <w:shd w:val="clear" w:color="auto" w:fill="auto"/>
            <w:noWrap/>
            <w:vAlign w:val="bottom"/>
            <w:hideMark/>
          </w:tcPr>
          <w:p w14:paraId="6B8BFE4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w:t>
            </w:r>
          </w:p>
        </w:tc>
        <w:tc>
          <w:tcPr>
            <w:tcW w:w="381" w:type="pct"/>
            <w:tcBorders>
              <w:top w:val="single" w:sz="4" w:space="0" w:color="auto"/>
              <w:left w:val="nil"/>
              <w:bottom w:val="single" w:sz="4" w:space="0" w:color="auto"/>
              <w:right w:val="nil"/>
            </w:tcBorders>
            <w:shd w:val="clear" w:color="auto" w:fill="auto"/>
            <w:noWrap/>
            <w:vAlign w:val="bottom"/>
            <w:hideMark/>
          </w:tcPr>
          <w:p w14:paraId="74A6F3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16.1</w:t>
            </w:r>
          </w:p>
        </w:tc>
        <w:tc>
          <w:tcPr>
            <w:tcW w:w="378" w:type="pct"/>
            <w:tcBorders>
              <w:top w:val="single" w:sz="4" w:space="0" w:color="auto"/>
              <w:left w:val="nil"/>
              <w:bottom w:val="single" w:sz="4" w:space="0" w:color="auto"/>
              <w:right w:val="nil"/>
            </w:tcBorders>
            <w:shd w:val="clear" w:color="auto" w:fill="auto"/>
            <w:noWrap/>
            <w:vAlign w:val="bottom"/>
            <w:hideMark/>
          </w:tcPr>
          <w:p w14:paraId="43D01D5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{"citationID":"gBo1MgPb","properties":{"formattedCitation":"[2]","plainCitation":"[2]","noteIndex":0},"citationItems":[{"id":657,"uris":["http://zotero.org/users/12909065/items/U45RYRRP"],"itemData":{"id":657,"type":"article-journal","abstract":"Comprehensive Summary The power conversion efficiencies (PCEs) of all-polymer solar cells (all-PSCs), usually processed from low-boiling-point and toxic solvents, have reached high values of 18%. However, poor miscibility and uncontrollable crystallinity in polymer blends lead to a notable drop in the PCEs when using green solvents, limiting the practical development of all-PSCs. Herein, a third component (guest) BTO was employed to optimize the miscibility and enhance the crystallinity of PM6/PY2Se-F host film processed from green solvent toluene (TL), which can effectively suppress the excessive aggregation of PY2Se-F and facilitate a nano-scale interpenetrating network morphology for exciton dissociation and charge transport. As a result, TL-processed all-polymer hosted solar cells (all-PHSCs) exhibited an impressive PCE of 17.01%. Moreover, the strong molecular interaction between the host and guest molecules also enhances the thermal stability of the devices. Our host-guest strategy provides a unique approach to developing high-efficiency and stable all-PHSCs processed from green solvents, paving the way for the industrial development of all-PHSCs.","container-title":"Chinese Journal of Chemistry","DOI":"10.1002/cjoc.202200770","ISSN":"1614-7065","issue":"9","language":"en","license":"© 2023 SIOC, CAS, Shanghai, &amp; WILEY-VCH GmbH.","note":"_eprint: https://onlinelibrary.wiley.com/doi/pdf/10.1002/cjoc.202200770","page":"1066-1074","source":"Wiley Online Library","title":"Host-Guest Strategy Enabling Nonhalogenated Solvent Processing for High-Performance All-Polymer Hosted Solar Cells†","volume":"41","author":[{"family":"Huang","given":"Yuting"},{"family":"Chen","given":"Haiyang"},{"family":"Fan","given":"Qunping"},{"family":"Chen","given":"Ziyuan"},{"family":"Ding","given":"Junyuan"},{"family":"Yang","given":"Heyi"},{"family":"Sun","given":"Zhe"},{"family":"Zhang","given":"Rui"},{"family":"Chen","given":"Weijie"},{"family":"Yang","given":"Changduk"},{"family":"Gao","given":"Feng"},{"family":"Li","given":"Yaowen"}],"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w:t>
            </w:r>
            <w:r w:rsidRPr="00B55044">
              <w:rPr>
                <w:rFonts w:eastAsia="Times New Roman"/>
                <w:color w:val="0000FF"/>
                <w:sz w:val="16"/>
                <w:szCs w:val="16"/>
              </w:rPr>
              <w:fldChar w:fldCharType="end"/>
            </w:r>
          </w:p>
        </w:tc>
      </w:tr>
      <w:tr w:rsidR="00D47774" w:rsidRPr="00B55044" w14:paraId="64082B0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CAC287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w:t>
            </w:r>
          </w:p>
        </w:tc>
        <w:tc>
          <w:tcPr>
            <w:tcW w:w="1525" w:type="pct"/>
            <w:tcBorders>
              <w:top w:val="single" w:sz="4" w:space="0" w:color="auto"/>
              <w:left w:val="nil"/>
              <w:bottom w:val="single" w:sz="4" w:space="0" w:color="auto"/>
              <w:right w:val="nil"/>
            </w:tcBorders>
            <w:shd w:val="clear" w:color="auto" w:fill="auto"/>
            <w:noWrap/>
            <w:vAlign w:val="bottom"/>
            <w:hideMark/>
          </w:tcPr>
          <w:p w14:paraId="5399FCB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55816A0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60CE3F9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0.845</w:t>
            </w:r>
          </w:p>
        </w:tc>
        <w:tc>
          <w:tcPr>
            <w:tcW w:w="379" w:type="pct"/>
            <w:tcBorders>
              <w:top w:val="single" w:sz="4" w:space="0" w:color="auto"/>
              <w:left w:val="nil"/>
              <w:bottom w:val="single" w:sz="4" w:space="0" w:color="auto"/>
              <w:right w:val="nil"/>
            </w:tcBorders>
            <w:shd w:val="clear" w:color="auto" w:fill="auto"/>
            <w:noWrap/>
            <w:vAlign w:val="bottom"/>
            <w:hideMark/>
          </w:tcPr>
          <w:p w14:paraId="6369D5D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27.2</w:t>
            </w:r>
          </w:p>
        </w:tc>
        <w:tc>
          <w:tcPr>
            <w:tcW w:w="378" w:type="pct"/>
            <w:tcBorders>
              <w:top w:val="single" w:sz="4" w:space="0" w:color="auto"/>
              <w:left w:val="nil"/>
              <w:bottom w:val="single" w:sz="4" w:space="0" w:color="auto"/>
              <w:right w:val="nil"/>
            </w:tcBorders>
            <w:shd w:val="clear" w:color="auto" w:fill="auto"/>
            <w:noWrap/>
            <w:vAlign w:val="bottom"/>
            <w:hideMark/>
          </w:tcPr>
          <w:p w14:paraId="6E3DD1C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76.5</w:t>
            </w:r>
          </w:p>
        </w:tc>
        <w:tc>
          <w:tcPr>
            <w:tcW w:w="381" w:type="pct"/>
            <w:tcBorders>
              <w:top w:val="single" w:sz="4" w:space="0" w:color="auto"/>
              <w:left w:val="nil"/>
              <w:bottom w:val="single" w:sz="4" w:space="0" w:color="auto"/>
              <w:right w:val="nil"/>
            </w:tcBorders>
            <w:shd w:val="clear" w:color="auto" w:fill="auto"/>
            <w:noWrap/>
            <w:vAlign w:val="bottom"/>
            <w:hideMark/>
          </w:tcPr>
          <w:p w14:paraId="54A69BD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17.6</w:t>
            </w:r>
          </w:p>
        </w:tc>
        <w:tc>
          <w:tcPr>
            <w:tcW w:w="378" w:type="pct"/>
            <w:tcBorders>
              <w:top w:val="single" w:sz="4" w:space="0" w:color="auto"/>
              <w:left w:val="nil"/>
              <w:bottom w:val="single" w:sz="4" w:space="0" w:color="auto"/>
              <w:right w:val="nil"/>
            </w:tcBorders>
            <w:shd w:val="clear" w:color="auto" w:fill="auto"/>
            <w:noWrap/>
            <w:vAlign w:val="bottom"/>
            <w:hideMark/>
          </w:tcPr>
          <w:p w14:paraId="16B6207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{"citationID":"FGYmEkZ0","properties":{"formattedCitation":"[3]","plainCitation":"[3]","noteIndex":0},"citationItems":[{"id":656,"uris":["http://zotero.org/users/12909065/items/D5K8YTI3"],"itemData":{"id":656,"type":"article-journal","abstract":"Quaternary approach has been receiving more and more attention due to its effectiveness in improving solar cell performance, while synthesis/selection of the fourth component is yet a key issue. Herein, we report a chlorinated phthalimide based donor polymer (namely PhI-Cl) having an ultra-wide bandgap (2.10 eV) and a deep HOMO (−5.58 eV) level. Addition of PhI-Cl as the third component of PM6:Y6 and the fourth of PM6:Y6:PC71BM increases both hole and electron mobilities and gives rise to more balanced charge carriers mobilities. Both the short-circuit current-density and fill-factor are increased and open-circuit voltage is well maintained, delivering 17.0% and 18.1% efficiencies, respectively. These results demonstrate that chlorination on the side thiophene of phthalimide-based donor polymer is a way to make deep HOMO and ultra-wide bandgap donor polymer guest used for highly efficient ternary and quaternary strategies. © 2023","archive":"Scopus","container-title":"Chinese Chemical Letters","DOI":"10.1016/j.cclet.2022.04.034","ISSN":"1001-8417","issue":"4","language":"English","source":"Scopus","title":"Chlorinated phthalimide polymer donor as ultra-wide bandgap and deep HOMO guest for achieving highly efficient polymer solar cells","volume":"34","author":[{"family":"Zhang","given":"W."},{"family":"Huang","given":"J."},{"family":"Lv","given":"X."},{"family":"Zhang","given":"M."},{"family":"Liu","given":"W."},{"family":"Xu","given":"T."},{"family":"Ning","given":"J."},{"family":"Hexig","given":"A."},{"family":"Liu","given":"F."},{"family":"Xu","given":"A."},{"family":"Zhan","given":"C."}],"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w:t>
            </w:r>
            <w:r w:rsidRPr="00B55044">
              <w:rPr>
                <w:rFonts w:eastAsia="Times New Roman"/>
                <w:color w:val="0000FF"/>
                <w:sz w:val="16"/>
                <w:szCs w:val="16"/>
              </w:rPr>
              <w:fldChar w:fldCharType="end"/>
            </w:r>
          </w:p>
        </w:tc>
      </w:tr>
      <w:tr w:rsidR="00D47774" w:rsidRPr="00B55044" w14:paraId="4A6A6FC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867956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5</w:t>
            </w:r>
          </w:p>
        </w:tc>
        <w:tc>
          <w:tcPr>
            <w:tcW w:w="1525" w:type="pct"/>
            <w:tcBorders>
              <w:top w:val="single" w:sz="4" w:space="0" w:color="auto"/>
              <w:left w:val="nil"/>
              <w:bottom w:val="single" w:sz="4" w:space="0" w:color="auto"/>
              <w:right w:val="nil"/>
            </w:tcBorders>
            <w:shd w:val="clear" w:color="auto" w:fill="auto"/>
            <w:noWrap/>
            <w:vAlign w:val="bottom"/>
            <w:hideMark/>
          </w:tcPr>
          <w:p w14:paraId="28DBF69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1990256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PM6:Y6:PhI-Cl</w:t>
            </w:r>
          </w:p>
        </w:tc>
        <w:tc>
          <w:tcPr>
            <w:tcW w:w="379" w:type="pct"/>
            <w:tcBorders>
              <w:top w:val="single" w:sz="4" w:space="0" w:color="auto"/>
              <w:left w:val="nil"/>
              <w:bottom w:val="single" w:sz="4" w:space="0" w:color="auto"/>
              <w:right w:val="nil"/>
            </w:tcBorders>
            <w:shd w:val="clear" w:color="auto" w:fill="auto"/>
            <w:noWrap/>
            <w:vAlign w:val="bottom"/>
            <w:hideMark/>
          </w:tcPr>
          <w:p w14:paraId="49F871E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5B36AAA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w:t>
            </w:r>
          </w:p>
        </w:tc>
        <w:tc>
          <w:tcPr>
            <w:tcW w:w="378" w:type="pct"/>
            <w:tcBorders>
              <w:top w:val="single" w:sz="4" w:space="0" w:color="auto"/>
              <w:left w:val="nil"/>
              <w:bottom w:val="single" w:sz="4" w:space="0" w:color="auto"/>
              <w:right w:val="nil"/>
            </w:tcBorders>
            <w:shd w:val="clear" w:color="auto" w:fill="auto"/>
            <w:noWrap/>
            <w:vAlign w:val="bottom"/>
            <w:hideMark/>
          </w:tcPr>
          <w:p w14:paraId="5B3E56B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75.2</w:t>
            </w:r>
          </w:p>
        </w:tc>
        <w:tc>
          <w:tcPr>
            <w:tcW w:w="381" w:type="pct"/>
            <w:tcBorders>
              <w:top w:val="single" w:sz="4" w:space="0" w:color="auto"/>
              <w:left w:val="nil"/>
              <w:bottom w:val="single" w:sz="4" w:space="0" w:color="auto"/>
              <w:right w:val="nil"/>
            </w:tcBorders>
            <w:shd w:val="clear" w:color="auto" w:fill="auto"/>
            <w:noWrap/>
            <w:vAlign w:val="bottom"/>
            <w:hideMark/>
          </w:tcPr>
          <w:p w14:paraId="01914FE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w:t>
            </w:r>
          </w:p>
        </w:tc>
        <w:tc>
          <w:tcPr>
            <w:tcW w:w="378" w:type="pct"/>
            <w:tcBorders>
              <w:top w:val="single" w:sz="4" w:space="0" w:color="auto"/>
              <w:left w:val="nil"/>
              <w:bottom w:val="single" w:sz="4" w:space="0" w:color="auto"/>
              <w:right w:val="nil"/>
            </w:tcBorders>
            <w:shd w:val="clear" w:color="auto" w:fill="auto"/>
            <w:noWrap/>
            <w:vAlign w:val="bottom"/>
            <w:hideMark/>
          </w:tcPr>
          <w:p w14:paraId="3EB1E9F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{"citationID":"Tm18iwgd","properties":{"formattedCitation":"[3]","plainCitation":"[3]","noteIndex":0},"citationItems":[{"id":656,"uris":["http://zotero.org/users/12909065/items/D5K8YTI3"],"itemData":{"id":656,"type":"article-journal","abstract":"Quaternary approach has been receiving more and more attention due to its effectiveness in improving solar cell performance, while synthesis/selection of the fourth component is yet a key issue. Herein, we report a chlorinated phthalimide based donor polymer (namely PhI-Cl) having an ultra-wide bandgap (2.10 eV) and a deep HOMO (−5.58 eV) level. Addition of PhI-Cl as the third component of PM6:Y6 and the fourth of PM6:Y6:PC71BM increases both hole and electron mobilities and gives rise to more balanced charge carriers mobilities. Both the short-circuit current-density and fill-factor are increased and open-circuit voltage is well maintained, delivering 17.0% and 18.1% efficiencies, respectively. These results demonstrate that chlorination on the side thiophene of phthalimide-based donor polymer is a way to make deep HOMO and ultra-wide bandgap donor polymer guest used for highly efficient ternary and quaternary strategies. © 2023","archive":"Scopus","container-title":"Chinese Chemical Letters","DOI":"10.1016/j.cclet.2022.04.034","ISSN":"1001-8417","issue":"4","language":"English","source":"Scopus","title":"Chlorinated phthalimide polymer donor as ultra-wide bandgap and deep HOMO guest for achieving highly efficient polymer solar cells","volume":"34","author":[{"family":"Zhang","given":"W."},{"family":"Huang","given":"J."},{"family":"Lv","given":"X."},{"family":"Zhang","given":"M."},{"family":"Liu","given":"W."},{"family":"Xu","given":"T."},{"family":"Ning","given":"J."},{"family":"Hexig","given":"A."},{"family":"Liu","given":"F."},{"family":"Xu","given":"A."},{"family":"Zhan","given":"C."}],"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w:t>
            </w:r>
            <w:r w:rsidRPr="00B55044">
              <w:rPr>
                <w:rFonts w:eastAsia="Times New Roman"/>
                <w:color w:val="0000FF"/>
                <w:sz w:val="16"/>
                <w:szCs w:val="16"/>
              </w:rPr>
              <w:fldChar w:fldCharType="end"/>
            </w:r>
          </w:p>
        </w:tc>
      </w:tr>
      <w:tr w:rsidR="00D47774" w:rsidRPr="00B55044" w14:paraId="3CBFE62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04F9EB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6</w:t>
            </w:r>
          </w:p>
        </w:tc>
        <w:tc>
          <w:tcPr>
            <w:tcW w:w="1525" w:type="pct"/>
            <w:tcBorders>
              <w:top w:val="single" w:sz="4" w:space="0" w:color="auto"/>
              <w:left w:val="nil"/>
              <w:bottom w:val="single" w:sz="4" w:space="0" w:color="auto"/>
              <w:right w:val="nil"/>
            </w:tcBorders>
            <w:shd w:val="clear" w:color="auto" w:fill="auto"/>
            <w:noWrap/>
            <w:vAlign w:val="bottom"/>
            <w:hideMark/>
          </w:tcPr>
          <w:p w14:paraId="3989398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607203A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PM6:CH1007:YN-Cl</w:t>
            </w:r>
          </w:p>
        </w:tc>
        <w:tc>
          <w:tcPr>
            <w:tcW w:w="379" w:type="pct"/>
            <w:tcBorders>
              <w:top w:val="single" w:sz="4" w:space="0" w:color="auto"/>
              <w:left w:val="nil"/>
              <w:bottom w:val="single" w:sz="4" w:space="0" w:color="auto"/>
              <w:right w:val="nil"/>
            </w:tcBorders>
            <w:shd w:val="clear" w:color="auto" w:fill="auto"/>
            <w:noWrap/>
            <w:vAlign w:val="bottom"/>
            <w:hideMark/>
          </w:tcPr>
          <w:p w14:paraId="1104172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0.847</w:t>
            </w:r>
          </w:p>
        </w:tc>
        <w:tc>
          <w:tcPr>
            <w:tcW w:w="379" w:type="pct"/>
            <w:tcBorders>
              <w:top w:val="single" w:sz="4" w:space="0" w:color="auto"/>
              <w:left w:val="nil"/>
              <w:bottom w:val="single" w:sz="4" w:space="0" w:color="auto"/>
              <w:right w:val="nil"/>
            </w:tcBorders>
            <w:shd w:val="clear" w:color="auto" w:fill="auto"/>
            <w:noWrap/>
            <w:vAlign w:val="bottom"/>
            <w:hideMark/>
          </w:tcPr>
          <w:p w14:paraId="64F937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27.77</w:t>
            </w:r>
          </w:p>
        </w:tc>
        <w:tc>
          <w:tcPr>
            <w:tcW w:w="378" w:type="pct"/>
            <w:tcBorders>
              <w:top w:val="single" w:sz="4" w:space="0" w:color="auto"/>
              <w:left w:val="nil"/>
              <w:bottom w:val="single" w:sz="4" w:space="0" w:color="auto"/>
              <w:right w:val="nil"/>
            </w:tcBorders>
            <w:shd w:val="clear" w:color="auto" w:fill="auto"/>
            <w:noWrap/>
            <w:vAlign w:val="bottom"/>
            <w:hideMark/>
          </w:tcPr>
          <w:p w14:paraId="47CFCE3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70.2</w:t>
            </w:r>
          </w:p>
        </w:tc>
        <w:tc>
          <w:tcPr>
            <w:tcW w:w="381" w:type="pct"/>
            <w:tcBorders>
              <w:top w:val="single" w:sz="4" w:space="0" w:color="auto"/>
              <w:left w:val="nil"/>
              <w:bottom w:val="single" w:sz="4" w:space="0" w:color="auto"/>
              <w:right w:val="nil"/>
            </w:tcBorders>
            <w:shd w:val="clear" w:color="auto" w:fill="auto"/>
            <w:noWrap/>
            <w:vAlign w:val="bottom"/>
            <w:hideMark/>
          </w:tcPr>
          <w:p w14:paraId="0A265B9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16.49</w:t>
            </w:r>
          </w:p>
        </w:tc>
        <w:tc>
          <w:tcPr>
            <w:tcW w:w="378" w:type="pct"/>
            <w:tcBorders>
              <w:top w:val="single" w:sz="4" w:space="0" w:color="auto"/>
              <w:left w:val="nil"/>
              <w:bottom w:val="single" w:sz="4" w:space="0" w:color="auto"/>
              <w:right w:val="nil"/>
            </w:tcBorders>
            <w:shd w:val="clear" w:color="auto" w:fill="auto"/>
            <w:noWrap/>
            <w:vAlign w:val="bottom"/>
            <w:hideMark/>
          </w:tcPr>
          <w:p w14:paraId="7C935F6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{"citationID":"DYcy6ZQb","properties":{"formattedCitation":"[4]","plainCitation":"[4]","noteIndex":0},"citationItems":[{"id":655,"uris":["http://zotero.org/users/12909065/items/G9VLKH3J"],"itemData":{"id":655,"type":"article-journal","abstract":"Organic solar cells (OSCs) processed without halogenated solvents and complex treatments are essential for future commercialization. Herein, we report three novel small molecule acceptors (NFAs) consisting of a Y6-like core but with π-extended naphthalene with progressively more chlorinated end-capping groups and a longer branched chain on the Nitrogen atom. These NFAs exhibit good solubilities in non-chlorinated organic solvents, broad optical absorptions, close π-π stacking distances (3.63–3.84 Å), and high electron mobilities (</w:instrText>
            </w:r>
            <w:r w:rsidR="001F36B1" w:rsidRPr="00B55044">
              <w:rPr>
                <w:rFonts w:ascii="Cambria Math" w:eastAsia="Times New Roman" w:hAnsi="Cambria Math" w:cs="Cambria Math"/>
                <w:color w:val="0000FF"/>
                <w:sz w:val="16"/>
                <w:szCs w:val="16"/>
              </w:rPr>
              <w:instrText>∼</w:instrText>
            </w:r>
            <w:r w:rsidR="001F36B1" w:rsidRPr="00B55044">
              <w:rPr>
                <w:rFonts w:eastAsia="Times New Roman"/>
                <w:color w:val="0000FF"/>
                <w:sz w:val="16"/>
                <w:szCs w:val="16"/>
              </w:rPr>
              <w:instrText xml:space="preserve">10−3 cm2 V−1 s−1). The o-xylene processed and as-cast binary devices using PM6 as the donor polymer exhibit a PCE increasing upon progressive chlorination of the naphthalene end-capping group from 8.93% for YN to 14.38% for YN-Cl to 15.00% for YN-2Cl. Furthermore similarly processed ternary OSCs were fabricated by employing YN-Cl and YN-2Cl as the third component of PM6:CH1007 blends (PCE = 15.75%). Compared to all binary devices, the ternary PM6:CH1007:YN-Cl (1:1:0.2) and PM6:CH1007:YN-2Cl (1:1:0.2) cells exhibit significantly improved PCEs of 16.49% and 15.88%, respectively, which are among the highest values reported to date for non-halogenated solvent processed OSCs without using any additives and blend post-deposition treatments. © 2022 Science Press and Dalian Institute of Chemical Physics, Chinese Academy of Sciences","archive":"Scopus","container-title":"Journal of Energy Chemistry","DOI":"10.1016/j.jechem.2022.12.002","ISSN":"2095-4956","language":"English","page":"321-329","source":"Scopus","title":"π-Extension and chlorination of non-fullerene acceptors enable more readily processable and sustainable high-performance organic solar cells","volume":"79","author":[{"family":"Su","given":"N."},{"family":"Chen","given":"J."},{"family":"Peng","given":"M."},{"family":"Li","given":"G."},{"family":"Pankow","given":"R.M."},{"family":"Zheng","given":"D."},{"family":"Ding","given":"J."},{"family":"Facchetti","given":"A."},{"family":"Marks","given":"T.J."}],"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[4]</w:t>
            </w:r>
            <w:r w:rsidRPr="00B55044">
              <w:rPr>
                <w:rFonts w:eastAsia="Times New Roman"/>
                <w:color w:val="0000FF"/>
                <w:sz w:val="16"/>
                <w:szCs w:val="16"/>
              </w:rPr>
              <w:fldChar w:fldCharType="end"/>
            </w:r>
          </w:p>
        </w:tc>
      </w:tr>
      <w:tr w:rsidR="00D47774" w:rsidRPr="00B55044" w14:paraId="72D1833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8EE64F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7</w:t>
            </w:r>
          </w:p>
        </w:tc>
        <w:tc>
          <w:tcPr>
            <w:tcW w:w="1525" w:type="pct"/>
            <w:tcBorders>
              <w:top w:val="single" w:sz="4" w:space="0" w:color="auto"/>
              <w:left w:val="nil"/>
              <w:bottom w:val="single" w:sz="4" w:space="0" w:color="auto"/>
              <w:right w:val="nil"/>
            </w:tcBorders>
            <w:shd w:val="clear" w:color="auto" w:fill="auto"/>
            <w:noWrap/>
            <w:vAlign w:val="bottom"/>
            <w:hideMark/>
          </w:tcPr>
          <w:p w14:paraId="5CA4A4B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335098F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PM6:CH1007:YN-2Cl</w:t>
            </w:r>
          </w:p>
        </w:tc>
        <w:tc>
          <w:tcPr>
            <w:tcW w:w="379" w:type="pct"/>
            <w:tcBorders>
              <w:top w:val="single" w:sz="4" w:space="0" w:color="auto"/>
              <w:left w:val="nil"/>
              <w:bottom w:val="single" w:sz="4" w:space="0" w:color="auto"/>
              <w:right w:val="nil"/>
            </w:tcBorders>
            <w:shd w:val="clear" w:color="auto" w:fill="auto"/>
            <w:noWrap/>
            <w:vAlign w:val="bottom"/>
            <w:hideMark/>
          </w:tcPr>
          <w:p w14:paraId="3608047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0.843</w:t>
            </w:r>
          </w:p>
        </w:tc>
        <w:tc>
          <w:tcPr>
            <w:tcW w:w="379" w:type="pct"/>
            <w:tcBorders>
              <w:top w:val="single" w:sz="4" w:space="0" w:color="auto"/>
              <w:left w:val="nil"/>
              <w:bottom w:val="single" w:sz="4" w:space="0" w:color="auto"/>
              <w:right w:val="nil"/>
            </w:tcBorders>
            <w:shd w:val="clear" w:color="auto" w:fill="auto"/>
            <w:noWrap/>
            <w:vAlign w:val="bottom"/>
            <w:hideMark/>
          </w:tcPr>
          <w:p w14:paraId="6C9FCB1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27.34</w:t>
            </w:r>
          </w:p>
        </w:tc>
        <w:tc>
          <w:tcPr>
            <w:tcW w:w="378" w:type="pct"/>
            <w:tcBorders>
              <w:top w:val="single" w:sz="4" w:space="0" w:color="auto"/>
              <w:left w:val="nil"/>
              <w:bottom w:val="single" w:sz="4" w:space="0" w:color="auto"/>
              <w:right w:val="nil"/>
            </w:tcBorders>
            <w:shd w:val="clear" w:color="auto" w:fill="auto"/>
            <w:noWrap/>
            <w:vAlign w:val="bottom"/>
            <w:hideMark/>
          </w:tcPr>
          <w:p w14:paraId="493F930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68.9</w:t>
            </w:r>
          </w:p>
        </w:tc>
        <w:tc>
          <w:tcPr>
            <w:tcW w:w="381" w:type="pct"/>
            <w:tcBorders>
              <w:top w:val="single" w:sz="4" w:space="0" w:color="auto"/>
              <w:left w:val="nil"/>
              <w:bottom w:val="single" w:sz="4" w:space="0" w:color="auto"/>
              <w:right w:val="nil"/>
            </w:tcBorders>
            <w:shd w:val="clear" w:color="auto" w:fill="auto"/>
            <w:noWrap/>
            <w:vAlign w:val="bottom"/>
            <w:hideMark/>
          </w:tcPr>
          <w:p w14:paraId="26F8C45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15.88</w:t>
            </w:r>
          </w:p>
        </w:tc>
        <w:tc>
          <w:tcPr>
            <w:tcW w:w="378" w:type="pct"/>
            <w:tcBorders>
              <w:top w:val="single" w:sz="4" w:space="0" w:color="auto"/>
              <w:left w:val="nil"/>
              <w:bottom w:val="single" w:sz="4" w:space="0" w:color="auto"/>
              <w:right w:val="nil"/>
            </w:tcBorders>
            <w:shd w:val="clear" w:color="auto" w:fill="auto"/>
            <w:noWrap/>
            <w:vAlign w:val="bottom"/>
            <w:hideMark/>
          </w:tcPr>
          <w:p w14:paraId="30922CE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{"citationID":"Yx69oOnA","properties":{"formattedCitation":"[4]","plainCitation":"[4]","noteIndex":0},"citationItems":[{"id":655,"uris":["http://zotero.org/users/12909065/items/G9VLKH3J"],"itemData":{"id":655,"type":"article-journal","abstract":"Organic solar cells (OSCs) processed without halogenated solvents and complex treatments are essential for future commercialization. Herein, we report three novel small molecule acceptors (NFAs) consisting of a Y6-like core but with π-extended naphthalene with progressively more chlorinated end-capping groups and a longer branched chain on the Nitrogen atom. These NFAs exhibit good solubilities in non-chlorinated organic solvents, broad optical absorptions, close π-π stacking distances (3.63–3.84 Å), and high electron mobilities (</w:instrText>
            </w:r>
            <w:r w:rsidR="001F36B1" w:rsidRPr="00B55044">
              <w:rPr>
                <w:rFonts w:ascii="Cambria Math" w:eastAsia="Times New Roman" w:hAnsi="Cambria Math" w:cs="Cambria Math"/>
                <w:color w:val="0000FF"/>
                <w:sz w:val="16"/>
                <w:szCs w:val="16"/>
              </w:rPr>
              <w:instrText>∼</w:instrText>
            </w:r>
            <w:r w:rsidR="001F36B1" w:rsidRPr="00B55044">
              <w:rPr>
                <w:rFonts w:eastAsia="Times New Roman"/>
                <w:color w:val="0000FF"/>
                <w:sz w:val="16"/>
                <w:szCs w:val="16"/>
              </w:rPr>
              <w:instrText xml:space="preserve">10−3 cm2 V−1 s−1). The o-xylene processed and as-cast binary devices using PM6 as the donor polymer exhibit a PCE increasing upon progressive chlorination of the naphthalene end-capping group from 8.93% for YN to 14.38% for YN-Cl to 15.00% for YN-2Cl. Furthermore similarly processed ternary OSCs were fabricated by employing YN-Cl and YN-2Cl as the third component of PM6:CH1007 blends (PCE = 15.75%). Compared to all binary devices, the ternary PM6:CH1007:YN-Cl (1:1:0.2) and PM6:CH1007:YN-2Cl (1:1:0.2) cells exhibit significantly improved PCEs of 16.49% and 15.88%, respectively, which are among the highest values reported to date for non-halogenated solvent processed OSCs without using any additives and blend post-deposition treatments. © 2022 Science Press and Dalian Institute of Chemical Physics, Chinese Academy of Sciences","archive":"Scopus","container-title":"Journal of Energy Chemistry","DOI":"10.1016/j.jechem.2022.12.002","ISSN":"2095-4956","language":"English","page":"321-329","source":"Scopus","title":"π-Extension and chlorination of non-fullerene acceptors enable more readily processable and sustainable high-performance organic solar cells","volume":"79","author":[{"family":"Su","given":"N."},{"family":"Chen","given":"J."},{"family":"Peng","given":"M."},{"family":"Li","given":"G."},{"family":"Pankow","given":"R.M."},{"family":"Zheng","given":"D."},{"family":"Ding","given":"J."},{"family":"Facchetti","given":"A."},{"family":"Marks","given":"T.J."}],"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[4]</w:t>
            </w:r>
            <w:r w:rsidRPr="00B55044">
              <w:rPr>
                <w:rFonts w:eastAsia="Times New Roman"/>
                <w:color w:val="0000FF"/>
                <w:sz w:val="16"/>
                <w:szCs w:val="16"/>
              </w:rPr>
              <w:fldChar w:fldCharType="end"/>
            </w:r>
          </w:p>
        </w:tc>
      </w:tr>
      <w:tr w:rsidR="00D47774" w:rsidRPr="00B55044" w14:paraId="04EFC8C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AA2D08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8</w:t>
            </w:r>
          </w:p>
        </w:tc>
        <w:tc>
          <w:tcPr>
            <w:tcW w:w="1525" w:type="pct"/>
            <w:tcBorders>
              <w:top w:val="single" w:sz="4" w:space="0" w:color="auto"/>
              <w:left w:val="nil"/>
              <w:bottom w:val="single" w:sz="4" w:space="0" w:color="auto"/>
              <w:right w:val="nil"/>
            </w:tcBorders>
            <w:shd w:val="clear" w:color="auto" w:fill="auto"/>
            <w:noWrap/>
            <w:vAlign w:val="bottom"/>
            <w:hideMark/>
          </w:tcPr>
          <w:p w14:paraId="0325DFA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5F02982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PM6:L8-BO:BTP-EDOT-4F</w:t>
            </w:r>
          </w:p>
        </w:tc>
        <w:tc>
          <w:tcPr>
            <w:tcW w:w="379" w:type="pct"/>
            <w:tcBorders>
              <w:top w:val="single" w:sz="4" w:space="0" w:color="auto"/>
              <w:left w:val="nil"/>
              <w:bottom w:val="single" w:sz="4" w:space="0" w:color="auto"/>
              <w:right w:val="nil"/>
            </w:tcBorders>
            <w:shd w:val="clear" w:color="auto" w:fill="auto"/>
            <w:noWrap/>
            <w:vAlign w:val="bottom"/>
            <w:hideMark/>
          </w:tcPr>
          <w:p w14:paraId="01942C1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0.888</w:t>
            </w:r>
          </w:p>
        </w:tc>
        <w:tc>
          <w:tcPr>
            <w:tcW w:w="379" w:type="pct"/>
            <w:tcBorders>
              <w:top w:val="single" w:sz="4" w:space="0" w:color="auto"/>
              <w:left w:val="nil"/>
              <w:bottom w:val="single" w:sz="4" w:space="0" w:color="auto"/>
              <w:right w:val="nil"/>
            </w:tcBorders>
            <w:shd w:val="clear" w:color="auto" w:fill="auto"/>
            <w:noWrap/>
            <w:vAlign w:val="bottom"/>
            <w:hideMark/>
          </w:tcPr>
          <w:p w14:paraId="2C6C855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26.55</w:t>
            </w:r>
          </w:p>
        </w:tc>
        <w:tc>
          <w:tcPr>
            <w:tcW w:w="378" w:type="pct"/>
            <w:tcBorders>
              <w:top w:val="single" w:sz="4" w:space="0" w:color="auto"/>
              <w:left w:val="nil"/>
              <w:bottom w:val="single" w:sz="4" w:space="0" w:color="auto"/>
              <w:right w:val="nil"/>
            </w:tcBorders>
            <w:shd w:val="clear" w:color="auto" w:fill="auto"/>
            <w:noWrap/>
            <w:vAlign w:val="bottom"/>
            <w:hideMark/>
          </w:tcPr>
          <w:p w14:paraId="5A440E4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78.72</w:t>
            </w:r>
          </w:p>
        </w:tc>
        <w:tc>
          <w:tcPr>
            <w:tcW w:w="381" w:type="pct"/>
            <w:tcBorders>
              <w:top w:val="single" w:sz="4" w:space="0" w:color="auto"/>
              <w:left w:val="nil"/>
              <w:bottom w:val="single" w:sz="4" w:space="0" w:color="auto"/>
              <w:right w:val="nil"/>
            </w:tcBorders>
            <w:shd w:val="clear" w:color="auto" w:fill="auto"/>
            <w:noWrap/>
            <w:vAlign w:val="bottom"/>
            <w:hideMark/>
          </w:tcPr>
          <w:p w14:paraId="7FE5B86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18.56</w:t>
            </w:r>
          </w:p>
        </w:tc>
        <w:tc>
          <w:tcPr>
            <w:tcW w:w="378" w:type="pct"/>
            <w:tcBorders>
              <w:top w:val="single" w:sz="4" w:space="0" w:color="auto"/>
              <w:left w:val="nil"/>
              <w:bottom w:val="single" w:sz="4" w:space="0" w:color="auto"/>
              <w:right w:val="nil"/>
            </w:tcBorders>
            <w:shd w:val="clear" w:color="auto" w:fill="auto"/>
            <w:noWrap/>
            <w:vAlign w:val="bottom"/>
            <w:hideMark/>
          </w:tcPr>
          <w:p w14:paraId="2AE0963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{"citationID":"0N8BOlEX","properties":{"formattedCitation":"[5]","plainCitation":"[5]","noteIndex":0},"citationItems":[{"id":654,"uris":["http://zotero.org/users/12909065/items/6THFI5YV"],"itemData":{"id":654,"type":"article-journal","abstract":"A desired morphology is essential for achieving efficient polymer solar cells. Donors and acceptors with appropriate crystallization can lead to a suitable phase-separated morphology for effective photocurrent generation process. Inspired by the success of Y6 acceptors and the 2D side chain engineering on popular polymer donors and small molecule acceptors, the usage of unique 2D 3,4-ethylene dioxythiophene (EDOT) side chains on Y6 to regulate its crystallinity, compatibility, and thus the related blend morphology is explored. In this study, two molecules of BTP-EDOT-4F and BTP-EDOT-4Cl with such unique 2D EDOT side chains are designed and synthesized. Due to the advantage of EDOT side chain, when these molecules are blended with PM6, the decent power conversion efficiencies (PCEs) of 16.78% and 15.87% are obtained. Furthermore, BTP-EDOT-4F is selected as the third component and added into PM6:L8-BO binary system to form ternary blends. The optimized crystallinity, compatibility, and morphology of such ternary blend are discovered in the presence of BTP-EDOT-4F, which enables efficient exciton dissociation and charge transport as well as decreased recombination, resulting in higher short circuit current density (Jsc) and fill factor. Finally, the outstanding PCE of 18.56% is achieved in ternary blends containing PM6, L8-BO, and BTP-EDOT-4F. © 2023 Wiley-VCH GmbH.","archive":"Scopus","container-title":"Advanced Functional Materials","DOI":"10.1002/adfm.202212290","ISSN":"1616-301X","issue":"12","language":"English","source":"Scopus","title":"Smartly Optimizing Crystallinity, Compatibility, and Morphology for Polymer Solar Cells by Small Molecule Acceptor with Unique 2D-EDOT Side Chain","volume":"33","author":[{"family":"Deng","given":"M."},{"family":"Xu","given":"X."},{"family":"Duan","given":"Y."},{"family":"Yu","given":"L."},{"family":"Li","given":"R."},{"family":"Peng","given":"Q."}],"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w:t>
            </w:r>
            <w:r w:rsidRPr="00B55044">
              <w:rPr>
                <w:rFonts w:eastAsia="Times New Roman"/>
                <w:color w:val="0000FF"/>
                <w:sz w:val="16"/>
                <w:szCs w:val="16"/>
              </w:rPr>
              <w:fldChar w:fldCharType="end"/>
            </w:r>
          </w:p>
        </w:tc>
      </w:tr>
      <w:tr w:rsidR="00D47774" w:rsidRPr="00B55044" w14:paraId="25D31F9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DF6130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9</w:t>
            </w:r>
          </w:p>
        </w:tc>
        <w:tc>
          <w:tcPr>
            <w:tcW w:w="1525" w:type="pct"/>
            <w:tcBorders>
              <w:top w:val="single" w:sz="4" w:space="0" w:color="auto"/>
              <w:left w:val="nil"/>
              <w:bottom w:val="single" w:sz="4" w:space="0" w:color="auto"/>
              <w:right w:val="nil"/>
            </w:tcBorders>
            <w:shd w:val="clear" w:color="auto" w:fill="auto"/>
            <w:noWrap/>
            <w:vAlign w:val="bottom"/>
            <w:hideMark/>
          </w:tcPr>
          <w:p w14:paraId="64447E6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ITO/PEDOT:PSS/AL/PFN-Br/Al</w:t>
            </w:r>
          </w:p>
        </w:tc>
        <w:tc>
          <w:tcPr>
            <w:tcW w:w="1288" w:type="pct"/>
            <w:tcBorders>
              <w:top w:val="single" w:sz="4" w:space="0" w:color="auto"/>
              <w:left w:val="nil"/>
              <w:bottom w:val="single" w:sz="4" w:space="0" w:color="auto"/>
              <w:right w:val="nil"/>
            </w:tcBorders>
            <w:shd w:val="clear" w:color="auto" w:fill="auto"/>
            <w:noWrap/>
            <w:vAlign w:val="bottom"/>
            <w:hideMark/>
          </w:tcPr>
          <w:p w14:paraId="32B242A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PM6:BTPeC9:ITIC-Th</w:t>
            </w:r>
          </w:p>
        </w:tc>
        <w:tc>
          <w:tcPr>
            <w:tcW w:w="379" w:type="pct"/>
            <w:tcBorders>
              <w:top w:val="single" w:sz="4" w:space="0" w:color="auto"/>
              <w:left w:val="nil"/>
              <w:bottom w:val="single" w:sz="4" w:space="0" w:color="auto"/>
              <w:right w:val="nil"/>
            </w:tcBorders>
            <w:shd w:val="clear" w:color="auto" w:fill="auto"/>
            <w:noWrap/>
            <w:vAlign w:val="bottom"/>
            <w:hideMark/>
          </w:tcPr>
          <w:p w14:paraId="7BB40FE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45D402B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28</w:t>
            </w:r>
          </w:p>
        </w:tc>
        <w:tc>
          <w:tcPr>
            <w:tcW w:w="378" w:type="pct"/>
            <w:tcBorders>
              <w:top w:val="single" w:sz="4" w:space="0" w:color="auto"/>
              <w:left w:val="nil"/>
              <w:bottom w:val="single" w:sz="4" w:space="0" w:color="auto"/>
              <w:right w:val="nil"/>
            </w:tcBorders>
            <w:shd w:val="clear" w:color="auto" w:fill="auto"/>
            <w:noWrap/>
            <w:vAlign w:val="bottom"/>
            <w:hideMark/>
          </w:tcPr>
          <w:p w14:paraId="7178030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w:t>
            </w:r>
          </w:p>
        </w:tc>
        <w:tc>
          <w:tcPr>
            <w:tcW w:w="381" w:type="pct"/>
            <w:tcBorders>
              <w:top w:val="single" w:sz="4" w:space="0" w:color="auto"/>
              <w:left w:val="nil"/>
              <w:bottom w:val="single" w:sz="4" w:space="0" w:color="auto"/>
              <w:right w:val="nil"/>
            </w:tcBorders>
            <w:shd w:val="clear" w:color="auto" w:fill="auto"/>
            <w:noWrap/>
            <w:vAlign w:val="bottom"/>
            <w:hideMark/>
          </w:tcPr>
          <w:p w14:paraId="241A509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18.7</w:t>
            </w:r>
          </w:p>
        </w:tc>
        <w:tc>
          <w:tcPr>
            <w:tcW w:w="378" w:type="pct"/>
            <w:tcBorders>
              <w:top w:val="single" w:sz="4" w:space="0" w:color="auto"/>
              <w:left w:val="nil"/>
              <w:bottom w:val="single" w:sz="4" w:space="0" w:color="auto"/>
              <w:right w:val="nil"/>
            </w:tcBorders>
            <w:shd w:val="clear" w:color="auto" w:fill="auto"/>
            <w:noWrap/>
            <w:vAlign w:val="bottom"/>
            <w:hideMark/>
          </w:tcPr>
          <w:p w14:paraId="209240F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{"citationID":"EMrDAFCk","properties":{"formattedCitation":"[6]","plainCitation":"[6]","noteIndex":0},"citationItems":[{"id":653,"uris":["http://zotero.org/users/12909065/items/P4I4SU4Z"],"itemData":{"id":653,"type":"article-journal","abstract":"In this work, a series of ternary organic solar cells (OSCs) were prepared with polymer PM6 as a donor and two non-fullerene materials, BTP-eC9 and ITIC-Th, with excellent compatibility as acceptors. The open-circuit voltage (VOC) of ternary OSCs is found to monotonically increase with increasing content of ITIC-Th, implying the formation of an alloying state between BTP-eC9 and ITIC-Th. Furthermore, the incorporation of ITIC-Th can effectively minimize energy loss, which effectively improves the VOC of ternary OSCs. Consequently, a remarkable power conversion efficiency (PCE) of 18.7% with a short-circuit current density (JSC) of 28.0 mA cm-2, a VOC of 0.87 V, and a fill factor (FF) of 77.0% is achieved from the optimal ternary OSCs with 15 wt % ITIC-Th in acceptors. Comprehensive characterizations show that the enhanced JSC and FF are likely due to enhanced photon harvesting, effective exciton dissociation, and balanced charge transport in the optimal ternary active layers. The findings provide a hopeful way to further improve the OSC performance by employing a ternary strategy with two compatible non-fullerene materials as acceptors. © 2023 American Chemical Society.","archive":"Scopus","container-title":"ACS Applied Energy Materials","DOI":"10.1021/acsaem.3c00093","ISSN":"2574-0962","issue":"5","language":"English","page":"3126-3134","source":"Scopus","title":"18.7% Efficiency Ternary Organic Solar Cells Using Two Non-Fullerene Acceptors with Excellent Compatibility","volume":"6","author":[{"family":"Huang","given":"T."},{"family":"Zhang","given":"Z."},{"family":"Wang","given":"D."},{"family":"Zhang","given":"Y."},{"family":"Deng","given":"Z."},{"family":"Huang","given":"Y."},{"family":"Liao","given":"Q."},{"family":"Zhang","given":"J."}],"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[6]</w:t>
            </w:r>
            <w:r w:rsidRPr="00B55044">
              <w:rPr>
                <w:rFonts w:eastAsia="Times New Roman"/>
                <w:color w:val="0000FF"/>
                <w:sz w:val="16"/>
                <w:szCs w:val="16"/>
              </w:rPr>
              <w:fldChar w:fldCharType="end"/>
            </w:r>
          </w:p>
        </w:tc>
      </w:tr>
      <w:tr w:rsidR="00D47774" w:rsidRPr="00B55044" w14:paraId="051D48B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F6FD83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10</w:t>
            </w:r>
          </w:p>
        </w:tc>
        <w:tc>
          <w:tcPr>
            <w:tcW w:w="1525" w:type="pct"/>
            <w:tcBorders>
              <w:top w:val="single" w:sz="4" w:space="0" w:color="auto"/>
              <w:left w:val="nil"/>
              <w:bottom w:val="single" w:sz="4" w:space="0" w:color="auto"/>
              <w:right w:val="nil"/>
            </w:tcBorders>
            <w:shd w:val="clear" w:color="auto" w:fill="auto"/>
            <w:noWrap/>
            <w:vAlign w:val="bottom"/>
            <w:hideMark/>
          </w:tcPr>
          <w:p w14:paraId="70C6B98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12C954E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PM6:BTP-eC9:LA23</w:t>
            </w:r>
          </w:p>
        </w:tc>
        <w:tc>
          <w:tcPr>
            <w:tcW w:w="379" w:type="pct"/>
            <w:tcBorders>
              <w:top w:val="single" w:sz="4" w:space="0" w:color="auto"/>
              <w:left w:val="nil"/>
              <w:bottom w:val="single" w:sz="4" w:space="0" w:color="auto"/>
              <w:right w:val="nil"/>
            </w:tcBorders>
            <w:shd w:val="clear" w:color="auto" w:fill="auto"/>
            <w:noWrap/>
            <w:vAlign w:val="bottom"/>
            <w:hideMark/>
          </w:tcPr>
          <w:p w14:paraId="50CBE7E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0.858</w:t>
            </w:r>
          </w:p>
        </w:tc>
        <w:tc>
          <w:tcPr>
            <w:tcW w:w="379" w:type="pct"/>
            <w:tcBorders>
              <w:top w:val="single" w:sz="4" w:space="0" w:color="auto"/>
              <w:left w:val="nil"/>
              <w:bottom w:val="single" w:sz="4" w:space="0" w:color="auto"/>
              <w:right w:val="nil"/>
            </w:tcBorders>
            <w:shd w:val="clear" w:color="auto" w:fill="auto"/>
            <w:noWrap/>
            <w:vAlign w:val="bottom"/>
            <w:hideMark/>
          </w:tcPr>
          <w:p w14:paraId="398D7B8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28.03</w:t>
            </w:r>
          </w:p>
        </w:tc>
        <w:tc>
          <w:tcPr>
            <w:tcW w:w="378" w:type="pct"/>
            <w:tcBorders>
              <w:top w:val="single" w:sz="4" w:space="0" w:color="auto"/>
              <w:left w:val="nil"/>
              <w:bottom w:val="single" w:sz="4" w:space="0" w:color="auto"/>
              <w:right w:val="nil"/>
            </w:tcBorders>
            <w:shd w:val="clear" w:color="auto" w:fill="auto"/>
            <w:noWrap/>
            <w:vAlign w:val="bottom"/>
            <w:hideMark/>
          </w:tcPr>
          <w:p w14:paraId="03C839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79.5</w:t>
            </w:r>
          </w:p>
        </w:tc>
        <w:tc>
          <w:tcPr>
            <w:tcW w:w="381" w:type="pct"/>
            <w:tcBorders>
              <w:top w:val="single" w:sz="4" w:space="0" w:color="auto"/>
              <w:left w:val="nil"/>
              <w:bottom w:val="single" w:sz="4" w:space="0" w:color="auto"/>
              <w:right w:val="nil"/>
            </w:tcBorders>
            <w:shd w:val="clear" w:color="auto" w:fill="auto"/>
            <w:noWrap/>
            <w:vAlign w:val="bottom"/>
            <w:hideMark/>
          </w:tcPr>
          <w:p w14:paraId="3355358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19.12</w:t>
            </w:r>
          </w:p>
        </w:tc>
        <w:tc>
          <w:tcPr>
            <w:tcW w:w="378" w:type="pct"/>
            <w:tcBorders>
              <w:top w:val="single" w:sz="4" w:space="0" w:color="auto"/>
              <w:left w:val="nil"/>
              <w:bottom w:val="single" w:sz="4" w:space="0" w:color="auto"/>
              <w:right w:val="nil"/>
            </w:tcBorders>
            <w:shd w:val="clear" w:color="auto" w:fill="auto"/>
            <w:noWrap/>
            <w:vAlign w:val="bottom"/>
            <w:hideMark/>
          </w:tcPr>
          <w:p w14:paraId="66F2A12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{"citationID":"vifu7vHY","properties":{"formattedCitation":"[7]","plainCitation":"[7]","noteIndex":0},"citationItems":[{"id":652,"uris":["http://zotero.org/users/12909065/items/VBJQX4EB"],"itemData":{"id":652,"type":"article-journal","abstract":"Research on organic solar cells (OSCs) has progressed through material innovation and device engineering. However, well-known and ubiquitous intermolecular interactions, and particularly their synergistic effects, have received little attention. Herein, the complicated relationship between photovoltaic conversion and multidimensional intermolecular interactions in the active layers is investigated. These interactions are dually regulated by side-chain isomerization and end-cap engineering of the acceptors. The phenylalkyl featured acceptors (LA-series) exhibit stronger crystallinity with preferential face-on interactions relative to the alkylphenyl attached isomers (ITIC-series). In addition, the PM6 and LA-series acceptors exhibit moderate donor/acceptor interactions compared to those of the strongly interacting PM6/ITIC-series pairs, which helps to enhance phase separation and charge transport. Consequently, the output efficiencies of all LA series acceptors are over 14%. Moreover, LA-series acceptors show appropriate compatibility, host/guest interactions, and crystallinity relationships with BTP-eC9, thereby leading to uniform and well-organized “alloy-like” mixed phases. In particular, the highly crystalline LA23 further optimizes multiple interactions and ternary microstructures, which results in a high efficiency of 19.12%. Thus, these results highlight the importance of multidimensional intermolecular interactions in the photovoltaic performance of OSCs. © 2023 Wiley-VCH GmbH.","archive":"Scopus","container-title":"Advanced Materials","DOI":"10.1002/adma.202208986","ISSN":"0935-9648","issue":"10","language":"English","source":"Scopus","title":"Over 19% Efficiency Organic Solar Cells by Regulating Multidimensional Intermolecular Interactions","volume":"35","author":[{"family":"Han","given":"C."},{"family":"Wang","given":"J."},{"family":"Zhang","given":"S."},{"family":"Chen","given":"L."},{"family":"Bi","given":"F."},{"family":"Wang","given":"J."},{"family":"Yang","given":"C."},{"family":"Wang","given":"P."},{"family":"Li","given":"Y."},{"family":"Bao","given":"X."}],"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w:t>
            </w:r>
            <w:r w:rsidRPr="00B55044">
              <w:rPr>
                <w:rFonts w:eastAsia="Times New Roman"/>
                <w:color w:val="0000FF"/>
                <w:sz w:val="16"/>
                <w:szCs w:val="16"/>
              </w:rPr>
              <w:fldChar w:fldCharType="end"/>
            </w:r>
          </w:p>
        </w:tc>
      </w:tr>
      <w:tr w:rsidR="00D47774" w:rsidRPr="00B55044" w14:paraId="4430D88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F7B250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11</w:t>
            </w:r>
          </w:p>
        </w:tc>
        <w:tc>
          <w:tcPr>
            <w:tcW w:w="1525" w:type="pct"/>
            <w:tcBorders>
              <w:top w:val="single" w:sz="4" w:space="0" w:color="auto"/>
              <w:left w:val="nil"/>
              <w:bottom w:val="single" w:sz="4" w:space="0" w:color="auto"/>
              <w:right w:val="nil"/>
            </w:tcBorders>
            <w:shd w:val="clear" w:color="auto" w:fill="auto"/>
            <w:noWrap/>
            <w:vAlign w:val="bottom"/>
            <w:hideMark/>
          </w:tcPr>
          <w:p w14:paraId="4248CFF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7E5E2C2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PM6:BTP-eC9:LA21</w:t>
            </w:r>
          </w:p>
        </w:tc>
        <w:tc>
          <w:tcPr>
            <w:tcW w:w="379" w:type="pct"/>
            <w:tcBorders>
              <w:top w:val="single" w:sz="4" w:space="0" w:color="auto"/>
              <w:left w:val="nil"/>
              <w:bottom w:val="single" w:sz="4" w:space="0" w:color="auto"/>
              <w:right w:val="nil"/>
            </w:tcBorders>
            <w:shd w:val="clear" w:color="auto" w:fill="auto"/>
            <w:noWrap/>
            <w:vAlign w:val="bottom"/>
            <w:hideMark/>
          </w:tcPr>
          <w:p w14:paraId="7DD20CE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0.863</w:t>
            </w:r>
          </w:p>
        </w:tc>
        <w:tc>
          <w:tcPr>
            <w:tcW w:w="379" w:type="pct"/>
            <w:tcBorders>
              <w:top w:val="single" w:sz="4" w:space="0" w:color="auto"/>
              <w:left w:val="nil"/>
              <w:bottom w:val="single" w:sz="4" w:space="0" w:color="auto"/>
              <w:right w:val="nil"/>
            </w:tcBorders>
            <w:shd w:val="clear" w:color="auto" w:fill="auto"/>
            <w:noWrap/>
            <w:vAlign w:val="bottom"/>
            <w:hideMark/>
          </w:tcPr>
          <w:p w14:paraId="7E4596E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27.79</w:t>
            </w:r>
          </w:p>
        </w:tc>
        <w:tc>
          <w:tcPr>
            <w:tcW w:w="378" w:type="pct"/>
            <w:tcBorders>
              <w:top w:val="single" w:sz="4" w:space="0" w:color="auto"/>
              <w:left w:val="nil"/>
              <w:bottom w:val="single" w:sz="4" w:space="0" w:color="auto"/>
              <w:right w:val="nil"/>
            </w:tcBorders>
            <w:shd w:val="clear" w:color="auto" w:fill="auto"/>
            <w:noWrap/>
            <w:vAlign w:val="bottom"/>
            <w:hideMark/>
          </w:tcPr>
          <w:p w14:paraId="4EBB74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w:t>
            </w:r>
          </w:p>
        </w:tc>
        <w:tc>
          <w:tcPr>
            <w:tcW w:w="381" w:type="pct"/>
            <w:tcBorders>
              <w:top w:val="single" w:sz="4" w:space="0" w:color="auto"/>
              <w:left w:val="nil"/>
              <w:bottom w:val="single" w:sz="4" w:space="0" w:color="auto"/>
              <w:right w:val="nil"/>
            </w:tcBorders>
            <w:shd w:val="clear" w:color="auto" w:fill="auto"/>
            <w:noWrap/>
            <w:vAlign w:val="bottom"/>
            <w:hideMark/>
          </w:tcPr>
          <w:p w14:paraId="08670AE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18.71</w:t>
            </w:r>
          </w:p>
        </w:tc>
        <w:tc>
          <w:tcPr>
            <w:tcW w:w="378" w:type="pct"/>
            <w:tcBorders>
              <w:top w:val="single" w:sz="4" w:space="0" w:color="auto"/>
              <w:left w:val="nil"/>
              <w:bottom w:val="single" w:sz="4" w:space="0" w:color="auto"/>
              <w:right w:val="nil"/>
            </w:tcBorders>
            <w:shd w:val="clear" w:color="auto" w:fill="auto"/>
            <w:noWrap/>
            <w:vAlign w:val="bottom"/>
            <w:hideMark/>
          </w:tcPr>
          <w:p w14:paraId="741AD38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{"citationID":"hQ0NSqqf","properties":{"formattedCitation":"[7]","plainCitation":"[7]","noteIndex":0},"citationItems":[{"id":652,"uris":["http://zotero.org/users/12909065/items/VBJQX4EB"],"itemData":{"id":652,"type":"article-journal","abstract":"Research on organic solar cells (OSCs) has progressed through material innovation and device engineering. However, well-known and ubiquitous intermolecular interactions, and particularly their synergistic effects, have received little attention. Herein, the complicated relationship between photovoltaic conversion and multidimensional intermolecular interactions in the active layers is investigated. These interactions are dually regulated by side-chain isomerization and end-cap engineering of the acceptors. The phenylalkyl featured acceptors (LA-series) exhibit stronger crystallinity with preferential face-on interactions relative to the alkylphenyl attached isomers (ITIC-series). In addition, the PM6 and LA-series acceptors exhibit moderate donor/acceptor interactions compared to those of the strongly interacting PM6/ITIC-series pairs, which helps to enhance phase separation and charge transport. Consequently, the output efficiencies of all LA series acceptors are over 14%. Moreover, LA-series acceptors show appropriate compatibility, host/guest interactions, and crystallinity relationships with BTP-eC9, thereby leading to uniform and well-organized “alloy-like” mixed phases. In particular, the highly crystalline LA23 further optimizes multiple interactions and ternary microstructures, which results in a high efficiency of 19.12%. Thus, these results highlight the importance of multidimensional intermolecular interactions in the photovoltaic performance of OSCs. © 2023 Wiley-VCH GmbH.","archive":"Scopus","container-title":"Advanced Materials","DOI":"10.1002/adma.202208986","ISSN":"0935-9648","issue":"10","language":"English","source":"Scopus","title":"Over 19% Efficiency Organic Solar Cells by Regulating Multidimensional Intermolecular Interactions","volume":"35","author":[{"family":"Han","given":"C."},{"family":"Wang","given":"J."},{"family":"Zhang","given":"S."},{"family":"Chen","given":"L."},{"family":"Bi","given":"F."},{"family":"Wang","given":"J."},{"family":"Yang","given":"C."},{"family":"Wang","given":"P."},{"family":"Li","given":"Y."},{"family":"Bao","given":"X."}],"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w:t>
            </w:r>
            <w:r w:rsidRPr="00B55044">
              <w:rPr>
                <w:rFonts w:eastAsia="Times New Roman"/>
                <w:color w:val="0000FF"/>
                <w:sz w:val="16"/>
                <w:szCs w:val="16"/>
              </w:rPr>
              <w:fldChar w:fldCharType="end"/>
            </w:r>
          </w:p>
        </w:tc>
      </w:tr>
      <w:tr w:rsidR="00D47774" w:rsidRPr="00B55044" w14:paraId="6D92CD6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0F0673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12</w:t>
            </w:r>
          </w:p>
        </w:tc>
        <w:tc>
          <w:tcPr>
            <w:tcW w:w="1525" w:type="pct"/>
            <w:tcBorders>
              <w:top w:val="single" w:sz="4" w:space="0" w:color="auto"/>
              <w:left w:val="nil"/>
              <w:bottom w:val="single" w:sz="4" w:space="0" w:color="auto"/>
              <w:right w:val="nil"/>
            </w:tcBorders>
            <w:shd w:val="clear" w:color="auto" w:fill="auto"/>
            <w:noWrap/>
            <w:vAlign w:val="bottom"/>
            <w:hideMark/>
          </w:tcPr>
          <w:p w14:paraId="41B4D2E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510C59B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PM6:BTP-eC9:LA22</w:t>
            </w:r>
          </w:p>
        </w:tc>
        <w:tc>
          <w:tcPr>
            <w:tcW w:w="379" w:type="pct"/>
            <w:tcBorders>
              <w:top w:val="single" w:sz="4" w:space="0" w:color="auto"/>
              <w:left w:val="nil"/>
              <w:bottom w:val="single" w:sz="4" w:space="0" w:color="auto"/>
              <w:right w:val="nil"/>
            </w:tcBorders>
            <w:shd w:val="clear" w:color="auto" w:fill="auto"/>
            <w:noWrap/>
            <w:vAlign w:val="bottom"/>
            <w:hideMark/>
          </w:tcPr>
          <w:p w14:paraId="61DA7AE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0.842</w:t>
            </w:r>
          </w:p>
        </w:tc>
        <w:tc>
          <w:tcPr>
            <w:tcW w:w="379" w:type="pct"/>
            <w:tcBorders>
              <w:top w:val="single" w:sz="4" w:space="0" w:color="auto"/>
              <w:left w:val="nil"/>
              <w:bottom w:val="single" w:sz="4" w:space="0" w:color="auto"/>
              <w:right w:val="nil"/>
            </w:tcBorders>
            <w:shd w:val="clear" w:color="auto" w:fill="auto"/>
            <w:noWrap/>
            <w:vAlign w:val="bottom"/>
            <w:hideMark/>
          </w:tcPr>
          <w:p w14:paraId="15A8C27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27.51</w:t>
            </w:r>
          </w:p>
        </w:tc>
        <w:tc>
          <w:tcPr>
            <w:tcW w:w="378" w:type="pct"/>
            <w:tcBorders>
              <w:top w:val="single" w:sz="4" w:space="0" w:color="auto"/>
              <w:left w:val="nil"/>
              <w:bottom w:val="single" w:sz="4" w:space="0" w:color="auto"/>
              <w:right w:val="nil"/>
            </w:tcBorders>
            <w:shd w:val="clear" w:color="auto" w:fill="auto"/>
            <w:noWrap/>
            <w:vAlign w:val="bottom"/>
            <w:hideMark/>
          </w:tcPr>
          <w:p w14:paraId="0638EF9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77.98</w:t>
            </w:r>
          </w:p>
        </w:tc>
        <w:tc>
          <w:tcPr>
            <w:tcW w:w="381" w:type="pct"/>
            <w:tcBorders>
              <w:top w:val="single" w:sz="4" w:space="0" w:color="auto"/>
              <w:left w:val="nil"/>
              <w:bottom w:val="single" w:sz="4" w:space="0" w:color="auto"/>
              <w:right w:val="nil"/>
            </w:tcBorders>
            <w:shd w:val="clear" w:color="auto" w:fill="auto"/>
            <w:noWrap/>
            <w:vAlign w:val="bottom"/>
            <w:hideMark/>
          </w:tcPr>
          <w:p w14:paraId="514CAC6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18.06</w:t>
            </w:r>
          </w:p>
        </w:tc>
        <w:tc>
          <w:tcPr>
            <w:tcW w:w="378" w:type="pct"/>
            <w:tcBorders>
              <w:top w:val="single" w:sz="4" w:space="0" w:color="auto"/>
              <w:left w:val="nil"/>
              <w:bottom w:val="single" w:sz="4" w:space="0" w:color="auto"/>
              <w:right w:val="nil"/>
            </w:tcBorders>
            <w:shd w:val="clear" w:color="auto" w:fill="auto"/>
            <w:noWrap/>
            <w:vAlign w:val="bottom"/>
            <w:hideMark/>
          </w:tcPr>
          <w:p w14:paraId="057ED3D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{"citationID":"7D549P5z","properties":{"formattedCitation":"[7]","plainCitation":"[7]","noteIndex":0},"citationItems":[{"id":652,"uris":["http://zotero.org/users/12909065/items/VBJQX4EB"],"itemData":{"id":652,"type":"article-journal","abstract":"Research on organic solar cells (OSCs) has progressed through material innovation and device engineering. However, well-known and ubiquitous intermolecular interactions, and particularly their synergistic effects, have received little attention. Herein, the complicated relationship between photovoltaic conversion and multidimensional intermolecular interactions in the active layers is investigated. These interactions are dually regulated by side-chain isomerization and end-cap engineering of the acceptors. The phenylalkyl featured acceptors (LA-series) exhibit stronger crystallinity with preferential face-on interactions relative to the alkylphenyl attached isomers (ITIC-series). In addition, the PM6 and LA-series acceptors exhibit moderate donor/acceptor interactions compared to those of the strongly interacting PM6/ITIC-series pairs, which helps to enhance phase separation and charge transport. Consequently, the output efficiencies of all LA series acceptors are over 14%. Moreover, LA-series acceptors show appropriate compatibility, host/guest interactions, and crystallinity relationships with BTP-eC9, thereby leading to uniform and well-organized “alloy-like” mixed phases. In particular, the highly crystalline LA23 further optimizes multiple interactions and ternary microstructures, which results in a high efficiency of 19.12%. Thus, these results highlight the importance of multidimensional intermolecular interactions in the photovoltaic performance of OSCs. © 2023 Wiley-VCH GmbH.","archive":"Scopus","container-title":"Advanced Materials","DOI":"10.1002/adma.202208986","ISSN":"0935-9648","issue":"10","language":"English","source":"Scopus","title":"Over 19% Efficiency Organic Solar Cells by Regulating Multidimensional Intermolecular Interactions","volume":"35","author":[{"family":"Han","given":"C."},{"family":"Wang","given":"J."},{"family":"Zhang","given":"S."},{"family":"Chen","given":"L."},{"family":"Bi","given":"F."},{"family":"Wang","given":"J."},{"family":"Yang","given":"C."},{"family":"Wang","given":"P."},{"family":"Li","given":"Y."},{"family":"Bao","given":"X."}],"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w:t>
            </w:r>
            <w:r w:rsidRPr="00B55044">
              <w:rPr>
                <w:rFonts w:eastAsia="Times New Roman"/>
                <w:color w:val="0000FF"/>
                <w:sz w:val="16"/>
                <w:szCs w:val="16"/>
              </w:rPr>
              <w:fldChar w:fldCharType="end"/>
            </w:r>
          </w:p>
        </w:tc>
      </w:tr>
      <w:tr w:rsidR="00D47774" w:rsidRPr="00B55044" w14:paraId="1C2CA52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3DFD06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13</w:t>
            </w:r>
          </w:p>
        </w:tc>
        <w:tc>
          <w:tcPr>
            <w:tcW w:w="1525" w:type="pct"/>
            <w:tcBorders>
              <w:top w:val="single" w:sz="4" w:space="0" w:color="auto"/>
              <w:left w:val="nil"/>
              <w:bottom w:val="single" w:sz="4" w:space="0" w:color="auto"/>
              <w:right w:val="nil"/>
            </w:tcBorders>
            <w:shd w:val="clear" w:color="auto" w:fill="auto"/>
            <w:noWrap/>
            <w:vAlign w:val="bottom"/>
            <w:hideMark/>
          </w:tcPr>
          <w:p w14:paraId="2C49BD6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23F4F48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PM6:BTP-eC9:ITIC</w:t>
            </w:r>
          </w:p>
        </w:tc>
        <w:tc>
          <w:tcPr>
            <w:tcW w:w="379" w:type="pct"/>
            <w:tcBorders>
              <w:top w:val="single" w:sz="4" w:space="0" w:color="auto"/>
              <w:left w:val="nil"/>
              <w:bottom w:val="single" w:sz="4" w:space="0" w:color="auto"/>
              <w:right w:val="nil"/>
            </w:tcBorders>
            <w:shd w:val="clear" w:color="auto" w:fill="auto"/>
            <w:noWrap/>
            <w:vAlign w:val="bottom"/>
            <w:hideMark/>
          </w:tcPr>
          <w:p w14:paraId="075601D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0.865</w:t>
            </w:r>
          </w:p>
        </w:tc>
        <w:tc>
          <w:tcPr>
            <w:tcW w:w="379" w:type="pct"/>
            <w:tcBorders>
              <w:top w:val="single" w:sz="4" w:space="0" w:color="auto"/>
              <w:left w:val="nil"/>
              <w:bottom w:val="single" w:sz="4" w:space="0" w:color="auto"/>
              <w:right w:val="nil"/>
            </w:tcBorders>
            <w:shd w:val="clear" w:color="auto" w:fill="auto"/>
            <w:noWrap/>
            <w:vAlign w:val="bottom"/>
            <w:hideMark/>
          </w:tcPr>
          <w:p w14:paraId="099249D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27.2</w:t>
            </w:r>
          </w:p>
        </w:tc>
        <w:tc>
          <w:tcPr>
            <w:tcW w:w="378" w:type="pct"/>
            <w:tcBorders>
              <w:top w:val="single" w:sz="4" w:space="0" w:color="auto"/>
              <w:left w:val="nil"/>
              <w:bottom w:val="single" w:sz="4" w:space="0" w:color="auto"/>
              <w:right w:val="nil"/>
            </w:tcBorders>
            <w:shd w:val="clear" w:color="auto" w:fill="auto"/>
            <w:noWrap/>
            <w:vAlign w:val="bottom"/>
            <w:hideMark/>
          </w:tcPr>
          <w:p w14:paraId="4C2671D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76.97</w:t>
            </w:r>
          </w:p>
        </w:tc>
        <w:tc>
          <w:tcPr>
            <w:tcW w:w="381" w:type="pct"/>
            <w:tcBorders>
              <w:top w:val="single" w:sz="4" w:space="0" w:color="auto"/>
              <w:left w:val="nil"/>
              <w:bottom w:val="single" w:sz="4" w:space="0" w:color="auto"/>
              <w:right w:val="nil"/>
            </w:tcBorders>
            <w:shd w:val="clear" w:color="auto" w:fill="auto"/>
            <w:noWrap/>
            <w:vAlign w:val="bottom"/>
            <w:hideMark/>
          </w:tcPr>
          <w:p w14:paraId="79E98D8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18.11</w:t>
            </w:r>
          </w:p>
        </w:tc>
        <w:tc>
          <w:tcPr>
            <w:tcW w:w="378" w:type="pct"/>
            <w:tcBorders>
              <w:top w:val="single" w:sz="4" w:space="0" w:color="auto"/>
              <w:left w:val="nil"/>
              <w:bottom w:val="single" w:sz="4" w:space="0" w:color="auto"/>
              <w:right w:val="nil"/>
            </w:tcBorders>
            <w:shd w:val="clear" w:color="auto" w:fill="auto"/>
            <w:noWrap/>
            <w:vAlign w:val="bottom"/>
            <w:hideMark/>
          </w:tcPr>
          <w:p w14:paraId="0FE6969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{"citationID":"rovUfsn3","properties":{"formattedCitation":"[7]","plainCitation":"[7]","noteIndex":0},"citationItems":[{"id":652,"uris":["http://zotero.org/users/12909065/items/VBJQX4EB"],"itemData":{"id":652,"type":"article-journal","abstract":"Research on organic solar cells (OSCs) has progressed through material innovation and device engineering. However, well-known and ubiquitous intermolecular interactions, and particularly their synergistic effects, have received little attention. Herein, the complicated relationship between photovoltaic conversion and multidimensional intermolecular interactions in the active layers is investigated. These interactions are dually regulated by side-chain isomerization and end-cap engineering of the acceptors. The phenylalkyl featured acceptors (LA-series) exhibit stronger crystallinity with preferential face-on interactions relative to the alkylphenyl attached isomers (ITIC-series). In addition, the PM6 and LA-series acceptors exhibit moderate donor/acceptor interactions compared to those of the strongly interacting PM6/ITIC-series pairs, which helps to enhance phase separation and charge transport. Consequently, the output efficiencies of all LA series acceptors are over 14%. Moreover, LA-series acceptors show appropriate compatibility, host/guest interactions, and crystallinity relationships with BTP-eC9, thereby leading to uniform and well-organized “alloy-like” mixed phases. In particular, the highly crystalline LA23 further optimizes multiple interactions and ternary microstructures, which results in a high efficiency of 19.12%. Thus, these results highlight the importance of multidimensional intermolecular interactions in the photovoltaic performance of OSCs. © 2023 Wiley-VCH GmbH.","archive":"Scopus","container-title":"Advanced Materials","DOI":"10.1002/adma.202208986","ISSN":"0935-9648","issue":"10","language":"English","source":"Scopus","title":"Over 19% Efficiency Organic Solar Cells by Regulating Multidimensional Intermolecular Interactions","volume":"35","author":[{"family":"Han","given":"C."},{"family":"Wang","given":"J."},{"family":"Zhang","given":"S."},{"family":"Chen","given":"L."},{"family":"Bi","given":"F."},{"family":"Wang","given":"J."},{"family":"Yang","given":"C."},{"family":"Wang","given":"P."},{"family":"Li","given":"Y."},{"family":"Bao","given":"X."}],"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w:t>
            </w:r>
            <w:r w:rsidRPr="00B55044">
              <w:rPr>
                <w:rFonts w:eastAsia="Times New Roman"/>
                <w:color w:val="0000FF"/>
                <w:sz w:val="16"/>
                <w:szCs w:val="16"/>
              </w:rPr>
              <w:fldChar w:fldCharType="end"/>
            </w:r>
          </w:p>
        </w:tc>
      </w:tr>
      <w:tr w:rsidR="00D47774" w:rsidRPr="00B55044" w14:paraId="4FF6C20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7C9ACA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14</w:t>
            </w:r>
          </w:p>
        </w:tc>
        <w:tc>
          <w:tcPr>
            <w:tcW w:w="1525" w:type="pct"/>
            <w:tcBorders>
              <w:top w:val="single" w:sz="4" w:space="0" w:color="auto"/>
              <w:left w:val="nil"/>
              <w:bottom w:val="single" w:sz="4" w:space="0" w:color="auto"/>
              <w:right w:val="nil"/>
            </w:tcBorders>
            <w:shd w:val="clear" w:color="auto" w:fill="auto"/>
            <w:noWrap/>
            <w:vAlign w:val="bottom"/>
            <w:hideMark/>
          </w:tcPr>
          <w:p w14:paraId="0EF06AF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384359E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PM6:BTP-eC9:IT4F</w:t>
            </w:r>
          </w:p>
        </w:tc>
        <w:tc>
          <w:tcPr>
            <w:tcW w:w="379" w:type="pct"/>
            <w:tcBorders>
              <w:top w:val="single" w:sz="4" w:space="0" w:color="auto"/>
              <w:left w:val="nil"/>
              <w:bottom w:val="single" w:sz="4" w:space="0" w:color="auto"/>
              <w:right w:val="nil"/>
            </w:tcBorders>
            <w:shd w:val="clear" w:color="auto" w:fill="auto"/>
            <w:noWrap/>
            <w:vAlign w:val="bottom"/>
            <w:hideMark/>
          </w:tcPr>
          <w:p w14:paraId="0ADD795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0.845</w:t>
            </w:r>
          </w:p>
        </w:tc>
        <w:tc>
          <w:tcPr>
            <w:tcW w:w="379" w:type="pct"/>
            <w:tcBorders>
              <w:top w:val="single" w:sz="4" w:space="0" w:color="auto"/>
              <w:left w:val="nil"/>
              <w:bottom w:val="single" w:sz="4" w:space="0" w:color="auto"/>
              <w:right w:val="nil"/>
            </w:tcBorders>
            <w:shd w:val="clear" w:color="auto" w:fill="auto"/>
            <w:noWrap/>
            <w:vAlign w:val="bottom"/>
            <w:hideMark/>
          </w:tcPr>
          <w:p w14:paraId="6D83F64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27.01</w:t>
            </w:r>
          </w:p>
        </w:tc>
        <w:tc>
          <w:tcPr>
            <w:tcW w:w="378" w:type="pct"/>
            <w:tcBorders>
              <w:top w:val="single" w:sz="4" w:space="0" w:color="auto"/>
              <w:left w:val="nil"/>
              <w:bottom w:val="single" w:sz="4" w:space="0" w:color="auto"/>
              <w:right w:val="nil"/>
            </w:tcBorders>
            <w:shd w:val="clear" w:color="auto" w:fill="auto"/>
            <w:noWrap/>
            <w:vAlign w:val="bottom"/>
            <w:hideMark/>
          </w:tcPr>
          <w:p w14:paraId="7A8D256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77.23</w:t>
            </w:r>
          </w:p>
        </w:tc>
        <w:tc>
          <w:tcPr>
            <w:tcW w:w="381" w:type="pct"/>
            <w:tcBorders>
              <w:top w:val="single" w:sz="4" w:space="0" w:color="auto"/>
              <w:left w:val="nil"/>
              <w:bottom w:val="single" w:sz="4" w:space="0" w:color="auto"/>
              <w:right w:val="nil"/>
            </w:tcBorders>
            <w:shd w:val="clear" w:color="auto" w:fill="auto"/>
            <w:noWrap/>
            <w:vAlign w:val="bottom"/>
            <w:hideMark/>
          </w:tcPr>
          <w:p w14:paraId="13E04E5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17.63</w:t>
            </w:r>
          </w:p>
        </w:tc>
        <w:tc>
          <w:tcPr>
            <w:tcW w:w="378" w:type="pct"/>
            <w:tcBorders>
              <w:top w:val="single" w:sz="4" w:space="0" w:color="auto"/>
              <w:left w:val="nil"/>
              <w:bottom w:val="single" w:sz="4" w:space="0" w:color="auto"/>
              <w:right w:val="nil"/>
            </w:tcBorders>
            <w:shd w:val="clear" w:color="auto" w:fill="auto"/>
            <w:noWrap/>
            <w:vAlign w:val="bottom"/>
            <w:hideMark/>
          </w:tcPr>
          <w:p w14:paraId="1F2B01F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{"citationID":"VEGRMvLr","properties":{"formattedCitation":"[7]","plainCitation":"[7]","noteIndex":0},"citationItems":[{"id":652,"uris":["http://zotero.org/users/12909065/items/VBJQX4EB"],"itemData":{"id":652,"type":"article-journal","abstract":"Research on organic solar cells (OSCs) has progressed through material innovation and device engineering. However, well-known and ubiquitous intermolecular interactions, and particularly their synergistic effects, have received little attention. Herein, the complicated relationship between photovoltaic conversion and multidimensional intermolecular interactions in the active layers is investigated. These interactions are dually regulated by side-chain isomerization and end-cap engineering of the acceptors. The phenylalkyl featured acceptors (LA-series) exhibit stronger crystallinity with preferential face-on interactions relative to the alkylphenyl attached isomers (ITIC-series). In addition, the PM6 and LA-series acceptors exhibit moderate donor/acceptor interactions compared to those of the strongly interacting PM6/ITIC-series pairs, which helps to enhance phase separation and charge transport. Consequently, the output efficiencies of all LA series acceptors are over 14%. Moreover, LA-series acceptors show appropriate compatibility, host/guest interactions, and crystallinity relationships with BTP-eC9, thereby leading to uniform and well-organized “alloy-like” mixed phases. In particular, the highly crystalline LA23 further optimizes multiple interactions and ternary microstructures, which results in a high efficiency of 19.12%. Thus, these results highlight the importance of multidimensional intermolecular interactions in the photovoltaic performance of OSCs. © 2023 Wiley-VCH GmbH.","archive":"Scopus","container-title":"Advanced Materials","DOI":"10.1002/adma.202208986","ISSN":"0935-9648","issue":"10","language":"English","source":"Scopus","title":"Over 19% Efficiency Organic Solar Cells by Regulating Multidimensional Intermolecular Interactions","volume":"35","author":[{"family":"Han","given":"C."},{"family":"Wang","given":"J."},{"family":"Zhang","given":"S."},{"family":"Chen","given":"L."},{"family":"Bi","given":"F."},{"family":"Wang","given":"J."},{"family":"Yang","given":"C."},{"family":"Wang","given":"P."},{"family":"Li","given":"Y."},{"family":"Bao","given":"X."}],"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w:t>
            </w:r>
            <w:r w:rsidRPr="00B55044">
              <w:rPr>
                <w:rFonts w:eastAsia="Times New Roman"/>
                <w:color w:val="0000FF"/>
                <w:sz w:val="16"/>
                <w:szCs w:val="16"/>
              </w:rPr>
              <w:fldChar w:fldCharType="end"/>
            </w:r>
          </w:p>
        </w:tc>
      </w:tr>
      <w:tr w:rsidR="00D47774" w:rsidRPr="00B55044" w14:paraId="252C23C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87DB4C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15</w:t>
            </w:r>
          </w:p>
        </w:tc>
        <w:tc>
          <w:tcPr>
            <w:tcW w:w="1525" w:type="pct"/>
            <w:tcBorders>
              <w:top w:val="single" w:sz="4" w:space="0" w:color="auto"/>
              <w:left w:val="nil"/>
              <w:bottom w:val="single" w:sz="4" w:space="0" w:color="auto"/>
              <w:right w:val="nil"/>
            </w:tcBorders>
            <w:shd w:val="clear" w:color="auto" w:fill="auto"/>
            <w:noWrap/>
            <w:vAlign w:val="bottom"/>
            <w:hideMark/>
          </w:tcPr>
          <w:p w14:paraId="198DC96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6F755A3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PM6:BTP-eC9:ITCT</w:t>
            </w:r>
          </w:p>
        </w:tc>
        <w:tc>
          <w:tcPr>
            <w:tcW w:w="379" w:type="pct"/>
            <w:tcBorders>
              <w:top w:val="single" w:sz="4" w:space="0" w:color="auto"/>
              <w:left w:val="nil"/>
              <w:bottom w:val="single" w:sz="4" w:space="0" w:color="auto"/>
              <w:right w:val="nil"/>
            </w:tcBorders>
            <w:shd w:val="clear" w:color="auto" w:fill="auto"/>
            <w:noWrap/>
            <w:vAlign w:val="bottom"/>
            <w:hideMark/>
          </w:tcPr>
          <w:p w14:paraId="04123D2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0.851</w:t>
            </w:r>
          </w:p>
        </w:tc>
        <w:tc>
          <w:tcPr>
            <w:tcW w:w="379" w:type="pct"/>
            <w:tcBorders>
              <w:top w:val="single" w:sz="4" w:space="0" w:color="auto"/>
              <w:left w:val="nil"/>
              <w:bottom w:val="single" w:sz="4" w:space="0" w:color="auto"/>
              <w:right w:val="nil"/>
            </w:tcBorders>
            <w:shd w:val="clear" w:color="auto" w:fill="auto"/>
            <w:noWrap/>
            <w:vAlign w:val="bottom"/>
            <w:hideMark/>
          </w:tcPr>
          <w:p w14:paraId="4AC1E1D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27.1</w:t>
            </w:r>
          </w:p>
        </w:tc>
        <w:tc>
          <w:tcPr>
            <w:tcW w:w="378" w:type="pct"/>
            <w:tcBorders>
              <w:top w:val="single" w:sz="4" w:space="0" w:color="auto"/>
              <w:left w:val="nil"/>
              <w:bottom w:val="single" w:sz="4" w:space="0" w:color="auto"/>
              <w:right w:val="nil"/>
            </w:tcBorders>
            <w:shd w:val="clear" w:color="auto" w:fill="auto"/>
            <w:noWrap/>
            <w:vAlign w:val="bottom"/>
            <w:hideMark/>
          </w:tcPr>
          <w:p w14:paraId="0B0267B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76.22</w:t>
            </w:r>
          </w:p>
        </w:tc>
        <w:tc>
          <w:tcPr>
            <w:tcW w:w="381" w:type="pct"/>
            <w:tcBorders>
              <w:top w:val="single" w:sz="4" w:space="0" w:color="auto"/>
              <w:left w:val="nil"/>
              <w:bottom w:val="single" w:sz="4" w:space="0" w:color="auto"/>
              <w:right w:val="nil"/>
            </w:tcBorders>
            <w:shd w:val="clear" w:color="auto" w:fill="auto"/>
            <w:noWrap/>
            <w:vAlign w:val="bottom"/>
            <w:hideMark/>
          </w:tcPr>
          <w:p w14:paraId="765203E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17.58</w:t>
            </w:r>
          </w:p>
        </w:tc>
        <w:tc>
          <w:tcPr>
            <w:tcW w:w="378" w:type="pct"/>
            <w:tcBorders>
              <w:top w:val="single" w:sz="4" w:space="0" w:color="auto"/>
              <w:left w:val="nil"/>
              <w:bottom w:val="single" w:sz="4" w:space="0" w:color="auto"/>
              <w:right w:val="nil"/>
            </w:tcBorders>
            <w:shd w:val="clear" w:color="auto" w:fill="auto"/>
            <w:noWrap/>
            <w:vAlign w:val="bottom"/>
            <w:hideMark/>
          </w:tcPr>
          <w:p w14:paraId="436C19F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{"citationID":"w87aC9dV","properties":{"formattedCitation":"[7]","plainCitation":"[7]","noteIndex":0},"citationItems":[{"id":652,"uris":["http://zotero.org/users/12909065/items/VBJQX4EB"],"itemData":{"id":652,"type":"article-journal","abstract":"Research on organic solar cells (OSCs) has progressed through material innovation and device engineering. However, well-known and ubiquitous intermolecular interactions, and particularly their synergistic effects, have received little attention. Herein, the complicated relationship between photovoltaic conversion and multidimensional intermolecular interactions in the active layers is investigated. These interactions are dually regulated by side-chain isomerization and end-cap engineering of the acceptors. The phenylalkyl featured acceptors (LA-series) exhibit stronger crystallinity with preferential face-on interactions relative to the alkylphenyl attached isomers (ITIC-series). In addition, the PM6 and LA-series acceptors exhibit moderate donor/acceptor interactions compared to those of the strongly interacting PM6/ITIC-series pairs, which helps to enhance phase separation and charge transport. Consequently, the output efficiencies of all LA series acceptors are over 14%. Moreover, LA-series acceptors show appropriate compatibility, host/guest interactions, and crystallinity relationships with BTP-eC9, thereby leading to uniform and well-organized “alloy-like” mixed phases. In particular, the highly crystalline LA23 further optimizes multiple interactions and ternary microstructures, which results in a high efficiency of 19.12%. Thus, these results highlight the importance of multidimensional intermolecular interactions in the photovoltaic performance of OSCs. © 2023 Wiley-VCH GmbH.","archive":"Scopus","container-title":"Advanced Materials","DOI":"10.1002/adma.202208986","ISSN":"0935-9648","issue":"10","language":"English","source":"Scopus","title":"Over 19% Efficiency Organic Solar Cells by Regulating Multidimensional Intermolecular Interactions","volume":"35","author":[{"family":"Han","given":"C."},{"family":"Wang","given":"J."},{"family":"Zhang","given":"S."},{"family":"Chen","given":"L."},{"family":"Bi","given":"F."},{"family":"Wang","given":"J."},{"family":"Yang","given":"C."},{"family":"Wang","given":"P."},{"family":"Li","given":"Y."},{"family":"Bao","given":"X."}],"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w:t>
            </w:r>
            <w:r w:rsidRPr="00B55044">
              <w:rPr>
                <w:rFonts w:eastAsia="Times New Roman"/>
                <w:color w:val="0000FF"/>
                <w:sz w:val="16"/>
                <w:szCs w:val="16"/>
              </w:rPr>
              <w:fldChar w:fldCharType="end"/>
            </w:r>
          </w:p>
        </w:tc>
      </w:tr>
      <w:tr w:rsidR="00D47774" w:rsidRPr="00B55044" w14:paraId="4728F5D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96501A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16</w:t>
            </w:r>
          </w:p>
        </w:tc>
        <w:tc>
          <w:tcPr>
            <w:tcW w:w="1525" w:type="pct"/>
            <w:tcBorders>
              <w:top w:val="single" w:sz="4" w:space="0" w:color="auto"/>
              <w:left w:val="nil"/>
              <w:bottom w:val="single" w:sz="4" w:space="0" w:color="auto"/>
              <w:right w:val="nil"/>
            </w:tcBorders>
            <w:shd w:val="clear" w:color="auto" w:fill="auto"/>
            <w:noWrap/>
            <w:vAlign w:val="bottom"/>
            <w:hideMark/>
          </w:tcPr>
          <w:p w14:paraId="22FD294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652558D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PM6:Y6:F1</w:t>
            </w:r>
          </w:p>
        </w:tc>
        <w:tc>
          <w:tcPr>
            <w:tcW w:w="379" w:type="pct"/>
            <w:tcBorders>
              <w:top w:val="single" w:sz="4" w:space="0" w:color="auto"/>
              <w:left w:val="nil"/>
              <w:bottom w:val="single" w:sz="4" w:space="0" w:color="auto"/>
              <w:right w:val="nil"/>
            </w:tcBorders>
            <w:shd w:val="clear" w:color="auto" w:fill="auto"/>
            <w:noWrap/>
            <w:vAlign w:val="bottom"/>
            <w:hideMark/>
          </w:tcPr>
          <w:p w14:paraId="64CD237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2CD6686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27.32</w:t>
            </w:r>
          </w:p>
        </w:tc>
        <w:tc>
          <w:tcPr>
            <w:tcW w:w="378" w:type="pct"/>
            <w:tcBorders>
              <w:top w:val="single" w:sz="4" w:space="0" w:color="auto"/>
              <w:left w:val="nil"/>
              <w:bottom w:val="single" w:sz="4" w:space="0" w:color="auto"/>
              <w:right w:val="nil"/>
            </w:tcBorders>
            <w:shd w:val="clear" w:color="auto" w:fill="auto"/>
            <w:noWrap/>
            <w:vAlign w:val="bottom"/>
            <w:hideMark/>
          </w:tcPr>
          <w:p w14:paraId="386FAE3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75.9</w:t>
            </w:r>
          </w:p>
        </w:tc>
        <w:tc>
          <w:tcPr>
            <w:tcW w:w="381" w:type="pct"/>
            <w:tcBorders>
              <w:top w:val="single" w:sz="4" w:space="0" w:color="auto"/>
              <w:left w:val="nil"/>
              <w:bottom w:val="single" w:sz="4" w:space="0" w:color="auto"/>
              <w:right w:val="nil"/>
            </w:tcBorders>
            <w:shd w:val="clear" w:color="auto" w:fill="auto"/>
            <w:noWrap/>
            <w:vAlign w:val="bottom"/>
            <w:hideMark/>
          </w:tcPr>
          <w:p w14:paraId="2F7ACD9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18.04</w:t>
            </w:r>
          </w:p>
        </w:tc>
        <w:tc>
          <w:tcPr>
            <w:tcW w:w="378" w:type="pct"/>
            <w:tcBorders>
              <w:top w:val="single" w:sz="4" w:space="0" w:color="auto"/>
              <w:left w:val="nil"/>
              <w:bottom w:val="single" w:sz="4" w:space="0" w:color="auto"/>
              <w:right w:val="nil"/>
            </w:tcBorders>
            <w:shd w:val="clear" w:color="auto" w:fill="auto"/>
            <w:noWrap/>
            <w:vAlign w:val="bottom"/>
            <w:hideMark/>
          </w:tcPr>
          <w:p w14:paraId="152F003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{"citationID":"r4qwh8WE","properties":{"formattedCitation":"[8]","plainCitation":"[8]","noteIndex":0},"citationItems":[{"id":651,"uris":["http://zotero.org/users/12909065/items/9AX9WFMH"],"itemData":{"id":651,"type":"article-journal","abstract":"The short charge-carrier diffusion length (LD) (100–300 nm) in organic bulk heterojunction (BHJ) impedes the further improvement in power conversion efficiency (PCE) of organic solar cells (OSCs), especially for thick-film (&amp;gt;400 nm) devices matching with industrial solution processing. Here a facile method is developed to efficiently increase LD and then improve PCEs of OSCs via introducing a fullerene liquid crystal, F1, into the active layer. F1 combines the inherent high electron mobility of fullerene and strong self-assembly capacity of liquid crystal, providing a fast channel for charge-carrier transport and reducing energetic disorder and trap density in BHJ film via enhancing crystallization. Typically, in PM6:Y6:F1 BHJ, the enhanced charge-carrier mobility (&amp;gt;10−2 cm−2 V−1 s−1) and prolonged charge-carrier lifetime (55.3 µs) are acquired to realize the record LD of 1.6 or 2.4 µm for electron or hole, respectively, which are much higher than those of the PM6:Y6 binary sample and comparable to or even better than those values reported for some inorganic/hybrid materials, such as CuInxGa(1−x)Se2 (CIGS) and perovskite thin films. Benefitting from the micrometer-scale LD, the PM6:Y6:F1 ternary OSCs sustain a remarkable PCE of 15.23% with the active layer thickness approaching 500 nm. © 2022 Wiley-VCH GmbH.","archive":"Scopus","container-title":"Advanced Materials","DOI":"10.1002/adma.202210463","ISSN":"0935-9648","issue":"9","language":"English","source":"Scopus","title":"Fullerene-Liquid-Crystal-Induced Micrometer-Scale Charge-Carrier Diffusion in Organic Bulk Heterojunction","volume":"35","author":[{"family":"Zhao","given":"F."},{"family":"He","given":"D."},{"family":"Zou","given":"C."},{"family":"Li","given":"Y."},{"family":"Wang","given":"K."},{"family":"Zhang","given":"J."},{"family":"Yang","given":"S."},{"family":"Tu","given":"Y."},{"family":"Wang","given":"C."},{"family":"Lin","given":"Y."}],"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w:t>
            </w:r>
            <w:r w:rsidRPr="00B55044">
              <w:rPr>
                <w:rFonts w:eastAsia="Times New Roman"/>
                <w:color w:val="0000FF"/>
                <w:sz w:val="16"/>
                <w:szCs w:val="16"/>
              </w:rPr>
              <w:fldChar w:fldCharType="end"/>
            </w:r>
          </w:p>
        </w:tc>
      </w:tr>
      <w:tr w:rsidR="00D47774" w:rsidRPr="00B55044" w14:paraId="695F2AB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96BC5C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17</w:t>
            </w:r>
          </w:p>
        </w:tc>
        <w:tc>
          <w:tcPr>
            <w:tcW w:w="1525" w:type="pct"/>
            <w:tcBorders>
              <w:top w:val="single" w:sz="4" w:space="0" w:color="auto"/>
              <w:left w:val="nil"/>
              <w:bottom w:val="single" w:sz="4" w:space="0" w:color="auto"/>
              <w:right w:val="nil"/>
            </w:tcBorders>
            <w:shd w:val="clear" w:color="auto" w:fill="auto"/>
            <w:noWrap/>
            <w:vAlign w:val="bottom"/>
            <w:hideMark/>
          </w:tcPr>
          <w:p w14:paraId="068EE4C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ITO/PEDOT:PSS/AL/PDINO/Ag</w:t>
            </w:r>
          </w:p>
        </w:tc>
        <w:tc>
          <w:tcPr>
            <w:tcW w:w="1288" w:type="pct"/>
            <w:tcBorders>
              <w:top w:val="single" w:sz="4" w:space="0" w:color="auto"/>
              <w:left w:val="nil"/>
              <w:bottom w:val="single" w:sz="4" w:space="0" w:color="auto"/>
              <w:right w:val="nil"/>
            </w:tcBorders>
            <w:shd w:val="clear" w:color="auto" w:fill="auto"/>
            <w:noWrap/>
            <w:vAlign w:val="bottom"/>
            <w:hideMark/>
          </w:tcPr>
          <w:p w14:paraId="32EC0B8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 BTP-4Se:F-2F</w:t>
            </w:r>
          </w:p>
        </w:tc>
        <w:tc>
          <w:tcPr>
            <w:tcW w:w="379" w:type="pct"/>
            <w:tcBorders>
              <w:top w:val="single" w:sz="4" w:space="0" w:color="auto"/>
              <w:left w:val="nil"/>
              <w:bottom w:val="single" w:sz="4" w:space="0" w:color="auto"/>
              <w:right w:val="nil"/>
            </w:tcBorders>
            <w:shd w:val="clear" w:color="auto" w:fill="auto"/>
            <w:noWrap/>
            <w:vAlign w:val="bottom"/>
            <w:hideMark/>
          </w:tcPr>
          <w:p w14:paraId="2481F97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294C9E3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26.88</w:t>
            </w:r>
          </w:p>
        </w:tc>
        <w:tc>
          <w:tcPr>
            <w:tcW w:w="378" w:type="pct"/>
            <w:tcBorders>
              <w:top w:val="single" w:sz="4" w:space="0" w:color="auto"/>
              <w:left w:val="nil"/>
              <w:bottom w:val="single" w:sz="4" w:space="0" w:color="auto"/>
              <w:right w:val="nil"/>
            </w:tcBorders>
            <w:shd w:val="clear" w:color="auto" w:fill="auto"/>
            <w:noWrap/>
            <w:vAlign w:val="bottom"/>
            <w:hideMark/>
          </w:tcPr>
          <w:p w14:paraId="7B5E056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73.36</w:t>
            </w:r>
          </w:p>
        </w:tc>
        <w:tc>
          <w:tcPr>
            <w:tcW w:w="381" w:type="pct"/>
            <w:tcBorders>
              <w:top w:val="single" w:sz="4" w:space="0" w:color="auto"/>
              <w:left w:val="nil"/>
              <w:bottom w:val="single" w:sz="4" w:space="0" w:color="auto"/>
              <w:right w:val="nil"/>
            </w:tcBorders>
            <w:shd w:val="clear" w:color="auto" w:fill="auto"/>
            <w:noWrap/>
            <w:vAlign w:val="bottom"/>
            <w:hideMark/>
          </w:tcPr>
          <w:p w14:paraId="610262C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16.56</w:t>
            </w:r>
          </w:p>
        </w:tc>
        <w:tc>
          <w:tcPr>
            <w:tcW w:w="378" w:type="pct"/>
            <w:tcBorders>
              <w:top w:val="single" w:sz="4" w:space="0" w:color="auto"/>
              <w:left w:val="nil"/>
              <w:bottom w:val="single" w:sz="4" w:space="0" w:color="auto"/>
              <w:right w:val="nil"/>
            </w:tcBorders>
            <w:shd w:val="clear" w:color="auto" w:fill="auto"/>
            <w:noWrap/>
            <w:vAlign w:val="bottom"/>
            <w:hideMark/>
          </w:tcPr>
          <w:p w14:paraId="3394AA8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{"citationID":"SW7rSuTX","properties":{"formattedCitation":"[9]","plainCitation":"[9]","noteIndex":0},"citationItems":[{"id":650,"uris":["http://zotero.org/users/12909065/items/CZTHS3VM"],"itemData":{"id":650,"type":"article-journal","abstract":"The series-connected tandem device strategy is an effective approach to promote the efficiency of organic solar cells (OSCs) with broadened absorption range and alleviated thermalization and transmission loss. In this article, two nonfullerene acceptors, FBr-ThCl and BTP-4Se, with complementary absorptions covering the range from 300 to 1,000 nm were designed and synthesized for the front and rear cell, respectively. The front cell based on D18:FBr-ThCl exhibited a Voc of 1.053 V with high external quantum efficiency (EQE) response values ranging from 300 to 740 nm. The rear cell with a ternary active layer PM6:BTP-4Se: F-2F was optimized and afforded the Voc of 0.840 V and Jsc of 26.88 mA cm−2. Subsequently, the tandem device was constructed with a fully solution-processed interconnected layer of ZnO/PEDOT:PSS/PMA, and demonstrated a power conversion efficiency (PCE) of 19.55% with a Voc of 1.880 V, a Jsc of 13.25 mA cm−2 and an FF of 78.47%. [Figure not available: see fulltext.] © 2023, Science China Press.","archive":"Scopus","container-title":"Science China Chemistry","DOI":"10.1007/s11426-022-1479-x","ISSN":"1674-7291","issue":"3","language":"English","page":"808-815","source":"Scopus","title":"Tandem organic solar cells with efficiency over 19% via the careful subcell design and optimization","volume":"66","author":[{"family":"Meng","given":"L."},{"family":"Liang","given":"H."},{"family":"Song","given":"G."},{"family":"Li","given":"M."},{"family":"Huang","given":"Y."},{"family":"Jiang","given":"C."},{"family":"Zhang","given":"K."},{"family":"Huang","given":"F."},{"family":"Yao","given":"Z."},{"family":"Li","given":"C."},{"family":"Wan","given":"X."},{"family":"Chen","given":"Y."}],"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w:t>
            </w:r>
            <w:r w:rsidRPr="00B55044">
              <w:rPr>
                <w:rFonts w:eastAsia="Times New Roman"/>
                <w:color w:val="0000FF"/>
                <w:sz w:val="16"/>
                <w:szCs w:val="16"/>
              </w:rPr>
              <w:fldChar w:fldCharType="end"/>
            </w:r>
          </w:p>
        </w:tc>
      </w:tr>
      <w:tr w:rsidR="00D47774" w:rsidRPr="00B55044" w14:paraId="26E7BF2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2F6FD1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18</w:t>
            </w:r>
          </w:p>
        </w:tc>
        <w:tc>
          <w:tcPr>
            <w:tcW w:w="1525" w:type="pct"/>
            <w:tcBorders>
              <w:top w:val="single" w:sz="4" w:space="0" w:color="auto"/>
              <w:left w:val="nil"/>
              <w:bottom w:val="single" w:sz="4" w:space="0" w:color="auto"/>
              <w:right w:val="nil"/>
            </w:tcBorders>
            <w:shd w:val="clear" w:color="auto" w:fill="auto"/>
            <w:noWrap/>
            <w:vAlign w:val="bottom"/>
            <w:hideMark/>
          </w:tcPr>
          <w:p w14:paraId="5856F9F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1BC090E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PM6:PY-82:PY-DT</w:t>
            </w:r>
          </w:p>
        </w:tc>
        <w:tc>
          <w:tcPr>
            <w:tcW w:w="379" w:type="pct"/>
            <w:tcBorders>
              <w:top w:val="single" w:sz="4" w:space="0" w:color="auto"/>
              <w:left w:val="nil"/>
              <w:bottom w:val="single" w:sz="4" w:space="0" w:color="auto"/>
              <w:right w:val="nil"/>
            </w:tcBorders>
            <w:shd w:val="clear" w:color="auto" w:fill="auto"/>
            <w:noWrap/>
            <w:vAlign w:val="bottom"/>
            <w:hideMark/>
          </w:tcPr>
          <w:p w14:paraId="4584281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0.947</w:t>
            </w:r>
          </w:p>
        </w:tc>
        <w:tc>
          <w:tcPr>
            <w:tcW w:w="379" w:type="pct"/>
            <w:tcBorders>
              <w:top w:val="single" w:sz="4" w:space="0" w:color="auto"/>
              <w:left w:val="nil"/>
              <w:bottom w:val="single" w:sz="4" w:space="0" w:color="auto"/>
              <w:right w:val="nil"/>
            </w:tcBorders>
            <w:shd w:val="clear" w:color="auto" w:fill="auto"/>
            <w:noWrap/>
            <w:vAlign w:val="bottom"/>
            <w:hideMark/>
          </w:tcPr>
          <w:p w14:paraId="7A03C8D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24.31</w:t>
            </w:r>
          </w:p>
        </w:tc>
        <w:tc>
          <w:tcPr>
            <w:tcW w:w="378" w:type="pct"/>
            <w:tcBorders>
              <w:top w:val="single" w:sz="4" w:space="0" w:color="auto"/>
              <w:left w:val="nil"/>
              <w:bottom w:val="single" w:sz="4" w:space="0" w:color="auto"/>
              <w:right w:val="nil"/>
            </w:tcBorders>
            <w:shd w:val="clear" w:color="auto" w:fill="auto"/>
            <w:noWrap/>
            <w:vAlign w:val="bottom"/>
            <w:hideMark/>
          </w:tcPr>
          <w:p w14:paraId="7E3C8D9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78.3</w:t>
            </w:r>
          </w:p>
        </w:tc>
        <w:tc>
          <w:tcPr>
            <w:tcW w:w="381" w:type="pct"/>
            <w:tcBorders>
              <w:top w:val="single" w:sz="4" w:space="0" w:color="auto"/>
              <w:left w:val="nil"/>
              <w:bottom w:val="single" w:sz="4" w:space="0" w:color="auto"/>
              <w:right w:val="nil"/>
            </w:tcBorders>
            <w:shd w:val="clear" w:color="auto" w:fill="auto"/>
            <w:noWrap/>
            <w:vAlign w:val="bottom"/>
            <w:hideMark/>
          </w:tcPr>
          <w:p w14:paraId="7410973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18.03</w:t>
            </w:r>
          </w:p>
        </w:tc>
        <w:tc>
          <w:tcPr>
            <w:tcW w:w="378" w:type="pct"/>
            <w:tcBorders>
              <w:top w:val="single" w:sz="4" w:space="0" w:color="auto"/>
              <w:left w:val="nil"/>
              <w:bottom w:val="single" w:sz="4" w:space="0" w:color="auto"/>
              <w:right w:val="nil"/>
            </w:tcBorders>
            <w:shd w:val="clear" w:color="auto" w:fill="auto"/>
            <w:noWrap/>
            <w:vAlign w:val="bottom"/>
            <w:hideMark/>
          </w:tcPr>
          <w:p w14:paraId="3B86368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{"citationID":"mXpVCK9U","properties":{"formattedCitation":"[10]","plainCitation":"[10]","noteIndex":0},"citationItems":[{"id":649,"uris":["http://zotero.org/users/12909065/items/H98X7FLM"],"itemData":{"id":649,"type":"article-journal","abstract":"Although all-polymer solar cells (all-PSCs) show great commercialization prospects, their power conversion efficiencies (PCEs) still fall behind their small molecule acceptor-based counterparts. In all-polymer blends, the optimized morphology and high molecular ordering are difficult to achieve since there is troublesome competition between the crystallinity of the polymer donor and acceptor during the film-formation process. Therefore, it is challenging to improve the performance of all-PSCs. Herein, a ternary strategy is adopted to modulate the morphology and the molecular crystallinity of an all-polymer blend, in which PM6:PY-82 is selected as the host blend and PY-DT is employed as a guest component. Benefiting from the favorable miscibility of the two acceptors and the higher regularity of PY-DT, the ternary matrix features a well-defined fibrillar morphology and improved molecular ordering. Consequently, the champion PM6:PY-82:PY-DT device produces a record-high PCE of 18.03%, with simultaneously improved open-circuit voltage, short-circuit current and fill factor in comparison with the binary devices. High-performance large-area (1 cm2) and thick-film (300 nm) all-PSCs are also successfully fabricated with PCEs of 16.35% and 15.70%, respectively.Moreover, 16.5 cm2 organic solar module affords an encouraging PCE of 13.84% when using the non-halogenated solvent, showing the great potential of “Lab-to-Fab” transition of all-PSCs. © 2022 Wiley-VCH GmbH.","archive":"Scopus","container-title":"Advanced Materials","DOI":"10.1002/adma.202208165","ISSN":"0935-9648","issue":"8","language":"English","source":"Scopus","title":"Improved Molecular Ordering in a Ternary Blend Enables All-Polymer Solar Cells over 18% Efficiency","volume":"35","author":[{"family":"Cai","given":"Y."},{"family":"Xie","given":"C."},{"family":"Li","given":"Q."},{"family":"Liu","given":"C."},{"family":"Gao","given":"J."},{"family":"Jee","given":"M.H."},{"family":"Qiao","given":"J."},{"family":"Li","given":"Y."},{"family":"Song","given":"J."},{"family":"Hao","given":"X."},{"family":"Woo","given":"H.Y."},{"family":"Tang","given":"Z."},{"family":"Zhou","given":"Y."},{"family":"Zhang","given":"C."},{"family":"Huang","given":"H."},{"family":"Sun","given":"Y."}],"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w:t>
            </w:r>
            <w:r w:rsidRPr="00B55044">
              <w:rPr>
                <w:rFonts w:eastAsia="Times New Roman"/>
                <w:color w:val="0000FF"/>
                <w:sz w:val="16"/>
                <w:szCs w:val="16"/>
              </w:rPr>
              <w:fldChar w:fldCharType="end"/>
            </w:r>
          </w:p>
        </w:tc>
      </w:tr>
      <w:tr w:rsidR="00D47774" w:rsidRPr="00B55044" w14:paraId="4E902A5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39C0AC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19</w:t>
            </w:r>
          </w:p>
        </w:tc>
        <w:tc>
          <w:tcPr>
            <w:tcW w:w="1525" w:type="pct"/>
            <w:tcBorders>
              <w:top w:val="single" w:sz="4" w:space="0" w:color="auto"/>
              <w:left w:val="nil"/>
              <w:bottom w:val="single" w:sz="4" w:space="0" w:color="auto"/>
              <w:right w:val="nil"/>
            </w:tcBorders>
            <w:shd w:val="clear" w:color="auto" w:fill="auto"/>
            <w:noWrap/>
            <w:vAlign w:val="bottom"/>
            <w:hideMark/>
          </w:tcPr>
          <w:p w14:paraId="3456AAE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ITO/PEDOT:PSS-TA/AL/PDINN/Ag</w:t>
            </w:r>
          </w:p>
        </w:tc>
        <w:tc>
          <w:tcPr>
            <w:tcW w:w="1288" w:type="pct"/>
            <w:tcBorders>
              <w:top w:val="single" w:sz="4" w:space="0" w:color="auto"/>
              <w:left w:val="nil"/>
              <w:bottom w:val="single" w:sz="4" w:space="0" w:color="auto"/>
              <w:right w:val="nil"/>
            </w:tcBorders>
            <w:shd w:val="clear" w:color="auto" w:fill="auto"/>
            <w:noWrap/>
            <w:vAlign w:val="bottom"/>
            <w:hideMark/>
          </w:tcPr>
          <w:p w14:paraId="7BE6DFE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PM6:L8-BO:Y-SeNF</w:t>
            </w:r>
          </w:p>
        </w:tc>
        <w:tc>
          <w:tcPr>
            <w:tcW w:w="379" w:type="pct"/>
            <w:tcBorders>
              <w:top w:val="single" w:sz="4" w:space="0" w:color="auto"/>
              <w:left w:val="nil"/>
              <w:bottom w:val="single" w:sz="4" w:space="0" w:color="auto"/>
              <w:right w:val="nil"/>
            </w:tcBorders>
            <w:shd w:val="clear" w:color="auto" w:fill="auto"/>
            <w:noWrap/>
            <w:vAlign w:val="bottom"/>
            <w:hideMark/>
          </w:tcPr>
          <w:p w14:paraId="6329143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0.873</w:t>
            </w:r>
          </w:p>
        </w:tc>
        <w:tc>
          <w:tcPr>
            <w:tcW w:w="379" w:type="pct"/>
            <w:tcBorders>
              <w:top w:val="single" w:sz="4" w:space="0" w:color="auto"/>
              <w:left w:val="nil"/>
              <w:bottom w:val="single" w:sz="4" w:space="0" w:color="auto"/>
              <w:right w:val="nil"/>
            </w:tcBorders>
            <w:shd w:val="clear" w:color="auto" w:fill="auto"/>
            <w:noWrap/>
            <w:vAlign w:val="bottom"/>
            <w:hideMark/>
          </w:tcPr>
          <w:p w14:paraId="39F92D5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27.88</w:t>
            </w:r>
          </w:p>
        </w:tc>
        <w:tc>
          <w:tcPr>
            <w:tcW w:w="378" w:type="pct"/>
            <w:tcBorders>
              <w:top w:val="single" w:sz="4" w:space="0" w:color="auto"/>
              <w:left w:val="nil"/>
              <w:bottom w:val="single" w:sz="4" w:space="0" w:color="auto"/>
              <w:right w:val="nil"/>
            </w:tcBorders>
            <w:shd w:val="clear" w:color="auto" w:fill="auto"/>
            <w:noWrap/>
            <w:vAlign w:val="bottom"/>
            <w:hideMark/>
          </w:tcPr>
          <w:p w14:paraId="274E292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79.2</w:t>
            </w:r>
          </w:p>
        </w:tc>
        <w:tc>
          <w:tcPr>
            <w:tcW w:w="381" w:type="pct"/>
            <w:tcBorders>
              <w:top w:val="single" w:sz="4" w:space="0" w:color="auto"/>
              <w:left w:val="nil"/>
              <w:bottom w:val="single" w:sz="4" w:space="0" w:color="auto"/>
              <w:right w:val="nil"/>
            </w:tcBorders>
            <w:shd w:val="clear" w:color="auto" w:fill="auto"/>
            <w:noWrap/>
            <w:vAlign w:val="bottom"/>
            <w:hideMark/>
          </w:tcPr>
          <w:p w14:paraId="7C8D3A8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19.28</w:t>
            </w:r>
          </w:p>
        </w:tc>
        <w:tc>
          <w:tcPr>
            <w:tcW w:w="378" w:type="pct"/>
            <w:tcBorders>
              <w:top w:val="single" w:sz="4" w:space="0" w:color="auto"/>
              <w:left w:val="nil"/>
              <w:bottom w:val="single" w:sz="4" w:space="0" w:color="auto"/>
              <w:right w:val="nil"/>
            </w:tcBorders>
            <w:shd w:val="clear" w:color="auto" w:fill="auto"/>
            <w:noWrap/>
            <w:vAlign w:val="bottom"/>
            <w:hideMark/>
          </w:tcPr>
          <w:p w14:paraId="510BD8F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{"citationID":"7wyKWgHS","properties":{"formattedCitation":"[11]","plainCitation":"[11]","noteIndex":0},"citationItems":[{"id":648,"uris":["http://zotero.org/users/12909065/items/7AW2DMXX"],"itemData":{"id":648,"type":"article-journal","abstract":"Here, a near-infrared (NIR)-absorbing small-molecule acceptor (SMA) Y-SeNF with strong intermolecular interaction and crystallinity is developed by combining selenophene-fused core with naphthalene-containing end-group, and then as a custom-tailor guest acceptor is incorporated into the binary PM6:L8-BO host system. Y-SeNF shows a 65 nm red-shifted absorption compared to L8-BO. Thanks to the strong crystallinity and intermolecular interaction of Y-SeNF, the morphology of PM6:L8-BO:Y-SeNF can be precisely regulated by introducing Y-SeNF, achieving improved charge-transporting and suppressed non-radiative energy loss. Consequently, ternary polymer solar cells (PSCs) offer an impressive device efficiency of 19.28% with both high photovoltage (0.873 V) and photocurrent (27.88 mA cm−2), which is one of the highest efficiencies in reported single-junction PSCs. Notably, ternary PSC has excellent stability under maximum-power-point tracking for even over 200 h, which is better than its parental binary devices. The study provides a novel strategy to construct NIR-absorbing SMA for efficient and stable PSCs toward practical applications. © 2023 Wiley-VCH GmbH.","archive":"Scopus","container-title":"Advanced Functional Materials","DOI":"10.1002/adfm.202211385","ISSN":"1616-301X","issue":"8","language":"English","source":"Scopus","title":"19.28% Efficiency and Stable Polymer Solar Cells Enabled by Introducing an NIR-Absorbing Guest Acceptor","volume":"33","author":[{"family":"Fan","given":"Q."},{"family":"Ma","given":"R."},{"family":"Bi","given":"Z."},{"family":"Liao","given":"X."},{"family":"Wu","given":"B."},{"family":"Zhang","given":"S."},{"family":"Su","given":"W."},{"family":"Fang","given":"J."},{"family":"Zhao","given":"C."},{"family":"Yan","given":"C."},{"family":"Chen","given":"K."},{"family":"Li","given":"Y."},{"family":"Gao","given":"C."},{"family":"Li","given":"G."},{"family":"Ma","given":"W."}],"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[11]</w:t>
            </w:r>
            <w:r w:rsidRPr="00B55044">
              <w:rPr>
                <w:rFonts w:eastAsia="Times New Roman"/>
                <w:color w:val="0000FF"/>
                <w:sz w:val="16"/>
                <w:szCs w:val="16"/>
              </w:rPr>
              <w:fldChar w:fldCharType="end"/>
            </w:r>
          </w:p>
        </w:tc>
      </w:tr>
      <w:tr w:rsidR="00D47774" w:rsidRPr="00B55044" w14:paraId="5014332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BB6246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20</w:t>
            </w:r>
          </w:p>
        </w:tc>
        <w:tc>
          <w:tcPr>
            <w:tcW w:w="1525" w:type="pct"/>
            <w:tcBorders>
              <w:top w:val="single" w:sz="4" w:space="0" w:color="auto"/>
              <w:left w:val="nil"/>
              <w:bottom w:val="single" w:sz="4" w:space="0" w:color="auto"/>
              <w:right w:val="nil"/>
            </w:tcBorders>
            <w:shd w:val="clear" w:color="auto" w:fill="auto"/>
            <w:noWrap/>
            <w:vAlign w:val="bottom"/>
            <w:hideMark/>
          </w:tcPr>
          <w:p w14:paraId="65A03FF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4FC3B74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PM6:PY-SSe-V:PY-Cl</w:t>
            </w:r>
          </w:p>
        </w:tc>
        <w:tc>
          <w:tcPr>
            <w:tcW w:w="379" w:type="pct"/>
            <w:tcBorders>
              <w:top w:val="single" w:sz="4" w:space="0" w:color="auto"/>
              <w:left w:val="nil"/>
              <w:bottom w:val="single" w:sz="4" w:space="0" w:color="auto"/>
              <w:right w:val="nil"/>
            </w:tcBorders>
            <w:shd w:val="clear" w:color="auto" w:fill="auto"/>
            <w:noWrap/>
            <w:vAlign w:val="bottom"/>
            <w:hideMark/>
          </w:tcPr>
          <w:p w14:paraId="225C28D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0.91</w:t>
            </w:r>
          </w:p>
        </w:tc>
        <w:tc>
          <w:tcPr>
            <w:tcW w:w="379" w:type="pct"/>
            <w:tcBorders>
              <w:top w:val="single" w:sz="4" w:space="0" w:color="auto"/>
              <w:left w:val="nil"/>
              <w:bottom w:val="single" w:sz="4" w:space="0" w:color="auto"/>
              <w:right w:val="nil"/>
            </w:tcBorders>
            <w:shd w:val="clear" w:color="auto" w:fill="auto"/>
            <w:noWrap/>
            <w:vAlign w:val="bottom"/>
            <w:hideMark/>
          </w:tcPr>
          <w:p w14:paraId="4497A37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25.88</w:t>
            </w:r>
          </w:p>
        </w:tc>
        <w:tc>
          <w:tcPr>
            <w:tcW w:w="378" w:type="pct"/>
            <w:tcBorders>
              <w:top w:val="single" w:sz="4" w:space="0" w:color="auto"/>
              <w:left w:val="nil"/>
              <w:bottom w:val="single" w:sz="4" w:space="0" w:color="auto"/>
              <w:right w:val="nil"/>
            </w:tcBorders>
            <w:shd w:val="clear" w:color="auto" w:fill="auto"/>
            <w:noWrap/>
            <w:vAlign w:val="bottom"/>
            <w:hideMark/>
          </w:tcPr>
          <w:p w14:paraId="0866BA2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77.04</w:t>
            </w:r>
          </w:p>
        </w:tc>
        <w:tc>
          <w:tcPr>
            <w:tcW w:w="381" w:type="pct"/>
            <w:tcBorders>
              <w:top w:val="single" w:sz="4" w:space="0" w:color="auto"/>
              <w:left w:val="nil"/>
              <w:bottom w:val="single" w:sz="4" w:space="0" w:color="auto"/>
              <w:right w:val="nil"/>
            </w:tcBorders>
            <w:shd w:val="clear" w:color="auto" w:fill="auto"/>
            <w:noWrap/>
            <w:vAlign w:val="bottom"/>
            <w:hideMark/>
          </w:tcPr>
          <w:p w14:paraId="68009D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18.14</w:t>
            </w:r>
          </w:p>
        </w:tc>
        <w:tc>
          <w:tcPr>
            <w:tcW w:w="378" w:type="pct"/>
            <w:tcBorders>
              <w:top w:val="single" w:sz="4" w:space="0" w:color="auto"/>
              <w:left w:val="nil"/>
              <w:bottom w:val="single" w:sz="4" w:space="0" w:color="auto"/>
              <w:right w:val="nil"/>
            </w:tcBorders>
            <w:shd w:val="clear" w:color="auto" w:fill="auto"/>
            <w:noWrap/>
            <w:vAlign w:val="bottom"/>
            <w:hideMark/>
          </w:tcPr>
          <w:p w14:paraId="7ABA171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{"citationID":"JWnxxcYp","properties":{"formattedCitation":"[12]","plainCitation":"[12]","noteIndex":0},"citationItems":[{"id":647,"uris":["http://zotero.org/users/12909065/items/3TBBPLKG"],"itemData":{"id":647,"type":"article-journal","abstract":"Achieving a finely tuned active layer morphology with a suitable vertical phase to facilitate both charge generation and charge transport has long been the main goal for pursuing the highly efficient bulk heterojunction all-polymer solar cells (all-PSCs). Herein, a solution to address the above challenge via synergistically combining the ternary blend strategy and the layer-by-layer (LbL) procedure is proposed. By introducing a synthesized polymer acceptor (PA), PY-Cl, with higher crystallinity into the designed host acceptor PY-SSe-V, vertical phase distribution and molecular ordering of the LbL-type ternary all-PSCs can be improved in comparison to the LbL-type PM6/PY-SSe-V binary all-PSCs. The formation of the superior bulk microstructure can not only promote charge transport and extraction properties but also reduce energetic disorder and non-radiative recombination loss, thus improving all three photovoltaic parameters simultaneously. Consequently, the PM6/(PY-SSe-V:PY-Cl) ternary all-PSCs show the best efficiency of 18.14%, which is among the highest values reported to date for all-PSCs. This work provides a facile and effective LbL-type ternary strategy for obtaining high-efficiency all-PSCs. © 2022 Wiley-VCH GmbH.","archive":"Scopus","container-title":"Advanced Materials","DOI":"10.1002/adma.202209350","ISSN":"0935-9648","issue":"7","language":"English","source":"Scopus","title":"Ternary All-Polymer Solar Cells with Efficiency up to 18.14% Employing a Two-Step Sequential Deposition","volume":"35","author":[{"family":"Yang","given":"X."},{"family":"Sun","given":"R."},{"family":"Wang","given":"Y."},{"family":"Chen","given":"M."},{"family":"Xia","given":"X."},{"family":"Lu","given":"X."},{"family":"Lu","given":"G."},{"family":"Min","given":"J."}],"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[12]</w:t>
            </w:r>
            <w:r w:rsidRPr="00B55044">
              <w:rPr>
                <w:rFonts w:eastAsia="Times New Roman"/>
                <w:color w:val="0000FF"/>
                <w:sz w:val="16"/>
                <w:szCs w:val="16"/>
              </w:rPr>
              <w:fldChar w:fldCharType="end"/>
            </w:r>
          </w:p>
        </w:tc>
      </w:tr>
      <w:tr w:rsidR="00D47774" w:rsidRPr="00B55044" w14:paraId="3091E41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1FA635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21</w:t>
            </w:r>
          </w:p>
        </w:tc>
        <w:tc>
          <w:tcPr>
            <w:tcW w:w="1525" w:type="pct"/>
            <w:tcBorders>
              <w:top w:val="single" w:sz="4" w:space="0" w:color="auto"/>
              <w:left w:val="nil"/>
              <w:bottom w:val="single" w:sz="4" w:space="0" w:color="auto"/>
              <w:right w:val="nil"/>
            </w:tcBorders>
            <w:shd w:val="clear" w:color="auto" w:fill="auto"/>
            <w:noWrap/>
            <w:vAlign w:val="bottom"/>
            <w:hideMark/>
          </w:tcPr>
          <w:p w14:paraId="6DC0C4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ITO/2PACz/AL/PDINN/Ag</w:t>
            </w:r>
          </w:p>
        </w:tc>
        <w:tc>
          <w:tcPr>
            <w:tcW w:w="1288" w:type="pct"/>
            <w:tcBorders>
              <w:top w:val="single" w:sz="4" w:space="0" w:color="auto"/>
              <w:left w:val="nil"/>
              <w:bottom w:val="single" w:sz="4" w:space="0" w:color="auto"/>
              <w:right w:val="nil"/>
            </w:tcBorders>
            <w:shd w:val="clear" w:color="auto" w:fill="auto"/>
            <w:noWrap/>
            <w:vAlign w:val="bottom"/>
            <w:hideMark/>
          </w:tcPr>
          <w:p w14:paraId="1735194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PM6:C6C4-4Cl:BTIC-4F</w:t>
            </w:r>
          </w:p>
        </w:tc>
        <w:tc>
          <w:tcPr>
            <w:tcW w:w="379" w:type="pct"/>
            <w:tcBorders>
              <w:top w:val="single" w:sz="4" w:space="0" w:color="auto"/>
              <w:left w:val="nil"/>
              <w:bottom w:val="single" w:sz="4" w:space="0" w:color="auto"/>
              <w:right w:val="nil"/>
            </w:tcBorders>
            <w:shd w:val="clear" w:color="auto" w:fill="auto"/>
            <w:noWrap/>
            <w:vAlign w:val="bottom"/>
            <w:hideMark/>
          </w:tcPr>
          <w:p w14:paraId="6B17666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0.861</w:t>
            </w:r>
          </w:p>
        </w:tc>
        <w:tc>
          <w:tcPr>
            <w:tcW w:w="379" w:type="pct"/>
            <w:tcBorders>
              <w:top w:val="single" w:sz="4" w:space="0" w:color="auto"/>
              <w:left w:val="nil"/>
              <w:bottom w:val="single" w:sz="4" w:space="0" w:color="auto"/>
              <w:right w:val="nil"/>
            </w:tcBorders>
            <w:shd w:val="clear" w:color="auto" w:fill="auto"/>
            <w:noWrap/>
            <w:vAlign w:val="bottom"/>
            <w:hideMark/>
          </w:tcPr>
          <w:p w14:paraId="7BC12ED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24.26</w:t>
            </w:r>
          </w:p>
        </w:tc>
        <w:tc>
          <w:tcPr>
            <w:tcW w:w="378" w:type="pct"/>
            <w:tcBorders>
              <w:top w:val="single" w:sz="4" w:space="0" w:color="auto"/>
              <w:left w:val="nil"/>
              <w:bottom w:val="single" w:sz="4" w:space="0" w:color="auto"/>
              <w:right w:val="nil"/>
            </w:tcBorders>
            <w:shd w:val="clear" w:color="auto" w:fill="auto"/>
            <w:noWrap/>
            <w:vAlign w:val="bottom"/>
            <w:hideMark/>
          </w:tcPr>
          <w:p w14:paraId="3D2E3C9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74.8</w:t>
            </w:r>
          </w:p>
        </w:tc>
        <w:tc>
          <w:tcPr>
            <w:tcW w:w="381" w:type="pct"/>
            <w:tcBorders>
              <w:top w:val="single" w:sz="4" w:space="0" w:color="auto"/>
              <w:left w:val="nil"/>
              <w:bottom w:val="single" w:sz="4" w:space="0" w:color="auto"/>
              <w:right w:val="nil"/>
            </w:tcBorders>
            <w:shd w:val="clear" w:color="auto" w:fill="auto"/>
            <w:noWrap/>
            <w:vAlign w:val="bottom"/>
            <w:hideMark/>
          </w:tcPr>
          <w:p w14:paraId="31D6D13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15.62</w:t>
            </w:r>
          </w:p>
        </w:tc>
        <w:tc>
          <w:tcPr>
            <w:tcW w:w="378" w:type="pct"/>
            <w:tcBorders>
              <w:top w:val="single" w:sz="4" w:space="0" w:color="auto"/>
              <w:left w:val="nil"/>
              <w:bottom w:val="single" w:sz="4" w:space="0" w:color="auto"/>
              <w:right w:val="nil"/>
            </w:tcBorders>
            <w:shd w:val="clear" w:color="auto" w:fill="auto"/>
            <w:noWrap/>
            <w:vAlign w:val="bottom"/>
            <w:hideMark/>
          </w:tcPr>
          <w:p w14:paraId="1924B71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{"citationID":"czy9W99I","properties":{"formattedCitation":"[13]","plainCitation":"[13]","noteIndex":0},"citationItems":[{"id":646,"uris":["http://zotero.org/users/12909065/items/MWP3XHNH"],"itemData":{"id":646,"type":"article-journal","abstract":"The construction of high-performance organic solar cells (OSCs) based on non-fused ring electron acceptors (NFREAs) is challenging despite their low synthesis complexity and low cost. Herein, highly efficient NFREA-based OSCs using a ternary approach by blending two in-house designed NFREAs called “C6C4-4Cl” and “BTIC-4F” with the donor PM6 are demonstrated. The two NFREAs with similar molecular skeletons tend to form an alloy-like phase that exhibits long exciton diffusion lengths and improved crystalline properties for efficient charge transfer. The complementary absorption spectra of the ternary system and energy transfer between the two NFREAs increases the current while the high lowest unoccupied molecular orbital (LUMO) energy level of BTIC-4F enhances the voltage of the OSCs. As a result, the ternary OSC with two NFREAs yields an impressive power conversion efficiency (PCE) of 15.62% using 2PACz as a hole transporting layer (HTL). Investigation of the buried interface reveals that 2PACz has a strong interaction with PM6 and induces vertical phase separation in the ternary blend. This work provides an effective strategy to improve the performance of NFREA-based OSCs by increasing the exciton diffusion length in an alloy-like acceptor phase and inducing vertical phase separation with the judicious selection of HTL. © 2022 Wiley-VCH GmbH.","archive":"Scopus","container-title":"Advanced Energy Materials","DOI":"10.1002/aenm.202203402","ISSN":"1614-6832","issue":"6","language":"English","source":"Scopus","title":"Non-Fused Ring Acceptors Achieving over 15.6% Efficiency Organic Solar Cell by Long Exciton Diffusion Length of Alloy-Like Phase and Vertical Phase Separation Induced by Hole Transport Layer","volume":"13","author":[{"family":"Luo","given":"D."},{"family":"Jiang","given":"Z."},{"family":"Tan","given":"W.L."},{"family":"Zhang","given":"L."},{"family":"Li","given":"L."},{"family":"Shan","given":"C."},{"family":"McNeill","given":"C.R."},{"family":"Sonar","given":"P."},{"family":"Xu","given":"B."},{"family":"Kyaw","given":"A.K.K."}],"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w:t>
            </w:r>
            <w:r w:rsidRPr="00B55044">
              <w:rPr>
                <w:rFonts w:eastAsia="Times New Roman"/>
                <w:color w:val="0000FF"/>
                <w:sz w:val="16"/>
                <w:szCs w:val="16"/>
              </w:rPr>
              <w:fldChar w:fldCharType="end"/>
            </w:r>
          </w:p>
        </w:tc>
      </w:tr>
      <w:tr w:rsidR="00D47774" w:rsidRPr="00B55044" w14:paraId="6E5C797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7E76F2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22</w:t>
            </w:r>
          </w:p>
        </w:tc>
        <w:tc>
          <w:tcPr>
            <w:tcW w:w="1525" w:type="pct"/>
            <w:tcBorders>
              <w:top w:val="single" w:sz="4" w:space="0" w:color="auto"/>
              <w:left w:val="nil"/>
              <w:bottom w:val="single" w:sz="4" w:space="0" w:color="auto"/>
              <w:right w:val="nil"/>
            </w:tcBorders>
            <w:shd w:val="clear" w:color="auto" w:fill="auto"/>
            <w:noWrap/>
            <w:vAlign w:val="bottom"/>
            <w:hideMark/>
          </w:tcPr>
          <w:p w14:paraId="349F816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6635527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PM6:C6C4-4Cl:BTIC-4F</w:t>
            </w:r>
          </w:p>
        </w:tc>
        <w:tc>
          <w:tcPr>
            <w:tcW w:w="379" w:type="pct"/>
            <w:tcBorders>
              <w:top w:val="single" w:sz="4" w:space="0" w:color="auto"/>
              <w:left w:val="nil"/>
              <w:bottom w:val="single" w:sz="4" w:space="0" w:color="auto"/>
              <w:right w:val="nil"/>
            </w:tcBorders>
            <w:shd w:val="clear" w:color="auto" w:fill="auto"/>
            <w:noWrap/>
            <w:vAlign w:val="bottom"/>
            <w:hideMark/>
          </w:tcPr>
          <w:p w14:paraId="26AA9D7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0.859</w:t>
            </w:r>
          </w:p>
        </w:tc>
        <w:tc>
          <w:tcPr>
            <w:tcW w:w="379" w:type="pct"/>
            <w:tcBorders>
              <w:top w:val="single" w:sz="4" w:space="0" w:color="auto"/>
              <w:left w:val="nil"/>
              <w:bottom w:val="single" w:sz="4" w:space="0" w:color="auto"/>
              <w:right w:val="nil"/>
            </w:tcBorders>
            <w:shd w:val="clear" w:color="auto" w:fill="auto"/>
            <w:noWrap/>
            <w:vAlign w:val="bottom"/>
            <w:hideMark/>
          </w:tcPr>
          <w:p w14:paraId="7A66C09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23.82</w:t>
            </w:r>
          </w:p>
        </w:tc>
        <w:tc>
          <w:tcPr>
            <w:tcW w:w="378" w:type="pct"/>
            <w:tcBorders>
              <w:top w:val="single" w:sz="4" w:space="0" w:color="auto"/>
              <w:left w:val="nil"/>
              <w:bottom w:val="single" w:sz="4" w:space="0" w:color="auto"/>
              <w:right w:val="nil"/>
            </w:tcBorders>
            <w:shd w:val="clear" w:color="auto" w:fill="auto"/>
            <w:noWrap/>
            <w:vAlign w:val="bottom"/>
            <w:hideMark/>
          </w:tcPr>
          <w:p w14:paraId="52F6E76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71.5</w:t>
            </w:r>
          </w:p>
        </w:tc>
        <w:tc>
          <w:tcPr>
            <w:tcW w:w="381" w:type="pct"/>
            <w:tcBorders>
              <w:top w:val="single" w:sz="4" w:space="0" w:color="auto"/>
              <w:left w:val="nil"/>
              <w:bottom w:val="single" w:sz="4" w:space="0" w:color="auto"/>
              <w:right w:val="nil"/>
            </w:tcBorders>
            <w:shd w:val="clear" w:color="auto" w:fill="auto"/>
            <w:noWrap/>
            <w:vAlign w:val="bottom"/>
            <w:hideMark/>
          </w:tcPr>
          <w:p w14:paraId="6517203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14.48</w:t>
            </w:r>
          </w:p>
        </w:tc>
        <w:tc>
          <w:tcPr>
            <w:tcW w:w="378" w:type="pct"/>
            <w:tcBorders>
              <w:top w:val="single" w:sz="4" w:space="0" w:color="auto"/>
              <w:left w:val="nil"/>
              <w:bottom w:val="single" w:sz="4" w:space="0" w:color="auto"/>
              <w:right w:val="nil"/>
            </w:tcBorders>
            <w:shd w:val="clear" w:color="auto" w:fill="auto"/>
            <w:noWrap/>
            <w:vAlign w:val="bottom"/>
            <w:hideMark/>
          </w:tcPr>
          <w:p w14:paraId="433BF61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{"citationID":"is77t7CK","properties":{"formattedCitation":"[13]","plainCitation":"[13]","noteIndex":0},"citationItems":[{"id":646,"uris":["http://zotero.org/users/12909065/items/MWP3XHNH"],"itemData":{"id":646,"type":"article-journal","abstract":"The construction of high-performance organic solar cells (OSCs) based on non-fused ring electron acceptors (NFREAs) is challenging despite their low synthesis complexity and low cost. Herein, highly efficient NFREA-based OSCs using a ternary approach by blending two in-house designed NFREAs called “C6C4-4Cl” and “BTIC-4F” with the donor PM6 are demonstrated. The two NFREAs with similar molecular skeletons tend to form an alloy-like phase that exhibits long exciton diffusion lengths and improved crystalline properties for efficient charge transfer. The complementary absorption spectra of the ternary system and energy transfer between the two NFREAs increases the current while the high lowest unoccupied molecular orbital (LUMO) energy level of BTIC-4F enhances the voltage of the OSCs. As a result, the ternary OSC with two NFREAs yields an impressive power conversion efficiency (PCE) of 15.62% using 2PACz as a hole transporting layer (HTL). Investigation of the buried interface reveals that 2PACz has a strong interaction with PM6 and induces vertical phase separation in the ternary blend. This work provides an effective strategy to improve the performance of NFREA-based OSCs by increasing the exciton diffusion length in an alloy-like acceptor phase and inducing vertical phase separation with the judicious selection of HTL. © 2022 Wiley-VCH GmbH.","archive":"Scopus","container-title":"Advanced Energy Materials","DOI":"10.1002/aenm.202203402","ISSN":"1614-6832","issue":"6","language":"English","source":"Scopus","title":"Non-Fused Ring Acceptors Achieving over 15.6% Efficiency Organic Solar Cell by Long Exciton Diffusion Length of Alloy-Like Phase and Vertical Phase Separation Induced by Hole Transport Layer","volume":"13","author":[{"family":"Luo","given":"D."},{"family":"Jiang","given":"Z."},{"family":"Tan","given":"W.L."},{"family":"Zhang","given":"L."},{"family":"Li","given":"L."},{"family":"Shan","given":"C."},{"family":"McNeill","given":"C.R."},{"family":"Sonar","given":"P."},{"family":"Xu","given":"B."},{"family":"Kyaw","given":"A.K.K."}],"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w:t>
            </w:r>
            <w:r w:rsidRPr="00B55044">
              <w:rPr>
                <w:rFonts w:eastAsia="Times New Roman"/>
                <w:color w:val="0000FF"/>
                <w:sz w:val="16"/>
                <w:szCs w:val="16"/>
              </w:rPr>
              <w:fldChar w:fldCharType="end"/>
            </w:r>
          </w:p>
        </w:tc>
      </w:tr>
      <w:tr w:rsidR="00D47774" w:rsidRPr="00B55044" w14:paraId="1D10C93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CADA5E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23</w:t>
            </w:r>
          </w:p>
        </w:tc>
        <w:tc>
          <w:tcPr>
            <w:tcW w:w="1525" w:type="pct"/>
            <w:tcBorders>
              <w:top w:val="single" w:sz="4" w:space="0" w:color="auto"/>
              <w:left w:val="nil"/>
              <w:bottom w:val="single" w:sz="4" w:space="0" w:color="auto"/>
              <w:right w:val="nil"/>
            </w:tcBorders>
            <w:shd w:val="clear" w:color="auto" w:fill="auto"/>
            <w:noWrap/>
            <w:vAlign w:val="bottom"/>
            <w:hideMark/>
          </w:tcPr>
          <w:p w14:paraId="5CC23B3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2265FAD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PM6:PY-IT:PC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3D55698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0.943</w:t>
            </w:r>
          </w:p>
        </w:tc>
        <w:tc>
          <w:tcPr>
            <w:tcW w:w="379" w:type="pct"/>
            <w:tcBorders>
              <w:top w:val="single" w:sz="4" w:space="0" w:color="auto"/>
              <w:left w:val="nil"/>
              <w:bottom w:val="single" w:sz="4" w:space="0" w:color="auto"/>
              <w:right w:val="nil"/>
            </w:tcBorders>
            <w:shd w:val="clear" w:color="auto" w:fill="auto"/>
            <w:noWrap/>
            <w:vAlign w:val="bottom"/>
            <w:hideMark/>
          </w:tcPr>
          <w:p w14:paraId="10BEC60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23.68</w:t>
            </w:r>
          </w:p>
        </w:tc>
        <w:tc>
          <w:tcPr>
            <w:tcW w:w="378" w:type="pct"/>
            <w:tcBorders>
              <w:top w:val="single" w:sz="4" w:space="0" w:color="auto"/>
              <w:left w:val="nil"/>
              <w:bottom w:val="single" w:sz="4" w:space="0" w:color="auto"/>
              <w:right w:val="nil"/>
            </w:tcBorders>
            <w:shd w:val="clear" w:color="auto" w:fill="auto"/>
            <w:noWrap/>
            <w:vAlign w:val="bottom"/>
            <w:hideMark/>
          </w:tcPr>
          <w:p w14:paraId="01BEB2F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72.18</w:t>
            </w:r>
          </w:p>
        </w:tc>
        <w:tc>
          <w:tcPr>
            <w:tcW w:w="381" w:type="pct"/>
            <w:tcBorders>
              <w:top w:val="single" w:sz="4" w:space="0" w:color="auto"/>
              <w:left w:val="nil"/>
              <w:bottom w:val="single" w:sz="4" w:space="0" w:color="auto"/>
              <w:right w:val="nil"/>
            </w:tcBorders>
            <w:shd w:val="clear" w:color="auto" w:fill="auto"/>
            <w:noWrap/>
            <w:vAlign w:val="bottom"/>
            <w:hideMark/>
          </w:tcPr>
          <w:p w14:paraId="0BE358D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16.11</w:t>
            </w:r>
          </w:p>
        </w:tc>
        <w:tc>
          <w:tcPr>
            <w:tcW w:w="378" w:type="pct"/>
            <w:tcBorders>
              <w:top w:val="single" w:sz="4" w:space="0" w:color="auto"/>
              <w:left w:val="nil"/>
              <w:bottom w:val="single" w:sz="4" w:space="0" w:color="auto"/>
              <w:right w:val="nil"/>
            </w:tcBorders>
            <w:shd w:val="clear" w:color="auto" w:fill="auto"/>
            <w:noWrap/>
            <w:vAlign w:val="bottom"/>
            <w:hideMark/>
          </w:tcPr>
          <w:p w14:paraId="2BD4C83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{"citationID":"5qN0akoU","properties":{"formattedCitation":"[14]","plainCitation":"[14]","noteIndex":0},"citationItems":[{"id":645,"uris":["http://zotero.org/users/12909065/items/FLFLS9IZ"],"itemData":{"id":645,"type":"article-journal","abstract":"All-polymer solar cells (all-PSCs) have been widely studied owing to their unique mechanical flexibility and stability. However, all-PSCs have a lower efficiency than small-molecule acceptor-based PSCs. In the work, a ternary quasi-all-polymer solar cell (Q-all-PSC) using a synergy of the ternary strategy and solid additive engineering is reported. The introduction of PC71BM can not only match the energy level of the photoactive materials with an improved open circuit voltage (VOC) of the ternary devices but also enhance photon capture, which can improve short circuit current density. It is found that there is effective charge transfer between PC71BM and PY-IT, which can form an electron transport channel and promote efficient charge transport. Moreover, the introduction of PC71BM made the PM6/PY-IT/PC71BM ternary blends more crystalline while slightly reducing phase separation, resulting in a suitable domain size. Importantly, by introducing a high dielectric-constant PFBEK solid additive as the fasten matrix, the Q-all-PSC’s efficiency can reach 16.42%. This method provides a new idea for future research on all-polymer solar cells. © 2023 American Chemical Society.","archive":"Scopus","container-title":"ACS Applied Materials and Interfaces","DOI":"10.1021/acsami.2c19590","ISSN":"1944-8244","issue":"4","language":"English","page":"5538-5546","source":"Scopus","title":"Formation of Efficient Quasi-All-Polymer Solar Cells by Synergistic Effect of the Ternary Strategy and Solid Additives","volume":"15","author":[{"family":"Shang","given":"C."},{"family":"Zhang","given":"S."},{"family":"Han","given":"D."},{"family":"Ding","given":"X."},{"family":"Zhang","given":"Y."},{"family":"Yang","given":"C."},{"family":"Ding","given":"J."},{"family":"Bao","given":"X."}],"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[14]</w:t>
            </w:r>
            <w:r w:rsidRPr="00B55044">
              <w:rPr>
                <w:rFonts w:eastAsia="Times New Roman"/>
                <w:color w:val="0000FF"/>
                <w:sz w:val="16"/>
                <w:szCs w:val="16"/>
              </w:rPr>
              <w:fldChar w:fldCharType="end"/>
            </w:r>
          </w:p>
        </w:tc>
      </w:tr>
      <w:tr w:rsidR="00D47774" w:rsidRPr="00B55044" w14:paraId="56F30F5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8045A9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24</w:t>
            </w:r>
          </w:p>
        </w:tc>
        <w:tc>
          <w:tcPr>
            <w:tcW w:w="1525" w:type="pct"/>
            <w:tcBorders>
              <w:top w:val="single" w:sz="4" w:space="0" w:color="auto"/>
              <w:left w:val="nil"/>
              <w:bottom w:val="single" w:sz="4" w:space="0" w:color="auto"/>
              <w:right w:val="nil"/>
            </w:tcBorders>
            <w:shd w:val="clear" w:color="auto" w:fill="auto"/>
            <w:noWrap/>
            <w:vAlign w:val="bottom"/>
            <w:hideMark/>
          </w:tcPr>
          <w:p w14:paraId="4A147B5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ITO/ZnPW/AL/PNDIT-F3N/Ag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0ECC429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PM6:EH-HD-4F:L8-BO-F</w:t>
            </w:r>
          </w:p>
        </w:tc>
        <w:tc>
          <w:tcPr>
            <w:tcW w:w="379" w:type="pct"/>
            <w:tcBorders>
              <w:top w:val="single" w:sz="4" w:space="0" w:color="auto"/>
              <w:left w:val="nil"/>
              <w:bottom w:val="single" w:sz="4" w:space="0" w:color="auto"/>
              <w:right w:val="nil"/>
            </w:tcBorders>
            <w:shd w:val="clear" w:color="auto" w:fill="auto"/>
            <w:noWrap/>
            <w:vAlign w:val="bottom"/>
            <w:hideMark/>
          </w:tcPr>
          <w:p w14:paraId="4D242AD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0.843</w:t>
            </w:r>
          </w:p>
        </w:tc>
        <w:tc>
          <w:tcPr>
            <w:tcW w:w="379" w:type="pct"/>
            <w:tcBorders>
              <w:top w:val="single" w:sz="4" w:space="0" w:color="auto"/>
              <w:left w:val="nil"/>
              <w:bottom w:val="single" w:sz="4" w:space="0" w:color="auto"/>
              <w:right w:val="nil"/>
            </w:tcBorders>
            <w:shd w:val="clear" w:color="auto" w:fill="auto"/>
            <w:noWrap/>
            <w:vAlign w:val="bottom"/>
            <w:hideMark/>
          </w:tcPr>
          <w:p w14:paraId="7F8C87F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27.59</w:t>
            </w:r>
          </w:p>
        </w:tc>
        <w:tc>
          <w:tcPr>
            <w:tcW w:w="378" w:type="pct"/>
            <w:tcBorders>
              <w:top w:val="single" w:sz="4" w:space="0" w:color="auto"/>
              <w:left w:val="nil"/>
              <w:bottom w:val="single" w:sz="4" w:space="0" w:color="auto"/>
              <w:right w:val="nil"/>
            </w:tcBorders>
            <w:shd w:val="clear" w:color="auto" w:fill="auto"/>
            <w:noWrap/>
            <w:vAlign w:val="bottom"/>
            <w:hideMark/>
          </w:tcPr>
          <w:p w14:paraId="4D4822D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80.29</w:t>
            </w:r>
          </w:p>
        </w:tc>
        <w:tc>
          <w:tcPr>
            <w:tcW w:w="381" w:type="pct"/>
            <w:tcBorders>
              <w:top w:val="single" w:sz="4" w:space="0" w:color="auto"/>
              <w:left w:val="nil"/>
              <w:bottom w:val="single" w:sz="4" w:space="0" w:color="auto"/>
              <w:right w:val="nil"/>
            </w:tcBorders>
            <w:shd w:val="clear" w:color="auto" w:fill="auto"/>
            <w:noWrap/>
            <w:vAlign w:val="bottom"/>
            <w:hideMark/>
          </w:tcPr>
          <w:p w14:paraId="636D300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18.67</w:t>
            </w:r>
          </w:p>
        </w:tc>
        <w:tc>
          <w:tcPr>
            <w:tcW w:w="378" w:type="pct"/>
            <w:tcBorders>
              <w:top w:val="single" w:sz="4" w:space="0" w:color="auto"/>
              <w:left w:val="nil"/>
              <w:bottom w:val="single" w:sz="4" w:space="0" w:color="auto"/>
              <w:right w:val="nil"/>
            </w:tcBorders>
            <w:shd w:val="clear" w:color="auto" w:fill="auto"/>
            <w:noWrap/>
            <w:vAlign w:val="bottom"/>
            <w:hideMark/>
          </w:tcPr>
          <w:p w14:paraId="6ED75C0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{"citationID":"imk6QvY8","properties":{"formattedCitation":"[15]","plainCitation":"[15]","noteIndex":0},"citationItems":[{"id":644,"uris":["http://zotero.org/users/12909065/items/5BY4H9HZ"],"itemData":{"id":644,"type":"article-journal","abstract":"In the field of organic solar cells (OSCs), the interfacial layer plays the role of enhancing carrier extraction/transportation, inhibiting their recombination, etc. In contrast to the wide variety of cathode interfacial materials with good modification ability, much less effort has been reported for anode interfacial materials. In this study, we report a polyoxometalate-based inorganic molecular cluster, zinc phosphotungstate (Zn3P2W24O80, denoted ZnPW), as an anode interfacial layer. Based on the PM6/EH-HD-4F/L8-BO-F ternary system, the device with ZnPW modification achieved a high power conversion efficiency (PCE) and a fill factor of up to 18.67 and 80.29%, respectively, which are higher than the counterpart device (PCE of 18.01%) with PEDOT/PSS as the anode interfacial layer. Detailed studies revealed that under the modification of ZnPW, the devices obtained promoted light absorption and suitable energy level matching between the active layer and the electrode, reduced contact resistance, and suppressed charge recombination. In addition, the ZnPW-modified devices had improved photostability and storage stability compared to PEDOT/PSS-modified devices. Our work shows that the polyoxometalate-based inorganic nanocluster ZnPW has great advantages in enhancing the device performance and stability of OSCs. © 2023 American Chemical Society.","archive":"Scopus","container-title":"ACS Applied Materials and Interfaces","DOI":"10.1021/acsami.2c22130","ISSN":"1944-8244","issue":"4","language":"English","page":"5566-5576","source":"Scopus","title":"Phosphotungstate-Based Anode Interfacial Material for Constructing High-Performance Polymer Solar Cells with a Fill Factor over 80%","volume":"15","author":[{"family":"Feng","given":"L."},{"family":"Chen","given":"S."},{"family":"Zhang","given":"K."},{"family":"Jing","given":"J."},{"family":"Zhou","given":"Z."},{"family":"Xue","given":"Q."},{"family":"Liu","given":"Z."},{"family":"Chen","given":"Y."},{"family":"Dong","given":"S."},{"family":"Huang","given":"F."},{"family":"Cao","given":"Y."}],"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w:t>
            </w:r>
            <w:r w:rsidRPr="00B55044">
              <w:rPr>
                <w:rFonts w:eastAsia="Times New Roman"/>
                <w:color w:val="0000FF"/>
                <w:sz w:val="16"/>
                <w:szCs w:val="16"/>
              </w:rPr>
              <w:fldChar w:fldCharType="end"/>
            </w:r>
          </w:p>
        </w:tc>
      </w:tr>
      <w:tr w:rsidR="00D47774" w:rsidRPr="00B55044" w14:paraId="04CA0B5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5A0C53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25</w:t>
            </w:r>
          </w:p>
        </w:tc>
        <w:tc>
          <w:tcPr>
            <w:tcW w:w="1525" w:type="pct"/>
            <w:tcBorders>
              <w:top w:val="single" w:sz="4" w:space="0" w:color="auto"/>
              <w:left w:val="nil"/>
              <w:bottom w:val="single" w:sz="4" w:space="0" w:color="auto"/>
              <w:right w:val="nil"/>
            </w:tcBorders>
            <w:shd w:val="clear" w:color="auto" w:fill="auto"/>
            <w:noWrap/>
            <w:vAlign w:val="bottom"/>
            <w:hideMark/>
          </w:tcPr>
          <w:p w14:paraId="43B9A5F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441FF0C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PM6:EH-HD-4F:L8-BO-F</w:t>
            </w:r>
          </w:p>
        </w:tc>
        <w:tc>
          <w:tcPr>
            <w:tcW w:w="379" w:type="pct"/>
            <w:tcBorders>
              <w:top w:val="single" w:sz="4" w:space="0" w:color="auto"/>
              <w:left w:val="nil"/>
              <w:bottom w:val="single" w:sz="4" w:space="0" w:color="auto"/>
              <w:right w:val="nil"/>
            </w:tcBorders>
            <w:shd w:val="clear" w:color="auto" w:fill="auto"/>
            <w:noWrap/>
            <w:vAlign w:val="bottom"/>
            <w:hideMark/>
          </w:tcPr>
          <w:p w14:paraId="1865078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0.843</w:t>
            </w:r>
          </w:p>
        </w:tc>
        <w:tc>
          <w:tcPr>
            <w:tcW w:w="379" w:type="pct"/>
            <w:tcBorders>
              <w:top w:val="single" w:sz="4" w:space="0" w:color="auto"/>
              <w:left w:val="nil"/>
              <w:bottom w:val="single" w:sz="4" w:space="0" w:color="auto"/>
              <w:right w:val="nil"/>
            </w:tcBorders>
            <w:shd w:val="clear" w:color="auto" w:fill="auto"/>
            <w:noWrap/>
            <w:vAlign w:val="bottom"/>
            <w:hideMark/>
          </w:tcPr>
          <w:p w14:paraId="76DE2B2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27.04</w:t>
            </w:r>
          </w:p>
        </w:tc>
        <w:tc>
          <w:tcPr>
            <w:tcW w:w="378" w:type="pct"/>
            <w:tcBorders>
              <w:top w:val="single" w:sz="4" w:space="0" w:color="auto"/>
              <w:left w:val="nil"/>
              <w:bottom w:val="single" w:sz="4" w:space="0" w:color="auto"/>
              <w:right w:val="nil"/>
            </w:tcBorders>
            <w:shd w:val="clear" w:color="auto" w:fill="auto"/>
            <w:noWrap/>
            <w:vAlign w:val="bottom"/>
            <w:hideMark/>
          </w:tcPr>
          <w:p w14:paraId="4429FC4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79.3</w:t>
            </w:r>
          </w:p>
        </w:tc>
        <w:tc>
          <w:tcPr>
            <w:tcW w:w="381" w:type="pct"/>
            <w:tcBorders>
              <w:top w:val="single" w:sz="4" w:space="0" w:color="auto"/>
              <w:left w:val="nil"/>
              <w:bottom w:val="single" w:sz="4" w:space="0" w:color="auto"/>
              <w:right w:val="nil"/>
            </w:tcBorders>
            <w:shd w:val="clear" w:color="auto" w:fill="auto"/>
            <w:noWrap/>
            <w:vAlign w:val="bottom"/>
            <w:hideMark/>
          </w:tcPr>
          <w:p w14:paraId="19BF7DA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18.01</w:t>
            </w:r>
          </w:p>
        </w:tc>
        <w:tc>
          <w:tcPr>
            <w:tcW w:w="378" w:type="pct"/>
            <w:tcBorders>
              <w:top w:val="single" w:sz="4" w:space="0" w:color="auto"/>
              <w:left w:val="nil"/>
              <w:bottom w:val="single" w:sz="4" w:space="0" w:color="auto"/>
              <w:right w:val="nil"/>
            </w:tcBorders>
            <w:shd w:val="clear" w:color="auto" w:fill="auto"/>
            <w:noWrap/>
            <w:vAlign w:val="bottom"/>
            <w:hideMark/>
          </w:tcPr>
          <w:p w14:paraId="6244CF1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{"citationID":"xK1EyH52","properties":{"formattedCitation":"[15]","plainCitation":"[15]","noteIndex":0},"citationItems":[{"id":644,"uris":["http://zotero.org/users/12909065/items/5BY4H9HZ"],"itemData":{"id":644,"type":"article-journal","abstract":"In the field of organic solar cells (OSCs), the interfacial layer plays the role of enhancing carrier extraction/transportation, inhibiting their recombination, etc. In contrast to the wide variety of cathode interfacial materials with good modification ability, much less effort has been reported for anode interfacial materials. In this study, we report a polyoxometalate-based inorganic molecular cluster, zinc phosphotungstate (Zn3P2W24O80, denoted ZnPW), as an anode interfacial layer. Based on the PM6/EH-HD-4F/L8-BO-F ternary system, the device with ZnPW modification achieved a high power conversion efficiency (PCE) and a fill factor of up to 18.67 and 80.29%, respectively, which are higher than the counterpart device (PCE of 18.01%) with PEDOT/PSS as the anode interfacial layer. Detailed studies revealed that under the modification of ZnPW, the devices obtained promoted light absorption and suitable energy level matching between the active layer and the electrode, reduced contact resistance, and suppressed charge recombination. In addition, the ZnPW-modified devices had improved photostability and storage stability compared to PEDOT/PSS-modified devices. Our work shows that the polyoxometalate-based inorganic nanocluster ZnPW has great advantages in enhancing the device performance and stability of OSCs. © 2023 American Chemical Society.","archive":"Scopus","container-title":"ACS Applied Materials and Interfaces","DOI":"10.1021/acsami.2c22130","ISSN":"1944-8244","issue":"4","language":"English","page":"5566-5576","source":"Scopus","title":"Phosphotungstate-Based Anode Interfacial Material for Constructing High-Performance Polymer Solar Cells with a Fill Factor over 80%","volume":"15","author":[{"family":"Feng","given":"L."},{"family":"Chen","given":"S."},{"family":"Zhang","given":"K."},{"family":"Jing","given":"J."},{"family":"Zhou","given":"Z."},{"family":"Xue","given":"Q."},{"family":"Liu","given":"Z."},{"family":"Chen","given":"Y."},{"family":"Dong","given":"S."},{"family":"Huang","given":"F."},{"family":"Cao","given":"Y."}],"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w:t>
            </w:r>
            <w:r w:rsidRPr="00B55044">
              <w:rPr>
                <w:rFonts w:eastAsia="Times New Roman"/>
                <w:color w:val="0000FF"/>
                <w:sz w:val="16"/>
                <w:szCs w:val="16"/>
              </w:rPr>
              <w:fldChar w:fldCharType="end"/>
            </w:r>
          </w:p>
        </w:tc>
      </w:tr>
      <w:tr w:rsidR="00D47774" w:rsidRPr="00B55044" w14:paraId="163CC11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620C0F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26</w:t>
            </w:r>
          </w:p>
        </w:tc>
        <w:tc>
          <w:tcPr>
            <w:tcW w:w="1525" w:type="pct"/>
            <w:tcBorders>
              <w:top w:val="single" w:sz="4" w:space="0" w:color="auto"/>
              <w:left w:val="nil"/>
              <w:bottom w:val="single" w:sz="4" w:space="0" w:color="auto"/>
              <w:right w:val="nil"/>
            </w:tcBorders>
            <w:shd w:val="clear" w:color="auto" w:fill="auto"/>
            <w:noWrap/>
            <w:vAlign w:val="bottom"/>
            <w:hideMark/>
          </w:tcPr>
          <w:p w14:paraId="4198D4A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1F23A2C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PM6:G6-BO:BTP-eC9</w:t>
            </w:r>
          </w:p>
        </w:tc>
        <w:tc>
          <w:tcPr>
            <w:tcW w:w="379" w:type="pct"/>
            <w:tcBorders>
              <w:top w:val="single" w:sz="4" w:space="0" w:color="auto"/>
              <w:left w:val="nil"/>
              <w:bottom w:val="single" w:sz="4" w:space="0" w:color="auto"/>
              <w:right w:val="nil"/>
            </w:tcBorders>
            <w:shd w:val="clear" w:color="auto" w:fill="auto"/>
            <w:noWrap/>
            <w:vAlign w:val="bottom"/>
            <w:hideMark/>
          </w:tcPr>
          <w:p w14:paraId="3527788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4648295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27.6</w:t>
            </w:r>
          </w:p>
        </w:tc>
        <w:tc>
          <w:tcPr>
            <w:tcW w:w="378" w:type="pct"/>
            <w:tcBorders>
              <w:top w:val="single" w:sz="4" w:space="0" w:color="auto"/>
              <w:left w:val="nil"/>
              <w:bottom w:val="single" w:sz="4" w:space="0" w:color="auto"/>
              <w:right w:val="nil"/>
            </w:tcBorders>
            <w:shd w:val="clear" w:color="auto" w:fill="auto"/>
            <w:noWrap/>
            <w:vAlign w:val="bottom"/>
            <w:hideMark/>
          </w:tcPr>
          <w:p w14:paraId="5966B4F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77.67</w:t>
            </w:r>
          </w:p>
        </w:tc>
        <w:tc>
          <w:tcPr>
            <w:tcW w:w="381" w:type="pct"/>
            <w:tcBorders>
              <w:top w:val="single" w:sz="4" w:space="0" w:color="auto"/>
              <w:left w:val="nil"/>
              <w:bottom w:val="single" w:sz="4" w:space="0" w:color="auto"/>
              <w:right w:val="nil"/>
            </w:tcBorders>
            <w:shd w:val="clear" w:color="auto" w:fill="auto"/>
            <w:noWrap/>
            <w:vAlign w:val="bottom"/>
            <w:hideMark/>
          </w:tcPr>
          <w:p w14:paraId="543930B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18.13</w:t>
            </w:r>
          </w:p>
        </w:tc>
        <w:tc>
          <w:tcPr>
            <w:tcW w:w="378" w:type="pct"/>
            <w:tcBorders>
              <w:top w:val="single" w:sz="4" w:space="0" w:color="auto"/>
              <w:left w:val="nil"/>
              <w:bottom w:val="single" w:sz="4" w:space="0" w:color="auto"/>
              <w:right w:val="nil"/>
            </w:tcBorders>
            <w:shd w:val="clear" w:color="auto" w:fill="auto"/>
            <w:noWrap/>
            <w:vAlign w:val="bottom"/>
            <w:hideMark/>
          </w:tcPr>
          <w:p w14:paraId="310E8CC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{"citationID":"XsSx42lX","properties":{"formattedCitation":"[16]","plainCitation":"[16]","noteIndex":0},"citationItems":[{"id":643,"uris":["http://zotero.org/users/12909065/items/225EVVCT"],"itemData":{"id":643,"type":"article-journal","abstract":"With the generation of Y6, organic solar cells have reached remarkable achievement of over 19% efficiency. Alkyl chain is of importance to modulate intermolecular stacking and possibly enhance optoelectronic properties of small molecule acceptors (SMAs). Three alkyl chains of 2-ethylhexyl, 2-butylocyl and 3-ethylheptyl were selected to obtain G6-EH, G6-BO and G6-EHep molecules, respectively. Compared to G6-EH and G6-BO, G6-EHep was found inducing unfavourable large domain size. Furthermore, we discover that 2-butyloctyl effectively inhibits monomolecular and bimolecular recombination, improves molecular packing, generates more balanced carrier mobility and enhances exciton dissociation. The SMA with 2-butyloctyl alkyl chains (G6-BO) shows the best electrical and morphological characteristics, achieving a higher power conversion efficiency (PCE) of 17.06%, with an open circuit voltage of 0.912 V, a short-circuit current of 24.22 mA cm−2 and a fill factor of 77.25%. Finally, using the ternary strategy by incorporating the G6-BO acceptor into PM6:BTP-eC9, we achieved a higher PCE of 18.13% with enhanced electron transport. [Figure not available: see fulltext.]. © 2023, Science China Press.","archive":"Scopus","container-title":"Science China Chemistry","DOI":"10.1007/s11426-022-1451-2","ISSN":"1674-7291","issue":"2","language":"English","page":"500-507","source":"Scopus","title":"Inner alkyl chain modulation of small molecular acceptors enables molecular packing optimization and efficient organic solar cells","volume":"66","author":[{"family":"Guo","given":"Y."},{"family":"Chen","given":"Z."},{"family":"Ge","given":"J."},{"family":"Zhang","given":"J."},{"family":"Xie","given":"L."},{"family":"Peng","given":"R."},{"family":"Ma","given":"W."},{"family":"Ge","given":"Z."}],"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w:t>
            </w:r>
            <w:r w:rsidRPr="00B55044">
              <w:rPr>
                <w:rFonts w:eastAsia="Times New Roman"/>
                <w:color w:val="0000FF"/>
                <w:sz w:val="16"/>
                <w:szCs w:val="16"/>
              </w:rPr>
              <w:fldChar w:fldCharType="end"/>
            </w:r>
          </w:p>
        </w:tc>
      </w:tr>
      <w:tr w:rsidR="00D47774" w:rsidRPr="00B55044" w14:paraId="7C4D4B1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3C915D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27</w:t>
            </w:r>
          </w:p>
        </w:tc>
        <w:tc>
          <w:tcPr>
            <w:tcW w:w="1525" w:type="pct"/>
            <w:tcBorders>
              <w:top w:val="single" w:sz="4" w:space="0" w:color="auto"/>
              <w:left w:val="nil"/>
              <w:bottom w:val="single" w:sz="4" w:space="0" w:color="auto"/>
              <w:right w:val="nil"/>
            </w:tcBorders>
            <w:shd w:val="clear" w:color="auto" w:fill="auto"/>
            <w:noWrap/>
            <w:vAlign w:val="bottom"/>
            <w:hideMark/>
          </w:tcPr>
          <w:p w14:paraId="44574AD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ITO/MoOx/AL/PNDIT-F3N/Ag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63E0133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264E2CC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0.843</w:t>
            </w:r>
          </w:p>
        </w:tc>
        <w:tc>
          <w:tcPr>
            <w:tcW w:w="379" w:type="pct"/>
            <w:tcBorders>
              <w:top w:val="single" w:sz="4" w:space="0" w:color="auto"/>
              <w:left w:val="nil"/>
              <w:bottom w:val="single" w:sz="4" w:space="0" w:color="auto"/>
              <w:right w:val="nil"/>
            </w:tcBorders>
            <w:shd w:val="clear" w:color="auto" w:fill="auto"/>
            <w:noWrap/>
            <w:vAlign w:val="bottom"/>
            <w:hideMark/>
          </w:tcPr>
          <w:p w14:paraId="2017A0B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26.71</w:t>
            </w:r>
          </w:p>
        </w:tc>
        <w:tc>
          <w:tcPr>
            <w:tcW w:w="378" w:type="pct"/>
            <w:tcBorders>
              <w:top w:val="single" w:sz="4" w:space="0" w:color="auto"/>
              <w:left w:val="nil"/>
              <w:bottom w:val="single" w:sz="4" w:space="0" w:color="auto"/>
              <w:right w:val="nil"/>
            </w:tcBorders>
            <w:shd w:val="clear" w:color="auto" w:fill="auto"/>
            <w:noWrap/>
            <w:vAlign w:val="bottom"/>
            <w:hideMark/>
          </w:tcPr>
          <w:p w14:paraId="457C38B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74.22</w:t>
            </w:r>
          </w:p>
        </w:tc>
        <w:tc>
          <w:tcPr>
            <w:tcW w:w="381" w:type="pct"/>
            <w:tcBorders>
              <w:top w:val="single" w:sz="4" w:space="0" w:color="auto"/>
              <w:left w:val="nil"/>
              <w:bottom w:val="single" w:sz="4" w:space="0" w:color="auto"/>
              <w:right w:val="nil"/>
            </w:tcBorders>
            <w:shd w:val="clear" w:color="auto" w:fill="auto"/>
            <w:noWrap/>
            <w:vAlign w:val="bottom"/>
            <w:hideMark/>
          </w:tcPr>
          <w:p w14:paraId="499951F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17.21</w:t>
            </w:r>
          </w:p>
        </w:tc>
        <w:tc>
          <w:tcPr>
            <w:tcW w:w="378" w:type="pct"/>
            <w:tcBorders>
              <w:top w:val="single" w:sz="4" w:space="0" w:color="auto"/>
              <w:left w:val="nil"/>
              <w:bottom w:val="single" w:sz="4" w:space="0" w:color="auto"/>
              <w:right w:val="nil"/>
            </w:tcBorders>
            <w:shd w:val="clear" w:color="auto" w:fill="auto"/>
            <w:noWrap/>
            <w:vAlign w:val="bottom"/>
            <w:hideMark/>
          </w:tcPr>
          <w:p w14:paraId="19EB8B5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{"citationID":"ubcPaiMz","properties":{"formattedCitation":"[17]","plainCitation":"[17]","noteIndex":0},"citationItems":[{"id":642,"uris":["http://zotero.org/users/12909065/items/UKW573EB"],"itemData":{"id":642,"type":"article-journal","abstract":"The hole transport layer (HTL) affects the device performance and stability of organic solar cells. In this work, a stable molybdenum oxide (MoOx) hole transport layer with low cost was prepared by adjusting the state of the precursor solution with an alcoholic solution of molybdenum acetylacetonate through an oxidant. The MoOx transport layer has good transmittance with a work function of 5.07 eV and higher surface energy. The PM6:Y6 devices using MoOx HTL achieve a high efficiency of 16.8%. MoOx HTL exhibits good applicability with excellent performance in both ternary and all-polymer systems. Air storage stability T80 of the all-polymer device using MoOx HTL was over 600 h, much higher than 70 h of the PEDOT:PSS-based device, and its thermal stability at 85 °C and operational stability under light show better stability than that of the PEDOT:PSS hole transport layer. This work provides a facile and low-cost method to fabricate HTL for organic solar cells, which is beneficial to improve their efficiency and stability. © 2022, Chinese Chemical Society Institute of Chemistry, Chinese Academy of Sciences.","archive":"Scopus","container-title":"Chinese Journal of Polymer Science (English Edition)","DOI":"10.1007/s10118-022-2873-3","ISSN":"0256-7679","issue":"2","language":"English","page":"202-211","source":"Scopus","title":"Solution-processed Molybdenum Oxide Hole Transport Layer Stabilizes Organic Solar Cells","volume":"41","author":[{"family":"Liu","given":"Y.-F."},{"family":"Zhang","given":"S.-W."},{"family":"Li","given":"Y.-X."},{"family":"Li","given":"S.-L."},{"family":"Huang","given":"L.-Q."},{"family":"Jing","given":"Y.-N."},{"family":"Cheng","given":"Q."},{"family":"Xiao","given":"L.-G."},{"family":"Wang","given":"B.-X."},{"family":"Han","given":"B."},{"family":"Kang","given":"J.-J."},{"family":"Zhang","given":"Y."},{"family":"Zhang","given":"H."},{"family":"Zhou","given":"H.-Q."}],"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w:t>
            </w:r>
            <w:r w:rsidRPr="00B55044">
              <w:rPr>
                <w:rFonts w:eastAsia="Times New Roman"/>
                <w:color w:val="0000FF"/>
                <w:sz w:val="16"/>
                <w:szCs w:val="16"/>
              </w:rPr>
              <w:fldChar w:fldCharType="end"/>
            </w:r>
          </w:p>
        </w:tc>
      </w:tr>
      <w:tr w:rsidR="00D47774" w:rsidRPr="00B55044" w14:paraId="26FF3BE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C45A97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28</w:t>
            </w:r>
          </w:p>
        </w:tc>
        <w:tc>
          <w:tcPr>
            <w:tcW w:w="1525" w:type="pct"/>
            <w:tcBorders>
              <w:top w:val="single" w:sz="4" w:space="0" w:color="auto"/>
              <w:left w:val="nil"/>
              <w:bottom w:val="single" w:sz="4" w:space="0" w:color="auto"/>
              <w:right w:val="nil"/>
            </w:tcBorders>
            <w:shd w:val="clear" w:color="auto" w:fill="auto"/>
            <w:noWrap/>
            <w:vAlign w:val="bottom"/>
            <w:hideMark/>
          </w:tcPr>
          <w:p w14:paraId="5781F4A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2F93384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3DE3E46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0.843</w:t>
            </w:r>
          </w:p>
        </w:tc>
        <w:tc>
          <w:tcPr>
            <w:tcW w:w="379" w:type="pct"/>
            <w:tcBorders>
              <w:top w:val="single" w:sz="4" w:space="0" w:color="auto"/>
              <w:left w:val="nil"/>
              <w:bottom w:val="single" w:sz="4" w:space="0" w:color="auto"/>
              <w:right w:val="nil"/>
            </w:tcBorders>
            <w:shd w:val="clear" w:color="auto" w:fill="auto"/>
            <w:noWrap/>
            <w:vAlign w:val="bottom"/>
            <w:hideMark/>
          </w:tcPr>
          <w:p w14:paraId="6ABEE6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26.02</w:t>
            </w:r>
          </w:p>
        </w:tc>
        <w:tc>
          <w:tcPr>
            <w:tcW w:w="378" w:type="pct"/>
            <w:tcBorders>
              <w:top w:val="single" w:sz="4" w:space="0" w:color="auto"/>
              <w:left w:val="nil"/>
              <w:bottom w:val="single" w:sz="4" w:space="0" w:color="auto"/>
              <w:right w:val="nil"/>
            </w:tcBorders>
            <w:shd w:val="clear" w:color="auto" w:fill="auto"/>
            <w:noWrap/>
            <w:vAlign w:val="bottom"/>
            <w:hideMark/>
          </w:tcPr>
          <w:p w14:paraId="388FC3E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75.23</w:t>
            </w:r>
          </w:p>
        </w:tc>
        <w:tc>
          <w:tcPr>
            <w:tcW w:w="381" w:type="pct"/>
            <w:tcBorders>
              <w:top w:val="single" w:sz="4" w:space="0" w:color="auto"/>
              <w:left w:val="nil"/>
              <w:bottom w:val="single" w:sz="4" w:space="0" w:color="auto"/>
              <w:right w:val="nil"/>
            </w:tcBorders>
            <w:shd w:val="clear" w:color="auto" w:fill="auto"/>
            <w:noWrap/>
            <w:vAlign w:val="bottom"/>
            <w:hideMark/>
          </w:tcPr>
          <w:p w14:paraId="7E5C348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16.88</w:t>
            </w:r>
          </w:p>
        </w:tc>
        <w:tc>
          <w:tcPr>
            <w:tcW w:w="378" w:type="pct"/>
            <w:tcBorders>
              <w:top w:val="single" w:sz="4" w:space="0" w:color="auto"/>
              <w:left w:val="nil"/>
              <w:bottom w:val="single" w:sz="4" w:space="0" w:color="auto"/>
              <w:right w:val="nil"/>
            </w:tcBorders>
            <w:shd w:val="clear" w:color="auto" w:fill="auto"/>
            <w:noWrap/>
            <w:vAlign w:val="bottom"/>
            <w:hideMark/>
          </w:tcPr>
          <w:p w14:paraId="32594D8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{"citationID":"a9zheCjz","properties":{"formattedCitation":"[17]","plainCitation":"[17]","noteIndex":0},"citationItems":[{"id":642,"uris":["http://zotero.org/users/12909065/items/UKW573EB"],"itemData":{"id":642,"type":"article-journal","abstract":"The hole transport layer (HTL) affects the device performance and stability of organic solar cells. In this work, a stable molybdenum oxide (MoOx) hole transport layer with low cost was prepared by adjusting the state of the precursor solution with an alcoholic solution of molybdenum acetylacetonate through an oxidant. The MoOx transport layer has good transmittance with a work function of 5.07 eV and higher surface energy. The PM6:Y6 devices using MoOx HTL achieve a high efficiency of 16.8%. MoOx HTL exhibits good applicability with excellent performance in both ternary and all-polymer systems. Air storage stability T80 of the all-polymer device using MoOx HTL was over 600 h, much higher than 70 h of the PEDOT:PSS-based device, and its thermal stability at 85 °C and operational stability under light show better stability than that of the PEDOT:PSS hole transport layer. This work provides a facile and low-cost method to fabricate HTL for organic solar cells, which is beneficial to improve their efficiency and stability. © 2022, Chinese Chemical Society Institute of Chemistry, Chinese Academy of Sciences.","archive":"Scopus","container-title":"Chinese Journal of Polymer Science (English Edition)","DOI":"10.1007/s10118-022-2873-3","ISSN":"0256-7679","issue":"2","language":"English","page":"202-211","source":"Scopus","title":"Solution-processed Molybdenum Oxide Hole Transport Layer Stabilizes Organic Solar Cells","volume":"41","author":[{"family":"Liu","given":"Y.-F."},{"family":"Zhang","given":"S.-W."},{"family":"Li","given":"Y.-X."},{"family":"Li","given":"S.-L."},{"family":"Huang","given":"L.-Q."},{"family":"Jing","given":"Y.-N."},{"family":"Cheng","given":"Q."},{"family":"Xiao","given":"L.-G."},{"family":"Wang","given":"B.-X."},{"family":"Han","given":"B."},{"family":"Kang","given":"J.-J."},{"family":"Zhang","given":"Y."},{"family":"Zhang","given":"H."},{"family":"Zhou","given":"H.-Q."}],"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w:t>
            </w:r>
            <w:r w:rsidRPr="00B55044">
              <w:rPr>
                <w:rFonts w:eastAsia="Times New Roman"/>
                <w:color w:val="0000FF"/>
                <w:sz w:val="16"/>
                <w:szCs w:val="16"/>
              </w:rPr>
              <w:fldChar w:fldCharType="end"/>
            </w:r>
          </w:p>
        </w:tc>
      </w:tr>
      <w:tr w:rsidR="00D47774" w:rsidRPr="00B55044" w14:paraId="19D53FE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8AB132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29</w:t>
            </w:r>
          </w:p>
        </w:tc>
        <w:tc>
          <w:tcPr>
            <w:tcW w:w="1525" w:type="pct"/>
            <w:tcBorders>
              <w:top w:val="single" w:sz="4" w:space="0" w:color="auto"/>
              <w:left w:val="nil"/>
              <w:bottom w:val="single" w:sz="4" w:space="0" w:color="auto"/>
              <w:right w:val="nil"/>
            </w:tcBorders>
            <w:shd w:val="clear" w:color="auto" w:fill="auto"/>
            <w:noWrap/>
            <w:vAlign w:val="bottom"/>
            <w:hideMark/>
          </w:tcPr>
          <w:p w14:paraId="460A4BA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 PNDIT-F3N/Ag</w:t>
            </w:r>
          </w:p>
        </w:tc>
        <w:tc>
          <w:tcPr>
            <w:tcW w:w="1288" w:type="pct"/>
            <w:tcBorders>
              <w:top w:val="single" w:sz="4" w:space="0" w:color="auto"/>
              <w:left w:val="nil"/>
              <w:bottom w:val="single" w:sz="4" w:space="0" w:color="auto"/>
              <w:right w:val="nil"/>
            </w:tcBorders>
            <w:shd w:val="clear" w:color="auto" w:fill="auto"/>
            <w:noWrap/>
            <w:vAlign w:val="bottom"/>
            <w:hideMark/>
          </w:tcPr>
          <w:p w14:paraId="140638D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PM6:J71:PY2Se‐Cl‐ran</w:t>
            </w:r>
          </w:p>
        </w:tc>
        <w:tc>
          <w:tcPr>
            <w:tcW w:w="379" w:type="pct"/>
            <w:tcBorders>
              <w:top w:val="single" w:sz="4" w:space="0" w:color="auto"/>
              <w:left w:val="nil"/>
              <w:bottom w:val="single" w:sz="4" w:space="0" w:color="auto"/>
              <w:right w:val="nil"/>
            </w:tcBorders>
            <w:shd w:val="clear" w:color="auto" w:fill="auto"/>
            <w:noWrap/>
            <w:vAlign w:val="bottom"/>
            <w:hideMark/>
          </w:tcPr>
          <w:p w14:paraId="4DC04A4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0.896</w:t>
            </w:r>
          </w:p>
        </w:tc>
        <w:tc>
          <w:tcPr>
            <w:tcW w:w="379" w:type="pct"/>
            <w:tcBorders>
              <w:top w:val="single" w:sz="4" w:space="0" w:color="auto"/>
              <w:left w:val="nil"/>
              <w:bottom w:val="single" w:sz="4" w:space="0" w:color="auto"/>
              <w:right w:val="nil"/>
            </w:tcBorders>
            <w:shd w:val="clear" w:color="auto" w:fill="auto"/>
            <w:noWrap/>
            <w:vAlign w:val="bottom"/>
            <w:hideMark/>
          </w:tcPr>
          <w:p w14:paraId="64EE776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25.05</w:t>
            </w:r>
          </w:p>
        </w:tc>
        <w:tc>
          <w:tcPr>
            <w:tcW w:w="378" w:type="pct"/>
            <w:tcBorders>
              <w:top w:val="single" w:sz="4" w:space="0" w:color="auto"/>
              <w:left w:val="nil"/>
              <w:bottom w:val="single" w:sz="4" w:space="0" w:color="auto"/>
              <w:right w:val="nil"/>
            </w:tcBorders>
            <w:shd w:val="clear" w:color="auto" w:fill="auto"/>
            <w:noWrap/>
            <w:vAlign w:val="bottom"/>
            <w:hideMark/>
          </w:tcPr>
          <w:p w14:paraId="2B66D28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75.1</w:t>
            </w:r>
          </w:p>
        </w:tc>
        <w:tc>
          <w:tcPr>
            <w:tcW w:w="381" w:type="pct"/>
            <w:tcBorders>
              <w:top w:val="single" w:sz="4" w:space="0" w:color="auto"/>
              <w:left w:val="nil"/>
              <w:bottom w:val="single" w:sz="4" w:space="0" w:color="auto"/>
              <w:right w:val="nil"/>
            </w:tcBorders>
            <w:shd w:val="clear" w:color="auto" w:fill="auto"/>
            <w:noWrap/>
            <w:vAlign w:val="bottom"/>
            <w:hideMark/>
          </w:tcPr>
          <w:p w14:paraId="22A75C6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16.86</w:t>
            </w:r>
          </w:p>
        </w:tc>
        <w:tc>
          <w:tcPr>
            <w:tcW w:w="378" w:type="pct"/>
            <w:tcBorders>
              <w:top w:val="single" w:sz="4" w:space="0" w:color="auto"/>
              <w:left w:val="nil"/>
              <w:bottom w:val="single" w:sz="4" w:space="0" w:color="auto"/>
              <w:right w:val="nil"/>
            </w:tcBorders>
            <w:shd w:val="clear" w:color="auto" w:fill="auto"/>
            <w:noWrap/>
            <w:vAlign w:val="bottom"/>
            <w:hideMark/>
          </w:tcPr>
          <w:p w14:paraId="0990FA0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{"citationID":"7jomoGJL","properties":{"formattedCitation":"[18]","plainCitation":"[18]","noteIndex":0},"citationItems":[{"id":641,"uris":["http://zotero.org/users/12909065/items/K35W397A"],"itemData":{"id":641,"type":"article-journal","abstract":"The recently reported efficient polymerized small-molecule acceptors (PSMAs) usually adopt a regioregular backbone by polymerizing small-molecule acceptors precursors with a low-reactivity 5-brominated 3-(dicyanomethylidene)indan-1-one (IC) end group or its derivatives, leading to low molecular weight, and thus reduce active layer mechanical properties. Herein, a series of newly designed chlorinated PSMAs originating from isomeric IC end groups are developed by adjusting chlorinated positions and copolymerized sites on end groups to achieve high molecular weight, favorable intermolecular interaction, and improved physicochemical properties. Compared with regioregular PY2Se-Cl-o and PY2Se-Cl-m, regiorandom PY2Se-Cl-ran has a similar absorption profile, moderate lowest unoccupied molecular orbital level, and favorable intermolecular packing and crystallization properties. Moreover, the binary PM6:PY2Se-Cl-ran blend achieves better ductility with a crack-onset strain of 17.5% and improved power conversion efficiency (PCE) of 16.23% in all-polymer solar cells (all-PSCs) due to the higher molecular weight of PY2Se-Cl-ran and optimized blend morphology, while the ternary PM6:J71:PY2Se-Cl-ran blend offers an impressive PCE approaching 17% and excellent device stability, which are all crucial for potential practical applications of all-PSCs in wearable electronics. To date, the efficiency of 16.86% is the highest value reported for the regiorandom PSMAs-based all-PSCs and is also one of the best values reported for the all-PSCs. Our work provides a new perspective to develop efficient all-PSCs, with all high active layer ductility, impressive PCE, and excellent device stability, towards practical applications.","container-title":"Carbon Energy","DOI":"10.1002/cey2.267","ISSN":"2637-9368","issue":"2","language":"en","license":"© 2022 The Authors. Carbon Energy published by Wenzhou University and John Wiley &amp; Sons Australia, Ltd.","note":"_eprint: https://onlinelibrary.wiley.com/doi/pdf/10.1002/cey2.267","page":"e267","source":"Wiley Online Library","title":"A new perspective to develop regiorandom polymer acceptors with high active layer ductility, excellent device stability, and high efficiency approaching 17%","volume":"5","author":[{"family":"Fan","given":"Qunping"},{"family":"Ma","given":"Ruijie"},{"family":"Su","given":"Wenyan"},{"family":"Zhu","given":"Qinglian"},{"family":"Luo","given":"Zhenghui"},{"family":"Chen","given":"Kai"},{"family":"Tang","given":"Yabing"},{"family":"Lin","given":"Francis R."},{"family":"Li","given":"Yuxiang"},{"family":"Yan","given":"He"},{"family":"Yang","given":"Chuluo"},{"family":"Jen","given":"Alex K.-Y."},{"family":"Ma","given":"Wei"}],"issued":{"date-parts":[["2023"]]}}}],"schema":"https://github.com/citation-style-language/schema/raw/master/csl-citation.json"}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w:t>
            </w:r>
            <w:r w:rsidRPr="00B55044">
              <w:rPr>
                <w:rFonts w:eastAsia="Times New Roman"/>
                <w:color w:val="0000FF"/>
                <w:sz w:val="16"/>
                <w:szCs w:val="16"/>
              </w:rPr>
              <w:fldChar w:fldCharType="end"/>
            </w:r>
          </w:p>
        </w:tc>
      </w:tr>
      <w:tr w:rsidR="00D47774" w:rsidRPr="00B55044" w14:paraId="045C748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5024F5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30</w:t>
            </w:r>
          </w:p>
        </w:tc>
        <w:tc>
          <w:tcPr>
            <w:tcW w:w="1525" w:type="pct"/>
            <w:tcBorders>
              <w:top w:val="single" w:sz="4" w:space="0" w:color="auto"/>
              <w:left w:val="nil"/>
              <w:bottom w:val="single" w:sz="4" w:space="0" w:color="auto"/>
              <w:right w:val="nil"/>
            </w:tcBorders>
            <w:shd w:val="clear" w:color="auto" w:fill="auto"/>
            <w:noWrap/>
            <w:vAlign w:val="bottom"/>
            <w:hideMark/>
          </w:tcPr>
          <w:p w14:paraId="64A9F00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/Al</w:t>
            </w:r>
          </w:p>
        </w:tc>
        <w:tc>
          <w:tcPr>
            <w:tcW w:w="1288" w:type="pct"/>
            <w:tcBorders>
              <w:top w:val="single" w:sz="4" w:space="0" w:color="auto"/>
              <w:left w:val="nil"/>
              <w:bottom w:val="single" w:sz="4" w:space="0" w:color="auto"/>
              <w:right w:val="nil"/>
            </w:tcBorders>
            <w:shd w:val="clear" w:color="auto" w:fill="auto"/>
            <w:noWrap/>
            <w:vAlign w:val="bottom"/>
            <w:hideMark/>
          </w:tcPr>
          <w:p w14:paraId="666A245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PM6:BTR-Cl:CH1007</w:t>
            </w:r>
          </w:p>
        </w:tc>
        <w:tc>
          <w:tcPr>
            <w:tcW w:w="379" w:type="pct"/>
            <w:tcBorders>
              <w:top w:val="single" w:sz="4" w:space="0" w:color="auto"/>
              <w:left w:val="nil"/>
              <w:bottom w:val="single" w:sz="4" w:space="0" w:color="auto"/>
              <w:right w:val="nil"/>
            </w:tcBorders>
            <w:shd w:val="clear" w:color="auto" w:fill="auto"/>
            <w:noWrap/>
            <w:vAlign w:val="bottom"/>
            <w:hideMark/>
          </w:tcPr>
          <w:p w14:paraId="1100273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0.815</w:t>
            </w:r>
          </w:p>
        </w:tc>
        <w:tc>
          <w:tcPr>
            <w:tcW w:w="379" w:type="pct"/>
            <w:tcBorders>
              <w:top w:val="single" w:sz="4" w:space="0" w:color="auto"/>
              <w:left w:val="nil"/>
              <w:bottom w:val="single" w:sz="4" w:space="0" w:color="auto"/>
              <w:right w:val="nil"/>
            </w:tcBorders>
            <w:shd w:val="clear" w:color="auto" w:fill="auto"/>
            <w:noWrap/>
            <w:vAlign w:val="bottom"/>
            <w:hideMark/>
          </w:tcPr>
          <w:p w14:paraId="4DED697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w:t>
            </w:r>
          </w:p>
        </w:tc>
        <w:tc>
          <w:tcPr>
            <w:tcW w:w="378" w:type="pct"/>
            <w:tcBorders>
              <w:top w:val="single" w:sz="4" w:space="0" w:color="auto"/>
              <w:left w:val="nil"/>
              <w:bottom w:val="single" w:sz="4" w:space="0" w:color="auto"/>
              <w:right w:val="nil"/>
            </w:tcBorders>
            <w:shd w:val="clear" w:color="auto" w:fill="auto"/>
            <w:noWrap/>
            <w:vAlign w:val="bottom"/>
            <w:hideMark/>
          </w:tcPr>
          <w:p w14:paraId="27F4813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74.1</w:t>
            </w:r>
          </w:p>
        </w:tc>
        <w:tc>
          <w:tcPr>
            <w:tcW w:w="381" w:type="pct"/>
            <w:tcBorders>
              <w:top w:val="single" w:sz="4" w:space="0" w:color="auto"/>
              <w:left w:val="nil"/>
              <w:bottom w:val="single" w:sz="4" w:space="0" w:color="auto"/>
              <w:right w:val="nil"/>
            </w:tcBorders>
            <w:shd w:val="clear" w:color="auto" w:fill="auto"/>
            <w:noWrap/>
            <w:vAlign w:val="bottom"/>
            <w:hideMark/>
          </w:tcPr>
          <w:p w14:paraId="6A0E7D5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16.3</w:t>
            </w:r>
          </w:p>
        </w:tc>
        <w:tc>
          <w:tcPr>
            <w:tcW w:w="378" w:type="pct"/>
            <w:tcBorders>
              <w:top w:val="single" w:sz="4" w:space="0" w:color="auto"/>
              <w:left w:val="nil"/>
              <w:bottom w:val="single" w:sz="4" w:space="0" w:color="auto"/>
              <w:right w:val="nil"/>
            </w:tcBorders>
            <w:shd w:val="clear" w:color="auto" w:fill="auto"/>
            <w:noWrap/>
            <w:vAlign w:val="bottom"/>
            <w:hideMark/>
          </w:tcPr>
          <w:p w14:paraId="48EB425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{"citationID":"95vN68Hj","properties":{"formattedCitation":"[19]","plainCitation":"[19]","noteIndex":0},"citationItems":[{"id":640,"uris":["http://zotero.org/users/12909065/items/MHKPYGW4"],"itemData":{"id":640,"type":"article-journal","abstract":"The power conversion efficiency (PCE) of organic solar cells (OSCs) has reached high values of over 19%. However, most of the high-efficiency OSCs are fabricated by spin-coating with toxic solvents and the optimal photoactive layer thickness is limited to 100 nm, limiting practical development of OSCs. It is a great challenge to obtain ideal morphology for high-efficiency thick-film OSCs when using non-halogenated solvents due to the unfavorable film formation kinetics. Herein, high-efficiency ternary thick-film (300 nm) OSCs with PCE of 15.4% based on PM6:BTR-Cl:CH1007 are fabricated by hot slot-die coating using non-halogenated solvent (o-xylene) in the air. Compared to PM6:BTR-Cl:Y6 blends, the stronger pre-aggregation of CH1007 in solution induces the earlier aggregation of CH1007 molecules and longer aggregation time, and thus results in high and balanced crystallinity of donors and acceptor in CH1007-based ternary film, which led to high-carrier mobility and suppressed charge recombination. The ternary strategy is further used to fabricate high-efficiency, thick-film, large-area, and flexible devices processed from non-halogenated solvents, paving the way for industrial development of OSCs. © 2022 Wiley-VCH GmbH.","archive":"Scopus","container-title":"Advanced Functional Materials","DOI":"10.1002/adfm.202210534","ISSN":"1616-301X","issue":"5","language":"English","source":"Scopus","title":"High-Performance Green Thick-Film Ternary Organic Solar Cells Enabled by Crystallinity Regulation","volume":"33","author":[{"family":"Zhao","given":"H."},{"family":"Xue","given":"J."},{"family":"Wu","given":"H."},{"family":"Lin","given":"B."},{"family":"Cai","given":"Y."},{"family":"Zhou","given":"K."},{"family":"Yun","given":"D."},{"family":"Tang","given":"Z."},{"family":"Ma","given":"W."}],"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w:t>
            </w:r>
            <w:r w:rsidRPr="00B55044">
              <w:rPr>
                <w:rFonts w:eastAsia="Times New Roman"/>
                <w:color w:val="0000FF"/>
                <w:sz w:val="16"/>
                <w:szCs w:val="16"/>
              </w:rPr>
              <w:fldChar w:fldCharType="end"/>
            </w:r>
          </w:p>
        </w:tc>
      </w:tr>
      <w:tr w:rsidR="00D47774" w:rsidRPr="00B55044" w14:paraId="5451EBC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9EFE52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31</w:t>
            </w:r>
          </w:p>
        </w:tc>
        <w:tc>
          <w:tcPr>
            <w:tcW w:w="1525" w:type="pct"/>
            <w:tcBorders>
              <w:top w:val="single" w:sz="4" w:space="0" w:color="auto"/>
              <w:left w:val="nil"/>
              <w:bottom w:val="single" w:sz="4" w:space="0" w:color="auto"/>
              <w:right w:val="nil"/>
            </w:tcBorders>
            <w:shd w:val="clear" w:color="auto" w:fill="auto"/>
            <w:noWrap/>
            <w:vAlign w:val="bottom"/>
            <w:hideMark/>
          </w:tcPr>
          <w:p w14:paraId="33367E7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/Al</w:t>
            </w:r>
          </w:p>
        </w:tc>
        <w:tc>
          <w:tcPr>
            <w:tcW w:w="1288" w:type="pct"/>
            <w:tcBorders>
              <w:top w:val="single" w:sz="4" w:space="0" w:color="auto"/>
              <w:left w:val="nil"/>
              <w:bottom w:val="single" w:sz="4" w:space="0" w:color="auto"/>
              <w:right w:val="nil"/>
            </w:tcBorders>
            <w:shd w:val="clear" w:color="auto" w:fill="auto"/>
            <w:noWrap/>
            <w:vAlign w:val="bottom"/>
            <w:hideMark/>
          </w:tcPr>
          <w:p w14:paraId="4C9E02F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PM6:BTR-Cl:CH1007</w:t>
            </w:r>
          </w:p>
        </w:tc>
        <w:tc>
          <w:tcPr>
            <w:tcW w:w="379" w:type="pct"/>
            <w:tcBorders>
              <w:top w:val="single" w:sz="4" w:space="0" w:color="auto"/>
              <w:left w:val="nil"/>
              <w:bottom w:val="single" w:sz="4" w:space="0" w:color="auto"/>
              <w:right w:val="nil"/>
            </w:tcBorders>
            <w:shd w:val="clear" w:color="auto" w:fill="auto"/>
            <w:noWrap/>
            <w:vAlign w:val="bottom"/>
            <w:hideMark/>
          </w:tcPr>
          <w:p w14:paraId="64E42A2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0.795</w:t>
            </w:r>
          </w:p>
        </w:tc>
        <w:tc>
          <w:tcPr>
            <w:tcW w:w="379" w:type="pct"/>
            <w:tcBorders>
              <w:top w:val="single" w:sz="4" w:space="0" w:color="auto"/>
              <w:left w:val="nil"/>
              <w:bottom w:val="single" w:sz="4" w:space="0" w:color="auto"/>
              <w:right w:val="nil"/>
            </w:tcBorders>
            <w:shd w:val="clear" w:color="auto" w:fill="auto"/>
            <w:noWrap/>
            <w:vAlign w:val="bottom"/>
            <w:hideMark/>
          </w:tcPr>
          <w:p w14:paraId="2032CA8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29</w:t>
            </w:r>
          </w:p>
        </w:tc>
        <w:tc>
          <w:tcPr>
            <w:tcW w:w="378" w:type="pct"/>
            <w:tcBorders>
              <w:top w:val="single" w:sz="4" w:space="0" w:color="auto"/>
              <w:left w:val="nil"/>
              <w:bottom w:val="single" w:sz="4" w:space="0" w:color="auto"/>
              <w:right w:val="nil"/>
            </w:tcBorders>
            <w:shd w:val="clear" w:color="auto" w:fill="auto"/>
            <w:noWrap/>
            <w:vAlign w:val="bottom"/>
            <w:hideMark/>
          </w:tcPr>
          <w:p w14:paraId="579070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66.7</w:t>
            </w:r>
          </w:p>
        </w:tc>
        <w:tc>
          <w:tcPr>
            <w:tcW w:w="381" w:type="pct"/>
            <w:tcBorders>
              <w:top w:val="single" w:sz="4" w:space="0" w:color="auto"/>
              <w:left w:val="nil"/>
              <w:bottom w:val="single" w:sz="4" w:space="0" w:color="auto"/>
              <w:right w:val="nil"/>
            </w:tcBorders>
            <w:shd w:val="clear" w:color="auto" w:fill="auto"/>
            <w:noWrap/>
            <w:vAlign w:val="bottom"/>
            <w:hideMark/>
          </w:tcPr>
          <w:p w14:paraId="5B2AD96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15.4</w:t>
            </w:r>
          </w:p>
        </w:tc>
        <w:tc>
          <w:tcPr>
            <w:tcW w:w="378" w:type="pct"/>
            <w:tcBorders>
              <w:top w:val="single" w:sz="4" w:space="0" w:color="auto"/>
              <w:left w:val="nil"/>
              <w:bottom w:val="single" w:sz="4" w:space="0" w:color="auto"/>
              <w:right w:val="nil"/>
            </w:tcBorders>
            <w:shd w:val="clear" w:color="auto" w:fill="auto"/>
            <w:noWrap/>
            <w:vAlign w:val="bottom"/>
            <w:hideMark/>
          </w:tcPr>
          <w:p w14:paraId="15E3842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{"citationID":"S5wnRe28","properties":{"formattedCitation":"[19]","plainCitation":"[19]","noteIndex":0},"citationItems":[{"id":640,"uris":["http://zotero.org/users/12909065/items/MHKPYGW4"],"itemData":{"id":640,"type":"article-journal","abstract":"The power conversion efficiency (PCE) of organic solar cells (OSCs) has reached high values of over 19%. However, most of the high-efficiency OSCs are fabricated by spin-coating with toxic solvents and the optimal photoactive layer thickness is limited to 100 nm, limiting practical development of OSCs. It is a great challenge to obtain ideal morphology for high-efficiency thick-film OSCs when using non-halogenated solvents due to the unfavorable film formation kinetics. Herein, high-efficiency ternary thick-film (300 nm) OSCs with PCE of 15.4% based on PM6:BTR-Cl:CH1007 are fabricated by hot slot-die coating using non-halogenated solvent (o-xylene) in the air. Compared to PM6:BTR-Cl:Y6 blends, the stronger pre-aggregation of CH1007 in solution induces the earlier aggregation of CH1007 molecules and longer aggregation time, and thus results in high and balanced crystallinity of donors and acceptor in CH1007-based ternary film, which led to high-carrier mobility and suppressed charge recombination. The ternary strategy is further used to fabricate high-efficiency, thick-film, large-area, and flexible devices processed from non-halogenated solvents, paving the way for industrial development of OSCs. © 2022 Wiley-VCH GmbH.","archive":"Scopus","container-title":"Advanced Functional Materials","DOI":"10.1002/adfm.202210534","ISSN":"1616-301X","issue":"5","language":"English","source":"Scopus","title":"High-Performance Green Thick-Film Ternary Organic Solar Cells Enabled by Crystallinity Regulation","volume":"33","author":[{"family":"Zhao","given":"H."},{"family":"Xue","given":"J."},{"family":"Wu","given":"H."},{"family":"Lin","given":"B."},{"family":"Cai","given":"Y."},{"family":"Zhou","given":"K."},{"family":"Yun","given":"D."},{"family":"Tang","given":"Z."},{"family":"Ma","given":"W."}],"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w:t>
            </w:r>
            <w:r w:rsidRPr="00B55044">
              <w:rPr>
                <w:rFonts w:eastAsia="Times New Roman"/>
                <w:color w:val="0000FF"/>
                <w:sz w:val="16"/>
                <w:szCs w:val="16"/>
              </w:rPr>
              <w:fldChar w:fldCharType="end"/>
            </w:r>
          </w:p>
        </w:tc>
      </w:tr>
      <w:tr w:rsidR="00D47774" w:rsidRPr="00B55044" w14:paraId="527C324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5CE93F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32</w:t>
            </w:r>
          </w:p>
        </w:tc>
        <w:tc>
          <w:tcPr>
            <w:tcW w:w="1525" w:type="pct"/>
            <w:tcBorders>
              <w:top w:val="single" w:sz="4" w:space="0" w:color="auto"/>
              <w:left w:val="nil"/>
              <w:bottom w:val="single" w:sz="4" w:space="0" w:color="auto"/>
              <w:right w:val="nil"/>
            </w:tcBorders>
            <w:shd w:val="clear" w:color="auto" w:fill="auto"/>
            <w:noWrap/>
            <w:vAlign w:val="bottom"/>
            <w:hideMark/>
          </w:tcPr>
          <w:p w14:paraId="411076A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/Al</w:t>
            </w:r>
          </w:p>
        </w:tc>
        <w:tc>
          <w:tcPr>
            <w:tcW w:w="1288" w:type="pct"/>
            <w:tcBorders>
              <w:top w:val="single" w:sz="4" w:space="0" w:color="auto"/>
              <w:left w:val="nil"/>
              <w:bottom w:val="single" w:sz="4" w:space="0" w:color="auto"/>
              <w:right w:val="nil"/>
            </w:tcBorders>
            <w:shd w:val="clear" w:color="auto" w:fill="auto"/>
            <w:noWrap/>
            <w:vAlign w:val="bottom"/>
            <w:hideMark/>
          </w:tcPr>
          <w:p w14:paraId="2FA4B66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PM6:BTR-Cl:Y6</w:t>
            </w:r>
          </w:p>
        </w:tc>
        <w:tc>
          <w:tcPr>
            <w:tcW w:w="379" w:type="pct"/>
            <w:tcBorders>
              <w:top w:val="single" w:sz="4" w:space="0" w:color="auto"/>
              <w:left w:val="nil"/>
              <w:bottom w:val="single" w:sz="4" w:space="0" w:color="auto"/>
              <w:right w:val="nil"/>
            </w:tcBorders>
            <w:shd w:val="clear" w:color="auto" w:fill="auto"/>
            <w:noWrap/>
            <w:vAlign w:val="bottom"/>
            <w:hideMark/>
          </w:tcPr>
          <w:p w14:paraId="5CF6E0D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0.821</w:t>
            </w:r>
          </w:p>
        </w:tc>
        <w:tc>
          <w:tcPr>
            <w:tcW w:w="379" w:type="pct"/>
            <w:tcBorders>
              <w:top w:val="single" w:sz="4" w:space="0" w:color="auto"/>
              <w:left w:val="nil"/>
              <w:bottom w:val="single" w:sz="4" w:space="0" w:color="auto"/>
              <w:right w:val="nil"/>
            </w:tcBorders>
            <w:shd w:val="clear" w:color="auto" w:fill="auto"/>
            <w:noWrap/>
            <w:vAlign w:val="bottom"/>
            <w:hideMark/>
          </w:tcPr>
          <w:p w14:paraId="061D6EC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26.7</w:t>
            </w:r>
          </w:p>
        </w:tc>
        <w:tc>
          <w:tcPr>
            <w:tcW w:w="378" w:type="pct"/>
            <w:tcBorders>
              <w:top w:val="single" w:sz="4" w:space="0" w:color="auto"/>
              <w:left w:val="nil"/>
              <w:bottom w:val="single" w:sz="4" w:space="0" w:color="auto"/>
              <w:right w:val="nil"/>
            </w:tcBorders>
            <w:shd w:val="clear" w:color="auto" w:fill="auto"/>
            <w:noWrap/>
            <w:vAlign w:val="bottom"/>
            <w:hideMark/>
          </w:tcPr>
          <w:p w14:paraId="322EAE3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w:t>
            </w:r>
          </w:p>
        </w:tc>
        <w:tc>
          <w:tcPr>
            <w:tcW w:w="381" w:type="pct"/>
            <w:tcBorders>
              <w:top w:val="single" w:sz="4" w:space="0" w:color="auto"/>
              <w:left w:val="nil"/>
              <w:bottom w:val="single" w:sz="4" w:space="0" w:color="auto"/>
              <w:right w:val="nil"/>
            </w:tcBorders>
            <w:shd w:val="clear" w:color="auto" w:fill="auto"/>
            <w:noWrap/>
            <w:vAlign w:val="bottom"/>
            <w:hideMark/>
          </w:tcPr>
          <w:p w14:paraId="43DF48F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15.6</w:t>
            </w:r>
          </w:p>
        </w:tc>
        <w:tc>
          <w:tcPr>
            <w:tcW w:w="378" w:type="pct"/>
            <w:tcBorders>
              <w:top w:val="single" w:sz="4" w:space="0" w:color="auto"/>
              <w:left w:val="nil"/>
              <w:bottom w:val="single" w:sz="4" w:space="0" w:color="auto"/>
              <w:right w:val="nil"/>
            </w:tcBorders>
            <w:shd w:val="clear" w:color="auto" w:fill="auto"/>
            <w:noWrap/>
            <w:vAlign w:val="bottom"/>
            <w:hideMark/>
          </w:tcPr>
          <w:p w14:paraId="67FF917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{"citationID":"Lecj2c4q","properties":{"formattedCitation":"[19]","plainCitation":"[19]","noteIndex":0},"citationItems":[{"id":640,"uris":["http://zotero.org/users/12909065/items/MHKPYGW4"],"itemData":{"id":640,"type":"article-journal","abstract":"The power conversion efficiency (PCE) of organic solar cells (OSCs) has reached high values of over 19%. However, most of the high-efficiency OSCs are fabricated by spin-coating with toxic solvents and the optimal photoactive layer thickness is limited to 100 nm, limiting practical development of OSCs. It is a great challenge to obtain ideal morphology for high-efficiency thick-film OSCs when using non-halogenated solvents due to the unfavorable film formation kinetics. Herein, high-efficiency ternary thick-film (300 nm) OSCs with PCE of 15.4% based on PM6:BTR-Cl:CH1007 are fabricated by hot slot-die coating using non-halogenated solvent (o-xylene) in the air. Compared to PM6:BTR-Cl:Y6 blends, the stronger pre-aggregation of CH1007 in solution induces the earlier aggregation of CH1007 molecules and longer aggregation time, and thus results in high and balanced crystallinity of donors and acceptor in CH1007-based ternary film, which led to high-carrier mobility and suppressed charge recombination. The ternary strategy is further used to fabricate high-efficiency, thick-film, large-area, and flexible devices processed from non-halogenated solvents, paving the way for industrial development of OSCs. © 2022 Wiley-VCH GmbH.","archive":"Scopus","container-title":"Advanced Functional Materials","DOI":"10.1002/adfm.202210534","ISSN":"1616-301X","issue":"5","language":"English","source":"Scopus","title":"High-Performance Green Thick-Film Ternary Organic Solar Cells Enabled by Crystallinity Regulation","volume":"33","author":[{"family":"Zhao","given":"H."},{"family":"Xue","given":"J."},{"family":"Wu","given":"H."},{"family":"Lin","given":"B."},{"family":"Cai","given":"Y."},{"family":"Zhou","given":"K."},{"family":"Yun","given":"D."},{"family":"Tang","given":"Z."},{"family":"Ma","given":"W."}],"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w:t>
            </w:r>
            <w:r w:rsidRPr="00B55044">
              <w:rPr>
                <w:rFonts w:eastAsia="Times New Roman"/>
                <w:color w:val="0000FF"/>
                <w:sz w:val="16"/>
                <w:szCs w:val="16"/>
              </w:rPr>
              <w:fldChar w:fldCharType="end"/>
            </w:r>
          </w:p>
        </w:tc>
      </w:tr>
      <w:tr w:rsidR="00D47774" w:rsidRPr="00B55044" w14:paraId="4E5B3E3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1A0F86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33</w:t>
            </w:r>
          </w:p>
        </w:tc>
        <w:tc>
          <w:tcPr>
            <w:tcW w:w="1525" w:type="pct"/>
            <w:tcBorders>
              <w:top w:val="single" w:sz="4" w:space="0" w:color="auto"/>
              <w:left w:val="nil"/>
              <w:bottom w:val="single" w:sz="4" w:space="0" w:color="auto"/>
              <w:right w:val="nil"/>
            </w:tcBorders>
            <w:shd w:val="clear" w:color="auto" w:fill="auto"/>
            <w:noWrap/>
            <w:vAlign w:val="bottom"/>
            <w:hideMark/>
          </w:tcPr>
          <w:p w14:paraId="1765520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/Al</w:t>
            </w:r>
          </w:p>
        </w:tc>
        <w:tc>
          <w:tcPr>
            <w:tcW w:w="1288" w:type="pct"/>
            <w:tcBorders>
              <w:top w:val="single" w:sz="4" w:space="0" w:color="auto"/>
              <w:left w:val="nil"/>
              <w:bottom w:val="single" w:sz="4" w:space="0" w:color="auto"/>
              <w:right w:val="nil"/>
            </w:tcBorders>
            <w:shd w:val="clear" w:color="auto" w:fill="auto"/>
            <w:noWrap/>
            <w:vAlign w:val="bottom"/>
            <w:hideMark/>
          </w:tcPr>
          <w:p w14:paraId="250846D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PM6:BTR-Cl:Y6</w:t>
            </w:r>
          </w:p>
        </w:tc>
        <w:tc>
          <w:tcPr>
            <w:tcW w:w="379" w:type="pct"/>
            <w:tcBorders>
              <w:top w:val="single" w:sz="4" w:space="0" w:color="auto"/>
              <w:left w:val="nil"/>
              <w:bottom w:val="single" w:sz="4" w:space="0" w:color="auto"/>
              <w:right w:val="nil"/>
            </w:tcBorders>
            <w:shd w:val="clear" w:color="auto" w:fill="auto"/>
            <w:noWrap/>
            <w:vAlign w:val="bottom"/>
            <w:hideMark/>
          </w:tcPr>
          <w:p w14:paraId="499152F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0.767</w:t>
            </w:r>
          </w:p>
        </w:tc>
        <w:tc>
          <w:tcPr>
            <w:tcW w:w="379" w:type="pct"/>
            <w:tcBorders>
              <w:top w:val="single" w:sz="4" w:space="0" w:color="auto"/>
              <w:left w:val="nil"/>
              <w:bottom w:val="single" w:sz="4" w:space="0" w:color="auto"/>
              <w:right w:val="nil"/>
            </w:tcBorders>
            <w:shd w:val="clear" w:color="auto" w:fill="auto"/>
            <w:noWrap/>
            <w:vAlign w:val="bottom"/>
            <w:hideMark/>
          </w:tcPr>
          <w:p w14:paraId="6729D00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29.2</w:t>
            </w:r>
          </w:p>
        </w:tc>
        <w:tc>
          <w:tcPr>
            <w:tcW w:w="378" w:type="pct"/>
            <w:tcBorders>
              <w:top w:val="single" w:sz="4" w:space="0" w:color="auto"/>
              <w:left w:val="nil"/>
              <w:bottom w:val="single" w:sz="4" w:space="0" w:color="auto"/>
              <w:right w:val="nil"/>
            </w:tcBorders>
            <w:shd w:val="clear" w:color="auto" w:fill="auto"/>
            <w:noWrap/>
            <w:vAlign w:val="bottom"/>
            <w:hideMark/>
          </w:tcPr>
          <w:p w14:paraId="4A1E4DF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61.7</w:t>
            </w:r>
          </w:p>
        </w:tc>
        <w:tc>
          <w:tcPr>
            <w:tcW w:w="381" w:type="pct"/>
            <w:tcBorders>
              <w:top w:val="single" w:sz="4" w:space="0" w:color="auto"/>
              <w:left w:val="nil"/>
              <w:bottom w:val="single" w:sz="4" w:space="0" w:color="auto"/>
              <w:right w:val="nil"/>
            </w:tcBorders>
            <w:shd w:val="clear" w:color="auto" w:fill="auto"/>
            <w:noWrap/>
            <w:vAlign w:val="bottom"/>
            <w:hideMark/>
          </w:tcPr>
          <w:p w14:paraId="07A304F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13.8</w:t>
            </w:r>
          </w:p>
        </w:tc>
        <w:tc>
          <w:tcPr>
            <w:tcW w:w="378" w:type="pct"/>
            <w:tcBorders>
              <w:top w:val="single" w:sz="4" w:space="0" w:color="auto"/>
              <w:left w:val="nil"/>
              <w:bottom w:val="single" w:sz="4" w:space="0" w:color="auto"/>
              <w:right w:val="nil"/>
            </w:tcBorders>
            <w:shd w:val="clear" w:color="auto" w:fill="auto"/>
            <w:noWrap/>
            <w:vAlign w:val="bottom"/>
            <w:hideMark/>
          </w:tcPr>
          <w:p w14:paraId="1402E6C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{"citationID":"c7roKqZc","properties":{"formattedCitation":"[19]","plainCitation":"[19]","noteIndex":0},"citationItems":[{"id":640,"uris":["http://zotero.org/users/12909065/items/MHKPYGW4"],"itemData":{"id":640,"type":"article-journal","abstract":"The power conversion efficiency (PCE) of organic solar cells (OSCs) has reached high values of over 19%. However, most of the high-efficiency OSCs are fabricated by spin-coating with toxic solvents and the optimal photoactive layer thickness is limited to 100 nm, limiting practical development of OSCs. It is a great challenge to obtain ideal morphology for high-efficiency thick-film OSCs when using non-halogenated solvents due to the unfavorable film formation kinetics. Herein, high-efficiency ternary thick-film (300 nm) OSCs with PCE of 15.4% based on PM6:BTR-Cl:CH1007 are fabricated by hot slot-die coating using non-halogenated solvent (o-xylene) in the air. Compared to PM6:BTR-Cl:Y6 blends, the stronger pre-aggregation of CH1007 in solution induces the earlier aggregation of CH1007 molecules and longer aggregation time, and thus results in high and balanced crystallinity of donors and acceptor in CH1007-based ternary film, which led to high-carrier mobility and suppressed charge recombination. The ternary strategy is further used to fabricate high-efficiency, thick-film, large-area, and flexible devices processed from non-halogenated solvents, paving the way for industrial development of OSCs. © 2022 Wiley-VCH GmbH.","archive":"Scopus","container-title":"Advanced Functional Materials","DOI":"10.1002/adfm.202210534","ISSN":"1616-301X","issue":"5","language":"English","source":"Scopus","title":"High-Performance Green Thick-Film Ternary Organic Solar Cells Enabled by Crystallinity Regulation","volume":"33","author":[{"family":"Zhao","given":"H."},{"family":"Xue","given":"J."},{"family":"Wu","given":"H."},{"family":"Lin","given":"B."},{"family":"Cai","given":"Y."},{"family":"Zhou","given":"K."},{"family":"Yun","given":"D."},{"family":"Tang","given":"Z."},{"family":"Ma","given":"W."}],"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w:t>
            </w:r>
            <w:r w:rsidRPr="00B55044">
              <w:rPr>
                <w:rFonts w:eastAsia="Times New Roman"/>
                <w:color w:val="0000FF"/>
                <w:sz w:val="16"/>
                <w:szCs w:val="16"/>
              </w:rPr>
              <w:fldChar w:fldCharType="end"/>
            </w:r>
          </w:p>
        </w:tc>
      </w:tr>
      <w:tr w:rsidR="00D47774" w:rsidRPr="00B55044" w14:paraId="6053FAF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D6EEED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34</w:t>
            </w:r>
          </w:p>
        </w:tc>
        <w:tc>
          <w:tcPr>
            <w:tcW w:w="1525" w:type="pct"/>
            <w:tcBorders>
              <w:top w:val="single" w:sz="4" w:space="0" w:color="auto"/>
              <w:left w:val="nil"/>
              <w:bottom w:val="single" w:sz="4" w:space="0" w:color="auto"/>
              <w:right w:val="nil"/>
            </w:tcBorders>
            <w:shd w:val="clear" w:color="auto" w:fill="auto"/>
            <w:noWrap/>
            <w:vAlign w:val="bottom"/>
            <w:hideMark/>
          </w:tcPr>
          <w:p w14:paraId="43CCA72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1D35A49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PM6:PY-1S1Se:PY-2Cl</w:t>
            </w:r>
          </w:p>
        </w:tc>
        <w:tc>
          <w:tcPr>
            <w:tcW w:w="379" w:type="pct"/>
            <w:tcBorders>
              <w:top w:val="single" w:sz="4" w:space="0" w:color="auto"/>
              <w:left w:val="nil"/>
              <w:bottom w:val="single" w:sz="4" w:space="0" w:color="auto"/>
              <w:right w:val="nil"/>
            </w:tcBorders>
            <w:shd w:val="clear" w:color="auto" w:fill="auto"/>
            <w:noWrap/>
            <w:vAlign w:val="bottom"/>
            <w:hideMark/>
          </w:tcPr>
          <w:p w14:paraId="2DF70BE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0.914</w:t>
            </w:r>
          </w:p>
        </w:tc>
        <w:tc>
          <w:tcPr>
            <w:tcW w:w="379" w:type="pct"/>
            <w:tcBorders>
              <w:top w:val="single" w:sz="4" w:space="0" w:color="auto"/>
              <w:left w:val="nil"/>
              <w:bottom w:val="single" w:sz="4" w:space="0" w:color="auto"/>
              <w:right w:val="nil"/>
            </w:tcBorders>
            <w:shd w:val="clear" w:color="auto" w:fill="auto"/>
            <w:noWrap/>
            <w:vAlign w:val="bottom"/>
            <w:hideMark/>
          </w:tcPr>
          <w:p w14:paraId="7990130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25.74</w:t>
            </w:r>
          </w:p>
        </w:tc>
        <w:tc>
          <w:tcPr>
            <w:tcW w:w="378" w:type="pct"/>
            <w:tcBorders>
              <w:top w:val="single" w:sz="4" w:space="0" w:color="auto"/>
              <w:left w:val="nil"/>
              <w:bottom w:val="single" w:sz="4" w:space="0" w:color="auto"/>
              <w:right w:val="nil"/>
            </w:tcBorders>
            <w:shd w:val="clear" w:color="auto" w:fill="auto"/>
            <w:noWrap/>
            <w:vAlign w:val="bottom"/>
            <w:hideMark/>
          </w:tcPr>
          <w:p w14:paraId="2736CE4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77.2</w:t>
            </w:r>
          </w:p>
        </w:tc>
        <w:tc>
          <w:tcPr>
            <w:tcW w:w="381" w:type="pct"/>
            <w:tcBorders>
              <w:top w:val="single" w:sz="4" w:space="0" w:color="auto"/>
              <w:left w:val="nil"/>
              <w:bottom w:val="single" w:sz="4" w:space="0" w:color="auto"/>
              <w:right w:val="nil"/>
            </w:tcBorders>
            <w:shd w:val="clear" w:color="auto" w:fill="auto"/>
            <w:noWrap/>
            <w:vAlign w:val="bottom"/>
            <w:hideMark/>
          </w:tcPr>
          <w:p w14:paraId="7C9478C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18.2</w:t>
            </w:r>
          </w:p>
        </w:tc>
        <w:tc>
          <w:tcPr>
            <w:tcW w:w="378" w:type="pct"/>
            <w:tcBorders>
              <w:top w:val="single" w:sz="4" w:space="0" w:color="auto"/>
              <w:left w:val="nil"/>
              <w:bottom w:val="single" w:sz="4" w:space="0" w:color="auto"/>
              <w:right w:val="nil"/>
            </w:tcBorders>
            <w:shd w:val="clear" w:color="auto" w:fill="auto"/>
            <w:noWrap/>
            <w:vAlign w:val="bottom"/>
            <w:hideMark/>
          </w:tcPr>
          <w:p w14:paraId="66EAFF6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{"citationID":"BuFSEpNQ","properties":{"formattedCitation":"[20]","plainCitation":"[20]","noteIndex":0},"citationItems":[{"id":639,"uris":["http://zotero.org/users/12909065/items/KK858T3L"],"itemData":{"id":639,"type":"article-journal","abstract":"Although the polymer/polymer blend systems still lag far behind small-molecule-acceptor-based counterparts in power conversion efficiencies (PCEs), the ternary blending strategy provides a simple and promising avenue to achieve an ideal nanoscale blend morphology for reducing the efficiency-stability gap of all-polymer solar cells (all-PSCs). Herein, we designed a narrow-band-gap chlorinated polymer acceptor PY-2Cl and incorporated into the PM6:PY-1S1Se host blend. The addition of PY-2Cl extends the absorption spectra, improves the molecular packing of host-guest acceptors, solidifies the blend microstructure, and suppresses the non-radiative recombination. Consequently, the PCE of the ternary blend is improved up to 18.2% (certified value 17.8%), which represents the highest PCE reported for all-PSCs so far. Impressively, the ternary blend exhibited smaller Urbach energy and better operation stability than did the corresponding binary systems. This work heralds a brighter future for accelerating the development of high-performance all-polymer systems by molecular design and ternary strategy. © 2022 Elsevier Inc.","archive":"Scopus","container-title":"Joule","DOI":"10.1016/j.joule.2022.12.007","ISSN":"2542-4351","issue":"1","language":"English","page":"221-237","source":"Scopus","title":"18.2%-efficient ternary all-polymer organic solar cells with improved stability enabled by a chlorinated guest polymer acceptor","volume":"7","author":[{"family":"Sun","given":"R."},{"family":"Wang","given":"T."},{"family":"Fan","given":"Q."},{"family":"Wu","given":"M."},{"family":"Yang","given":"X."},{"family":"Wu","given":"X."},{"family":"Yu","given":"Y."},{"family":"Xia","given":"X."},{"family":"Cui","given":"F."},{"family":"Wan","given":"J."},{"family":"Lu","given":"X."},{"family":"Hao","given":"X."},{"family":"Jen","given":"A.K.-Y."},{"family":"Spiecker","given":"E."},{"family":"Min","given":"J."}],"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w:t>
            </w:r>
            <w:r w:rsidRPr="00B55044">
              <w:rPr>
                <w:rFonts w:eastAsia="Times New Roman"/>
                <w:color w:val="0000FF"/>
                <w:sz w:val="16"/>
                <w:szCs w:val="16"/>
              </w:rPr>
              <w:fldChar w:fldCharType="end"/>
            </w:r>
          </w:p>
        </w:tc>
      </w:tr>
      <w:tr w:rsidR="00D47774" w:rsidRPr="00B55044" w14:paraId="2C23967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0D0921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35</w:t>
            </w:r>
          </w:p>
        </w:tc>
        <w:tc>
          <w:tcPr>
            <w:tcW w:w="1525" w:type="pct"/>
            <w:tcBorders>
              <w:top w:val="single" w:sz="4" w:space="0" w:color="auto"/>
              <w:left w:val="nil"/>
              <w:bottom w:val="single" w:sz="4" w:space="0" w:color="auto"/>
              <w:right w:val="nil"/>
            </w:tcBorders>
            <w:shd w:val="clear" w:color="auto" w:fill="auto"/>
            <w:noWrap/>
            <w:vAlign w:val="bottom"/>
            <w:hideMark/>
          </w:tcPr>
          <w:p w14:paraId="2C80DEC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66EE9BF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PM6:BT-ER:L8-BO</w:t>
            </w:r>
          </w:p>
        </w:tc>
        <w:tc>
          <w:tcPr>
            <w:tcW w:w="379" w:type="pct"/>
            <w:tcBorders>
              <w:top w:val="single" w:sz="4" w:space="0" w:color="auto"/>
              <w:left w:val="nil"/>
              <w:bottom w:val="single" w:sz="4" w:space="0" w:color="auto"/>
              <w:right w:val="nil"/>
            </w:tcBorders>
            <w:shd w:val="clear" w:color="auto" w:fill="auto"/>
            <w:noWrap/>
            <w:vAlign w:val="bottom"/>
            <w:hideMark/>
          </w:tcPr>
          <w:p w14:paraId="6AE2CE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0.908</w:t>
            </w:r>
          </w:p>
        </w:tc>
        <w:tc>
          <w:tcPr>
            <w:tcW w:w="379" w:type="pct"/>
            <w:tcBorders>
              <w:top w:val="single" w:sz="4" w:space="0" w:color="auto"/>
              <w:left w:val="nil"/>
              <w:bottom w:val="single" w:sz="4" w:space="0" w:color="auto"/>
              <w:right w:val="nil"/>
            </w:tcBorders>
            <w:shd w:val="clear" w:color="auto" w:fill="auto"/>
            <w:noWrap/>
            <w:vAlign w:val="bottom"/>
            <w:hideMark/>
          </w:tcPr>
          <w:p w14:paraId="1A15975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26.72</w:t>
            </w:r>
          </w:p>
        </w:tc>
        <w:tc>
          <w:tcPr>
            <w:tcW w:w="378" w:type="pct"/>
            <w:tcBorders>
              <w:top w:val="single" w:sz="4" w:space="0" w:color="auto"/>
              <w:left w:val="nil"/>
              <w:bottom w:val="single" w:sz="4" w:space="0" w:color="auto"/>
              <w:right w:val="nil"/>
            </w:tcBorders>
            <w:shd w:val="clear" w:color="auto" w:fill="auto"/>
            <w:noWrap/>
            <w:vAlign w:val="bottom"/>
            <w:hideMark/>
          </w:tcPr>
          <w:p w14:paraId="495CC97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74.67</w:t>
            </w:r>
          </w:p>
        </w:tc>
        <w:tc>
          <w:tcPr>
            <w:tcW w:w="381" w:type="pct"/>
            <w:tcBorders>
              <w:top w:val="single" w:sz="4" w:space="0" w:color="auto"/>
              <w:left w:val="nil"/>
              <w:bottom w:val="single" w:sz="4" w:space="0" w:color="auto"/>
              <w:right w:val="nil"/>
            </w:tcBorders>
            <w:shd w:val="clear" w:color="auto" w:fill="auto"/>
            <w:noWrap/>
            <w:vAlign w:val="bottom"/>
            <w:hideMark/>
          </w:tcPr>
          <w:p w14:paraId="07AAA02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18.11</w:t>
            </w:r>
          </w:p>
        </w:tc>
        <w:tc>
          <w:tcPr>
            <w:tcW w:w="378" w:type="pct"/>
            <w:tcBorders>
              <w:top w:val="single" w:sz="4" w:space="0" w:color="auto"/>
              <w:left w:val="nil"/>
              <w:bottom w:val="single" w:sz="4" w:space="0" w:color="auto"/>
              <w:right w:val="nil"/>
            </w:tcBorders>
            <w:shd w:val="clear" w:color="auto" w:fill="auto"/>
            <w:noWrap/>
            <w:vAlign w:val="bottom"/>
            <w:hideMark/>
          </w:tcPr>
          <w:p w14:paraId="37CF70B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{"citationID":"rNeQK3G3","properties":{"formattedCitation":"[21]","plainCitation":"[21]","noteIndex":0},"citationItems":[{"id":638,"uris":["http://zotero.org/users/12909065/items/C7BW85KW"],"itemData":{"id":638,"type":"article-journal","abstract":"Ternary architecture has been widely demonstrated as a facile and efficient strategy to boost the performance of organic solar cells (OSCs). However, the rational design of the third component with suitable core and end-group modification is still a challenge. Herein, two new small-molecule (SM) donors BT-CN and BT-ER, featuring the identical conjugated backbone with distinct end group, have been designed, synthesized, and introduced into the PM6:Y6 binary system as the second donor. Both molecules exhibit complementary absorption and good miscibility with PM6, contributing to the nanofibrous phases and strong face-on molecular packing. Importantly, the incorporation of BT-CN/BT-ER has significantly facilitated charge collection and transportation with remarkable suppression of carrier recombination. As a result, ternary OSCs with 20 wt% BT-CN/BT-ER achieved a PCE of 16.8%/17.22% with synchronously increased open-circuit voltage (VOC), short-circuit current density (JSC) and fill factor (FF). Moreover, replacing Y6 with L8-BO further improves the PCE to 18.05%/18.11%, indicating the universality of both molecules as the third component. This work demonstrates not only two efficient SM donors with 4,8-bis(4-chloro-5-(tripropylsilyl)thiophen-2-yl) benzo[1,2-b:4,5-b′]dithiophene (BDTT-SiCl) as the core but also end group modification strategy to fine-tune the absorption spectrum, molecular packing, and energy levels of SM donors to construct high-performance ternary OSCs. © 2022 Wiley-VCH GmbH.","archive":"Scopus","container-title":"Small","DOI":"10.1002/smll.202205572","ISSN":"1613-6810","issue":"3","language":"English","source":"Scopus","title":"End-Group Engineering of Chlorine-Trialkylsiylthienyl Chain-Substituted Small-Molecule Donors for High-Efficiency Ternary Solar Cells","volume":"19","author":[{"family":"Li","given":"J."},{"family":"Zhang","given":"C."},{"family":"Zhong","given":"X."},{"family":"Deng","given":"W."},{"family":"Hu","given":"H."},{"family":"Wang","given":"K."}],"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w:t>
            </w:r>
            <w:r w:rsidRPr="00B55044">
              <w:rPr>
                <w:rFonts w:eastAsia="Times New Roman"/>
                <w:color w:val="0000FF"/>
                <w:sz w:val="16"/>
                <w:szCs w:val="16"/>
              </w:rPr>
              <w:fldChar w:fldCharType="end"/>
            </w:r>
          </w:p>
        </w:tc>
      </w:tr>
      <w:tr w:rsidR="00D47774" w:rsidRPr="00B55044" w14:paraId="426179E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C50FED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lastRenderedPageBreak/>
              <w:t>36</w:t>
            </w:r>
          </w:p>
        </w:tc>
        <w:tc>
          <w:tcPr>
            <w:tcW w:w="1525" w:type="pct"/>
            <w:tcBorders>
              <w:top w:val="single" w:sz="4" w:space="0" w:color="auto"/>
              <w:left w:val="nil"/>
              <w:bottom w:val="single" w:sz="4" w:space="0" w:color="auto"/>
              <w:right w:val="nil"/>
            </w:tcBorders>
            <w:shd w:val="clear" w:color="auto" w:fill="auto"/>
            <w:noWrap/>
            <w:vAlign w:val="bottom"/>
            <w:hideMark/>
          </w:tcPr>
          <w:p w14:paraId="7A4E731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2EA2680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PM6:BT-CN:L8-BO</w:t>
            </w:r>
          </w:p>
        </w:tc>
        <w:tc>
          <w:tcPr>
            <w:tcW w:w="379" w:type="pct"/>
            <w:tcBorders>
              <w:top w:val="single" w:sz="4" w:space="0" w:color="auto"/>
              <w:left w:val="nil"/>
              <w:bottom w:val="single" w:sz="4" w:space="0" w:color="auto"/>
              <w:right w:val="nil"/>
            </w:tcBorders>
            <w:shd w:val="clear" w:color="auto" w:fill="auto"/>
            <w:noWrap/>
            <w:vAlign w:val="bottom"/>
            <w:hideMark/>
          </w:tcPr>
          <w:p w14:paraId="277D248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0.908</w:t>
            </w:r>
          </w:p>
        </w:tc>
        <w:tc>
          <w:tcPr>
            <w:tcW w:w="379" w:type="pct"/>
            <w:tcBorders>
              <w:top w:val="single" w:sz="4" w:space="0" w:color="auto"/>
              <w:left w:val="nil"/>
              <w:bottom w:val="single" w:sz="4" w:space="0" w:color="auto"/>
              <w:right w:val="nil"/>
            </w:tcBorders>
            <w:shd w:val="clear" w:color="auto" w:fill="auto"/>
            <w:noWrap/>
            <w:vAlign w:val="bottom"/>
            <w:hideMark/>
          </w:tcPr>
          <w:p w14:paraId="06EEA53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26.76</w:t>
            </w:r>
          </w:p>
        </w:tc>
        <w:tc>
          <w:tcPr>
            <w:tcW w:w="378" w:type="pct"/>
            <w:tcBorders>
              <w:top w:val="single" w:sz="4" w:space="0" w:color="auto"/>
              <w:left w:val="nil"/>
              <w:bottom w:val="single" w:sz="4" w:space="0" w:color="auto"/>
              <w:right w:val="nil"/>
            </w:tcBorders>
            <w:shd w:val="clear" w:color="auto" w:fill="auto"/>
            <w:noWrap/>
            <w:vAlign w:val="bottom"/>
            <w:hideMark/>
          </w:tcPr>
          <w:p w14:paraId="0C45BB0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74.27</w:t>
            </w:r>
          </w:p>
        </w:tc>
        <w:tc>
          <w:tcPr>
            <w:tcW w:w="381" w:type="pct"/>
            <w:tcBorders>
              <w:top w:val="single" w:sz="4" w:space="0" w:color="auto"/>
              <w:left w:val="nil"/>
              <w:bottom w:val="single" w:sz="4" w:space="0" w:color="auto"/>
              <w:right w:val="nil"/>
            </w:tcBorders>
            <w:shd w:val="clear" w:color="auto" w:fill="auto"/>
            <w:noWrap/>
            <w:vAlign w:val="bottom"/>
            <w:hideMark/>
          </w:tcPr>
          <w:p w14:paraId="6A23BE6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18.05</w:t>
            </w:r>
          </w:p>
        </w:tc>
        <w:tc>
          <w:tcPr>
            <w:tcW w:w="378" w:type="pct"/>
            <w:tcBorders>
              <w:top w:val="single" w:sz="4" w:space="0" w:color="auto"/>
              <w:left w:val="nil"/>
              <w:bottom w:val="single" w:sz="4" w:space="0" w:color="auto"/>
              <w:right w:val="nil"/>
            </w:tcBorders>
            <w:shd w:val="clear" w:color="auto" w:fill="auto"/>
            <w:noWrap/>
            <w:vAlign w:val="bottom"/>
            <w:hideMark/>
          </w:tcPr>
          <w:p w14:paraId="784D23C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{"citationID":"yQrdRZ0X","properties":{"formattedCitation":"[21]","plainCitation":"[21]","noteIndex":0},"citationItems":[{"id":638,"uris":["http://zotero.org/users/12909065/items/C7BW85KW"],"itemData":{"id":638,"type":"article-journal","abstract":"Ternary architecture has been widely demonstrated as a facile and efficient strategy to boost the performance of organic solar cells (OSCs). However, the rational design of the third component with suitable core and end-group modification is still a challenge. Herein, two new small-molecule (SM) donors BT-CN and BT-ER, featuring the identical conjugated backbone with distinct end group, have been designed, synthesized, and introduced into the PM6:Y6 binary system as the second donor. Both molecules exhibit complementary absorption and good miscibility with PM6, contributing to the nanofibrous phases and strong face-on molecular packing. Importantly, the incorporation of BT-CN/BT-ER has significantly facilitated charge collection and transportation with remarkable suppression of carrier recombination. As a result, ternary OSCs with 20 wt% BT-CN/BT-ER achieved a PCE of 16.8%/17.22% with synchronously increased open-circuit voltage (VOC), short-circuit current density (JSC) and fill factor (FF). Moreover, replacing Y6 with L8-BO further improves the PCE to 18.05%/18.11%, indicating the universality of both molecules as the third component. This work demonstrates not only two efficient SM donors with 4,8-bis(4-chloro-5-(tripropylsilyl)thiophen-2-yl) benzo[1,2-b:4,5-b′]dithiophene (BDTT-SiCl) as the core but also end group modification strategy to fine-tune the absorption spectrum, molecular packing, and energy levels of SM donors to construct high-performance ternary OSCs. © 2022 Wiley-VCH GmbH.","archive":"Scopus","container-title":"Small","DOI":"10.1002/smll.202205572","ISSN":"1613-6810","issue":"3","language":"English","source":"Scopus","title":"End-Group Engineering of Chlorine-Trialkylsiylthienyl Chain-Substituted Small-Molecule Donors for High-Efficiency Ternary Solar Cells","volume":"19","author":[{"family":"Li","given":"J."},{"family":"Zhang","given":"C."},{"family":"Zhong","given":"X."},{"family":"Deng","given":"W."},{"family":"Hu","given":"H."},{"family":"Wang","given":"K."}],"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w:t>
            </w:r>
            <w:r w:rsidRPr="00B55044">
              <w:rPr>
                <w:rFonts w:eastAsia="Times New Roman"/>
                <w:color w:val="0000FF"/>
                <w:sz w:val="16"/>
                <w:szCs w:val="16"/>
              </w:rPr>
              <w:fldChar w:fldCharType="end"/>
            </w:r>
          </w:p>
        </w:tc>
      </w:tr>
      <w:tr w:rsidR="00D47774" w:rsidRPr="00B55044" w14:paraId="5937941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08D93C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37</w:t>
            </w:r>
          </w:p>
        </w:tc>
        <w:tc>
          <w:tcPr>
            <w:tcW w:w="1525" w:type="pct"/>
            <w:tcBorders>
              <w:top w:val="single" w:sz="4" w:space="0" w:color="auto"/>
              <w:left w:val="nil"/>
              <w:bottom w:val="single" w:sz="4" w:space="0" w:color="auto"/>
              <w:right w:val="nil"/>
            </w:tcBorders>
            <w:shd w:val="clear" w:color="auto" w:fill="auto"/>
            <w:noWrap/>
            <w:vAlign w:val="bottom"/>
            <w:hideMark/>
          </w:tcPr>
          <w:p w14:paraId="426A96A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0E2347D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PM6:BTCN:Y6</w:t>
            </w:r>
          </w:p>
        </w:tc>
        <w:tc>
          <w:tcPr>
            <w:tcW w:w="379" w:type="pct"/>
            <w:tcBorders>
              <w:top w:val="single" w:sz="4" w:space="0" w:color="auto"/>
              <w:left w:val="nil"/>
              <w:bottom w:val="single" w:sz="4" w:space="0" w:color="auto"/>
              <w:right w:val="nil"/>
            </w:tcBorders>
            <w:shd w:val="clear" w:color="auto" w:fill="auto"/>
            <w:noWrap/>
            <w:vAlign w:val="bottom"/>
            <w:hideMark/>
          </w:tcPr>
          <w:p w14:paraId="7A87A0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0.838</w:t>
            </w:r>
          </w:p>
        </w:tc>
        <w:tc>
          <w:tcPr>
            <w:tcW w:w="379" w:type="pct"/>
            <w:tcBorders>
              <w:top w:val="single" w:sz="4" w:space="0" w:color="auto"/>
              <w:left w:val="nil"/>
              <w:bottom w:val="single" w:sz="4" w:space="0" w:color="auto"/>
              <w:right w:val="nil"/>
            </w:tcBorders>
            <w:shd w:val="clear" w:color="auto" w:fill="auto"/>
            <w:noWrap/>
            <w:vAlign w:val="bottom"/>
            <w:hideMark/>
          </w:tcPr>
          <w:p w14:paraId="4018CA7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27.38</w:t>
            </w:r>
          </w:p>
        </w:tc>
        <w:tc>
          <w:tcPr>
            <w:tcW w:w="378" w:type="pct"/>
            <w:tcBorders>
              <w:top w:val="single" w:sz="4" w:space="0" w:color="auto"/>
              <w:left w:val="nil"/>
              <w:bottom w:val="single" w:sz="4" w:space="0" w:color="auto"/>
              <w:right w:val="nil"/>
            </w:tcBorders>
            <w:shd w:val="clear" w:color="auto" w:fill="auto"/>
            <w:noWrap/>
            <w:vAlign w:val="bottom"/>
            <w:hideMark/>
          </w:tcPr>
          <w:p w14:paraId="121C3BA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73.23</w:t>
            </w:r>
          </w:p>
        </w:tc>
        <w:tc>
          <w:tcPr>
            <w:tcW w:w="381" w:type="pct"/>
            <w:tcBorders>
              <w:top w:val="single" w:sz="4" w:space="0" w:color="auto"/>
              <w:left w:val="nil"/>
              <w:bottom w:val="single" w:sz="4" w:space="0" w:color="auto"/>
              <w:right w:val="nil"/>
            </w:tcBorders>
            <w:shd w:val="clear" w:color="auto" w:fill="auto"/>
            <w:noWrap/>
            <w:vAlign w:val="bottom"/>
            <w:hideMark/>
          </w:tcPr>
          <w:p w14:paraId="602867C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16.8</w:t>
            </w:r>
          </w:p>
        </w:tc>
        <w:tc>
          <w:tcPr>
            <w:tcW w:w="378" w:type="pct"/>
            <w:tcBorders>
              <w:top w:val="single" w:sz="4" w:space="0" w:color="auto"/>
              <w:left w:val="nil"/>
              <w:bottom w:val="single" w:sz="4" w:space="0" w:color="auto"/>
              <w:right w:val="nil"/>
            </w:tcBorders>
            <w:shd w:val="clear" w:color="auto" w:fill="auto"/>
            <w:noWrap/>
            <w:vAlign w:val="bottom"/>
            <w:hideMark/>
          </w:tcPr>
          <w:p w14:paraId="09212FE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{"citationID":"u3be8HFq","properties":{"formattedCitation":"[21]","plainCitation":"[21]","noteIndex":0},"citationItems":[{"id":638,"uris":["http://zotero.org/users/12909065/items/C7BW85KW"],"itemData":{"id":638,"type":"article-journal","abstract":"Ternary architecture has been widely demonstrated as a facile and efficient strategy to boost the performance of organic solar cells (OSCs). However, the rational design of the third component with suitable core and end-group modification is still a challenge. Herein, two new small-molecule (SM) donors BT-CN and BT-ER, featuring the identical conjugated backbone with distinct end group, have been designed, synthesized, and introduced into the PM6:Y6 binary system as the second donor. Both molecules exhibit complementary absorption and good miscibility with PM6, contributing to the nanofibrous phases and strong face-on molecular packing. Importantly, the incorporation of BT-CN/BT-ER has significantly facilitated charge collection and transportation with remarkable suppression of carrier recombination. As a result, ternary OSCs with 20 wt% BT-CN/BT-ER achieved a PCE of 16.8%/17.22% with synchronously increased open-circuit voltage (VOC), short-circuit current density (JSC) and fill factor (FF). Moreover, replacing Y6 with L8-BO further improves the PCE to 18.05%/18.11%, indicating the universality of both molecules as the third component. This work demonstrates not only two efficient SM donors with 4,8-bis(4-chloro-5-(tripropylsilyl)thiophen-2-yl) benzo[1,2-b:4,5-b′]dithiophene (BDTT-SiCl) as the core but also end group modification strategy to fine-tune the absorption spectrum, molecular packing, and energy levels of SM donors to construct high-performance ternary OSCs. © 2022 Wiley-VCH GmbH.","archive":"Scopus","container-title":"Small","DOI":"10.1002/smll.202205572","ISSN":"1613-6810","issue":"3","language":"English","source":"Scopus","title":"End-Group Engineering of Chlorine-Trialkylsiylthienyl Chain-Substituted Small-Molecule Donors for High-Efficiency Ternary Solar Cells","volume":"19","author":[{"family":"Li","given":"J."},{"family":"Zhang","given":"C."},{"family":"Zhong","given":"X."},{"family":"Deng","given":"W."},{"family":"Hu","given":"H."},{"family":"Wang","given":"K."}],"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w:t>
            </w:r>
            <w:r w:rsidRPr="00B55044">
              <w:rPr>
                <w:rFonts w:eastAsia="Times New Roman"/>
                <w:color w:val="0000FF"/>
                <w:sz w:val="16"/>
                <w:szCs w:val="16"/>
              </w:rPr>
              <w:fldChar w:fldCharType="end"/>
            </w:r>
          </w:p>
        </w:tc>
      </w:tr>
      <w:tr w:rsidR="00D47774" w:rsidRPr="00B55044" w14:paraId="78156D0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43A55F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38</w:t>
            </w:r>
          </w:p>
        </w:tc>
        <w:tc>
          <w:tcPr>
            <w:tcW w:w="1525" w:type="pct"/>
            <w:tcBorders>
              <w:top w:val="single" w:sz="4" w:space="0" w:color="auto"/>
              <w:left w:val="nil"/>
              <w:bottom w:val="single" w:sz="4" w:space="0" w:color="auto"/>
              <w:right w:val="nil"/>
            </w:tcBorders>
            <w:shd w:val="clear" w:color="auto" w:fill="auto"/>
            <w:noWrap/>
            <w:vAlign w:val="bottom"/>
            <w:hideMark/>
          </w:tcPr>
          <w:p w14:paraId="0D016D8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0AD3AAB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PM6:BT-ER:Y6</w:t>
            </w:r>
          </w:p>
        </w:tc>
        <w:tc>
          <w:tcPr>
            <w:tcW w:w="379" w:type="pct"/>
            <w:tcBorders>
              <w:top w:val="single" w:sz="4" w:space="0" w:color="auto"/>
              <w:left w:val="nil"/>
              <w:bottom w:val="single" w:sz="4" w:space="0" w:color="auto"/>
              <w:right w:val="nil"/>
            </w:tcBorders>
            <w:shd w:val="clear" w:color="auto" w:fill="auto"/>
            <w:noWrap/>
            <w:vAlign w:val="bottom"/>
            <w:hideMark/>
          </w:tcPr>
          <w:p w14:paraId="7549CE3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0.841</w:t>
            </w:r>
          </w:p>
        </w:tc>
        <w:tc>
          <w:tcPr>
            <w:tcW w:w="379" w:type="pct"/>
            <w:tcBorders>
              <w:top w:val="single" w:sz="4" w:space="0" w:color="auto"/>
              <w:left w:val="nil"/>
              <w:bottom w:val="single" w:sz="4" w:space="0" w:color="auto"/>
              <w:right w:val="nil"/>
            </w:tcBorders>
            <w:shd w:val="clear" w:color="auto" w:fill="auto"/>
            <w:noWrap/>
            <w:vAlign w:val="bottom"/>
            <w:hideMark/>
          </w:tcPr>
          <w:p w14:paraId="2B788DE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27.64</w:t>
            </w:r>
          </w:p>
        </w:tc>
        <w:tc>
          <w:tcPr>
            <w:tcW w:w="378" w:type="pct"/>
            <w:tcBorders>
              <w:top w:val="single" w:sz="4" w:space="0" w:color="auto"/>
              <w:left w:val="nil"/>
              <w:bottom w:val="single" w:sz="4" w:space="0" w:color="auto"/>
              <w:right w:val="nil"/>
            </w:tcBorders>
            <w:shd w:val="clear" w:color="auto" w:fill="auto"/>
            <w:noWrap/>
            <w:vAlign w:val="bottom"/>
            <w:hideMark/>
          </w:tcPr>
          <w:p w14:paraId="4AE9089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74.11</w:t>
            </w:r>
          </w:p>
        </w:tc>
        <w:tc>
          <w:tcPr>
            <w:tcW w:w="381" w:type="pct"/>
            <w:tcBorders>
              <w:top w:val="single" w:sz="4" w:space="0" w:color="auto"/>
              <w:left w:val="nil"/>
              <w:bottom w:val="single" w:sz="4" w:space="0" w:color="auto"/>
              <w:right w:val="nil"/>
            </w:tcBorders>
            <w:shd w:val="clear" w:color="auto" w:fill="auto"/>
            <w:noWrap/>
            <w:vAlign w:val="bottom"/>
            <w:hideMark/>
          </w:tcPr>
          <w:p w14:paraId="68FABC9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17.22</w:t>
            </w:r>
          </w:p>
        </w:tc>
        <w:tc>
          <w:tcPr>
            <w:tcW w:w="378" w:type="pct"/>
            <w:tcBorders>
              <w:top w:val="single" w:sz="4" w:space="0" w:color="auto"/>
              <w:left w:val="nil"/>
              <w:bottom w:val="single" w:sz="4" w:space="0" w:color="auto"/>
              <w:right w:val="nil"/>
            </w:tcBorders>
            <w:shd w:val="clear" w:color="auto" w:fill="auto"/>
            <w:noWrap/>
            <w:vAlign w:val="bottom"/>
            <w:hideMark/>
          </w:tcPr>
          <w:p w14:paraId="7621570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{"citationID":"x9WCJBPx","properties":{"formattedCitation":"[21]","plainCitation":"[21]","noteIndex":0},"citationItems":[{"id":638,"uris":["http://zotero.org/users/12909065/items/C7BW85KW"],"itemData":{"id":638,"type":"article-journal","abstract":"Ternary architecture has been widely demonstrated as a facile and efficient strategy to boost the performance of organic solar cells (OSCs). However, the rational design of the third component with suitable core and end-group modification is still a challenge. Herein, two new small-molecule (SM) donors BT-CN and BT-ER, featuring the identical conjugated backbone with distinct end group, have been designed, synthesized, and introduced into the PM6:Y6 binary system as the second donor. Both molecules exhibit complementary absorption and good miscibility with PM6, contributing to the nanofibrous phases and strong face-on molecular packing. Importantly, the incorporation of BT-CN/BT-ER has significantly facilitated charge collection and transportation with remarkable suppression of carrier recombination. As a result, ternary OSCs with 20 wt% BT-CN/BT-ER achieved a PCE of 16.8%/17.22% with synchronously increased open-circuit voltage (VOC), short-circuit current density (JSC) and fill factor (FF). Moreover, replacing Y6 with L8-BO further improves the PCE to 18.05%/18.11%, indicating the universality of both molecules as the third component. This work demonstrates not only two efficient SM donors with 4,8-bis(4-chloro-5-(tripropylsilyl)thiophen-2-yl) benzo[1,2-b:4,5-b′]dithiophene (BDTT-SiCl) as the core but also end group modification strategy to fine-tune the absorption spectrum, molecular packing, and energy levels of SM donors to construct high-performance ternary OSCs. © 2022 Wiley-VCH GmbH.","archive":"Scopus","container-title":"Small","DOI":"10.1002/smll.202205572","ISSN":"1613-6810","issue":"3","language":"English","source":"Scopus","title":"End-Group Engineering of Chlorine-Trialkylsiylthienyl Chain-Substituted Small-Molecule Donors for High-Efficiency Ternary Solar Cells","volume":"19","author":[{"family":"Li","given":"J."},{"family":"Zhang","given":"C."},{"family":"Zhong","given":"X."},{"family":"Deng","given":"W."},{"family":"Hu","given":"H."},{"family":"Wang","given":"K."}],"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w:t>
            </w:r>
            <w:r w:rsidRPr="00B55044">
              <w:rPr>
                <w:rFonts w:eastAsia="Times New Roman"/>
                <w:color w:val="0000FF"/>
                <w:sz w:val="16"/>
                <w:szCs w:val="16"/>
              </w:rPr>
              <w:fldChar w:fldCharType="end"/>
            </w:r>
          </w:p>
        </w:tc>
      </w:tr>
      <w:tr w:rsidR="00D47774" w:rsidRPr="00B55044" w14:paraId="5169BEC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904A78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39</w:t>
            </w:r>
          </w:p>
        </w:tc>
        <w:tc>
          <w:tcPr>
            <w:tcW w:w="1525" w:type="pct"/>
            <w:tcBorders>
              <w:top w:val="single" w:sz="4" w:space="0" w:color="auto"/>
              <w:left w:val="nil"/>
              <w:bottom w:val="single" w:sz="4" w:space="0" w:color="auto"/>
              <w:right w:val="nil"/>
            </w:tcBorders>
            <w:shd w:val="clear" w:color="auto" w:fill="auto"/>
            <w:noWrap/>
            <w:vAlign w:val="bottom"/>
            <w:hideMark/>
          </w:tcPr>
          <w:p w14:paraId="729C5F0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73F6801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PM6:PY-IT:PYF-IT</w:t>
            </w:r>
          </w:p>
        </w:tc>
        <w:tc>
          <w:tcPr>
            <w:tcW w:w="379" w:type="pct"/>
            <w:tcBorders>
              <w:top w:val="single" w:sz="4" w:space="0" w:color="auto"/>
              <w:left w:val="nil"/>
              <w:bottom w:val="single" w:sz="4" w:space="0" w:color="auto"/>
              <w:right w:val="nil"/>
            </w:tcBorders>
            <w:shd w:val="clear" w:color="auto" w:fill="auto"/>
            <w:noWrap/>
            <w:vAlign w:val="bottom"/>
            <w:hideMark/>
          </w:tcPr>
          <w:p w14:paraId="529C9F3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0.92</w:t>
            </w:r>
          </w:p>
        </w:tc>
        <w:tc>
          <w:tcPr>
            <w:tcW w:w="379" w:type="pct"/>
            <w:tcBorders>
              <w:top w:val="single" w:sz="4" w:space="0" w:color="auto"/>
              <w:left w:val="nil"/>
              <w:bottom w:val="single" w:sz="4" w:space="0" w:color="auto"/>
              <w:right w:val="nil"/>
            </w:tcBorders>
            <w:shd w:val="clear" w:color="auto" w:fill="auto"/>
            <w:noWrap/>
            <w:vAlign w:val="bottom"/>
            <w:hideMark/>
          </w:tcPr>
          <w:p w14:paraId="5D95B98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24.1</w:t>
            </w:r>
          </w:p>
        </w:tc>
        <w:tc>
          <w:tcPr>
            <w:tcW w:w="378" w:type="pct"/>
            <w:tcBorders>
              <w:top w:val="single" w:sz="4" w:space="0" w:color="auto"/>
              <w:left w:val="nil"/>
              <w:bottom w:val="single" w:sz="4" w:space="0" w:color="auto"/>
              <w:right w:val="nil"/>
            </w:tcBorders>
            <w:shd w:val="clear" w:color="auto" w:fill="auto"/>
            <w:noWrap/>
            <w:vAlign w:val="bottom"/>
            <w:hideMark/>
          </w:tcPr>
          <w:p w14:paraId="53FA7B9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w:t>
            </w:r>
          </w:p>
        </w:tc>
        <w:tc>
          <w:tcPr>
            <w:tcW w:w="381" w:type="pct"/>
            <w:tcBorders>
              <w:top w:val="single" w:sz="4" w:space="0" w:color="auto"/>
              <w:left w:val="nil"/>
              <w:bottom w:val="single" w:sz="4" w:space="0" w:color="auto"/>
              <w:right w:val="nil"/>
            </w:tcBorders>
            <w:shd w:val="clear" w:color="auto" w:fill="auto"/>
            <w:noWrap/>
            <w:vAlign w:val="bottom"/>
            <w:hideMark/>
          </w:tcPr>
          <w:p w14:paraId="4B64B8C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w:t>
            </w:r>
          </w:p>
        </w:tc>
        <w:tc>
          <w:tcPr>
            <w:tcW w:w="378" w:type="pct"/>
            <w:tcBorders>
              <w:top w:val="single" w:sz="4" w:space="0" w:color="auto"/>
              <w:left w:val="nil"/>
              <w:bottom w:val="single" w:sz="4" w:space="0" w:color="auto"/>
              <w:right w:val="nil"/>
            </w:tcBorders>
            <w:shd w:val="clear" w:color="auto" w:fill="auto"/>
            <w:noWrap/>
            <w:vAlign w:val="bottom"/>
            <w:hideMark/>
          </w:tcPr>
          <w:p w14:paraId="7212AC5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{"citationID":"USXGAB1O","properties":{"formattedCitation":"[22]","plainCitation":"[22]","noteIndex":0},"citationItems":[{"id":637,"uris":["http://zotero.org/users/12909065/items/PNUURQSN"],"itemData":{"id":637,"type":"article-journal","abstract":"With the emergence of Y-series small molecule acceptors, polymerizing the small molecule acceptors with aromatic linker units has attracted significant research attention, which has greatly advanced the photovoltaic performance of all-polymer solar cells. Despite the rapid increase in efficiency, the unique characteristics (e. g., mechanical stretchability and flexibility) of all-polymer systems were still not thoroughly explored. In this work, we demonstrate an effective approach to simultaneously improve device performance, stability, and mechanical robustness of all-polymer solar cells by properly suppressing the aggregation and crystallization behaviors of polymerized Y-series acceptors. Strikingly, when introducing 50 wt% PYF-IT (a fluorinated version of PY-IT) into the well-known PM6:PY-IT system, the all-polymer devices delivered an impressive photovoltaic efficiency of 16.6%, significantly higher than that of the control binary cell (15.0%). Compared with the two binary systems, the optimal ternary blend exhibits more efficient charge separation and balanced charge transport accompanying with less recombination. Moreover, a high-performance 1.0 cm2 large-area device of 15% efficiency was demonstrated for the optimized ternary all-polymer blend, which offered a desirable PCE of 14.5% on flexible substrates and improved mechanical flexibility after bending 1000 cycles. Notably, these are among the best results for 1.0 cm2 all-polymer OPVs thus far. This work also heralds a bright future of all-polymer systems for flexible wearable energy-harvesting applications. © 2022 SIOC, CAS, Shanghai, &amp; WILEY-VCH GmbH.","archive":"Scopus","container-title":"Chinese Journal of Chemistry","DOI":"10.1002/cjoc.202200564","ISSN":"1001-604X","issue":"2","language":"English","page":"159-166","source":"Scopus","title":"Simultaneous Optimization of Efficiency, Stretchability, and Stability in All-Polymer Solar Cells via Aggregation Control†","volume":"41","author":[{"family":"Xian","given":"K."},{"family":"Zhou","given":"K."},{"family":"Li","given":"M."},{"family":"Liu","given":"J."},{"family":"Zhang","given":"Y."},{"family":"Zhang","given":"T."},{"family":"Cui","given":"Y."},{"family":"Zhao","given":"W."},{"family":"Yang","given":"C."},{"family":"Hou","given":"J."},{"family":"Geng","given":"Y."},{"family":"Ye","given":"L."}],"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w:t>
            </w:r>
            <w:r w:rsidRPr="00B55044">
              <w:rPr>
                <w:rFonts w:eastAsia="Times New Roman"/>
                <w:color w:val="0000FF"/>
                <w:sz w:val="16"/>
                <w:szCs w:val="16"/>
              </w:rPr>
              <w:fldChar w:fldCharType="end"/>
            </w:r>
          </w:p>
        </w:tc>
      </w:tr>
      <w:tr w:rsidR="00D47774" w:rsidRPr="00B55044" w14:paraId="70AFE9B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0C97F6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40</w:t>
            </w:r>
          </w:p>
        </w:tc>
        <w:tc>
          <w:tcPr>
            <w:tcW w:w="1525" w:type="pct"/>
            <w:tcBorders>
              <w:top w:val="single" w:sz="4" w:space="0" w:color="auto"/>
              <w:left w:val="nil"/>
              <w:bottom w:val="single" w:sz="4" w:space="0" w:color="auto"/>
              <w:right w:val="nil"/>
            </w:tcBorders>
            <w:shd w:val="clear" w:color="auto" w:fill="auto"/>
            <w:noWrap/>
            <w:vAlign w:val="bottom"/>
            <w:hideMark/>
          </w:tcPr>
          <w:p w14:paraId="2D2AB1A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59EEDFF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PM6:Y6:PBB-TSD</w:t>
            </w:r>
          </w:p>
        </w:tc>
        <w:tc>
          <w:tcPr>
            <w:tcW w:w="379" w:type="pct"/>
            <w:tcBorders>
              <w:top w:val="single" w:sz="4" w:space="0" w:color="auto"/>
              <w:left w:val="nil"/>
              <w:bottom w:val="single" w:sz="4" w:space="0" w:color="auto"/>
              <w:right w:val="nil"/>
            </w:tcBorders>
            <w:shd w:val="clear" w:color="auto" w:fill="auto"/>
            <w:noWrap/>
            <w:vAlign w:val="bottom"/>
            <w:hideMark/>
          </w:tcPr>
          <w:p w14:paraId="3C13B1D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0.854</w:t>
            </w:r>
          </w:p>
        </w:tc>
        <w:tc>
          <w:tcPr>
            <w:tcW w:w="379" w:type="pct"/>
            <w:tcBorders>
              <w:top w:val="single" w:sz="4" w:space="0" w:color="auto"/>
              <w:left w:val="nil"/>
              <w:bottom w:val="single" w:sz="4" w:space="0" w:color="auto"/>
              <w:right w:val="nil"/>
            </w:tcBorders>
            <w:shd w:val="clear" w:color="auto" w:fill="auto"/>
            <w:noWrap/>
            <w:vAlign w:val="bottom"/>
            <w:hideMark/>
          </w:tcPr>
          <w:p w14:paraId="5A9A898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26.62</w:t>
            </w:r>
          </w:p>
        </w:tc>
        <w:tc>
          <w:tcPr>
            <w:tcW w:w="378" w:type="pct"/>
            <w:tcBorders>
              <w:top w:val="single" w:sz="4" w:space="0" w:color="auto"/>
              <w:left w:val="nil"/>
              <w:bottom w:val="single" w:sz="4" w:space="0" w:color="auto"/>
              <w:right w:val="nil"/>
            </w:tcBorders>
            <w:shd w:val="clear" w:color="auto" w:fill="auto"/>
            <w:noWrap/>
            <w:vAlign w:val="bottom"/>
            <w:hideMark/>
          </w:tcPr>
          <w:p w14:paraId="7599F22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76.55</w:t>
            </w:r>
          </w:p>
        </w:tc>
        <w:tc>
          <w:tcPr>
            <w:tcW w:w="381" w:type="pct"/>
            <w:tcBorders>
              <w:top w:val="single" w:sz="4" w:space="0" w:color="auto"/>
              <w:left w:val="nil"/>
              <w:bottom w:val="single" w:sz="4" w:space="0" w:color="auto"/>
              <w:right w:val="nil"/>
            </w:tcBorders>
            <w:shd w:val="clear" w:color="auto" w:fill="auto"/>
            <w:noWrap/>
            <w:vAlign w:val="bottom"/>
            <w:hideMark/>
          </w:tcPr>
          <w:p w14:paraId="2DEAB4C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17.4</w:t>
            </w:r>
          </w:p>
        </w:tc>
        <w:tc>
          <w:tcPr>
            <w:tcW w:w="378" w:type="pct"/>
            <w:tcBorders>
              <w:top w:val="single" w:sz="4" w:space="0" w:color="auto"/>
              <w:left w:val="nil"/>
              <w:bottom w:val="single" w:sz="4" w:space="0" w:color="auto"/>
              <w:right w:val="nil"/>
            </w:tcBorders>
            <w:shd w:val="clear" w:color="auto" w:fill="auto"/>
            <w:noWrap/>
            <w:vAlign w:val="bottom"/>
            <w:hideMark/>
          </w:tcPr>
          <w:p w14:paraId="2026199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{"citationID":"a1TXPAaq","properties":{"formattedCitation":"[23]","plainCitation":"[23]","noteIndex":0},"citationItems":[{"id":636,"uris":["http://zotero.org/users/12909065/items/4LICLC63"],"itemData":{"id":636,"type":"article-journal","abstract":"Ternary organic solar cells (OSCs) as a promising device can simultaneously improve photovoltaic parameters compared with traditional binary OSCs. However, efficient ternary OSCs with two polymer donors are rarely reported due to the highly conformational freedom and incompatibility. Herein, the influences of device processing on ternary device performance were systematically studied with wide bandgap polymer donor PBB-TSD incorporated into PM6:Y6 system. The optimized traditional ternary bulk heterojunction (BHJ) OSCs achieved a PCE of 17.40%. Interestingly, the ternary sequential solution deposition (SSD) structure OSCs can effectively avoid the enrichment of acceptors at the anode and reduce the recombination. Hence, the ternary SSD structure OSC recorded a further improved PCE of 17.71%, especially compared with BHJ structure OSC (16.30%). Meanwhile, the ternary SSD structure strategy has also been applied to PM6:BTP-eC9 system with improved PCE of 18.14%. This work not only shows the potential of guest polymer donors in complementary light absorption of shortwave length range, but also reveals a simple but effective approach for boosting efficient ternary OSCs with two polymer donors. © 2022 Elsevier B.V.","archive":"Scopus","container-title":"Chemical Engineering Journal","DOI":"10.1016/j.cej.2022.139462","ISSN":"1385-8947","language":"English","source":"Scopus","title":"High-efficiency ternary sequential solution deposition structure organic solar cells with two polymer donors","volume":"452","author":[{"family":"Wang","given":"J."},{"family":"Wen","given":"S."},{"family":"Hu","given":"J."},{"family":"Han","given":"J."},{"family":"Yang","given":"C."},{"family":"Li","given":"J."},{"family":"Bao","given":"X."},{"family":"Yan","given":"S."}],"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w:t>
            </w:r>
            <w:r w:rsidRPr="00B55044">
              <w:rPr>
                <w:rFonts w:eastAsia="Times New Roman"/>
                <w:color w:val="0000FF"/>
                <w:sz w:val="16"/>
                <w:szCs w:val="16"/>
              </w:rPr>
              <w:fldChar w:fldCharType="end"/>
            </w:r>
          </w:p>
        </w:tc>
      </w:tr>
      <w:tr w:rsidR="00D47774" w:rsidRPr="00B55044" w14:paraId="2615AA7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7A66FC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41</w:t>
            </w:r>
          </w:p>
        </w:tc>
        <w:tc>
          <w:tcPr>
            <w:tcW w:w="1525" w:type="pct"/>
            <w:tcBorders>
              <w:top w:val="single" w:sz="4" w:space="0" w:color="auto"/>
              <w:left w:val="nil"/>
              <w:bottom w:val="single" w:sz="4" w:space="0" w:color="auto"/>
              <w:right w:val="nil"/>
            </w:tcBorders>
            <w:shd w:val="clear" w:color="auto" w:fill="auto"/>
            <w:noWrap/>
            <w:vAlign w:val="bottom"/>
            <w:hideMark/>
          </w:tcPr>
          <w:p w14:paraId="371B95E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385208D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PM6:BO-4Cl: L8-BO</w:t>
            </w:r>
          </w:p>
        </w:tc>
        <w:tc>
          <w:tcPr>
            <w:tcW w:w="379" w:type="pct"/>
            <w:tcBorders>
              <w:top w:val="single" w:sz="4" w:space="0" w:color="auto"/>
              <w:left w:val="nil"/>
              <w:bottom w:val="single" w:sz="4" w:space="0" w:color="auto"/>
              <w:right w:val="nil"/>
            </w:tcBorders>
            <w:shd w:val="clear" w:color="auto" w:fill="auto"/>
            <w:noWrap/>
            <w:vAlign w:val="bottom"/>
            <w:hideMark/>
          </w:tcPr>
          <w:p w14:paraId="3E29349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0.842</w:t>
            </w:r>
          </w:p>
        </w:tc>
        <w:tc>
          <w:tcPr>
            <w:tcW w:w="379" w:type="pct"/>
            <w:tcBorders>
              <w:top w:val="single" w:sz="4" w:space="0" w:color="auto"/>
              <w:left w:val="nil"/>
              <w:bottom w:val="single" w:sz="4" w:space="0" w:color="auto"/>
              <w:right w:val="nil"/>
            </w:tcBorders>
            <w:shd w:val="clear" w:color="auto" w:fill="auto"/>
            <w:noWrap/>
            <w:vAlign w:val="bottom"/>
            <w:hideMark/>
          </w:tcPr>
          <w:p w14:paraId="4DD31F3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27.14</w:t>
            </w:r>
          </w:p>
        </w:tc>
        <w:tc>
          <w:tcPr>
            <w:tcW w:w="378" w:type="pct"/>
            <w:tcBorders>
              <w:top w:val="single" w:sz="4" w:space="0" w:color="auto"/>
              <w:left w:val="nil"/>
              <w:bottom w:val="single" w:sz="4" w:space="0" w:color="auto"/>
              <w:right w:val="nil"/>
            </w:tcBorders>
            <w:shd w:val="clear" w:color="auto" w:fill="auto"/>
            <w:noWrap/>
            <w:vAlign w:val="bottom"/>
            <w:hideMark/>
          </w:tcPr>
          <w:p w14:paraId="3761F1E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78.28</w:t>
            </w:r>
          </w:p>
        </w:tc>
        <w:tc>
          <w:tcPr>
            <w:tcW w:w="381" w:type="pct"/>
            <w:tcBorders>
              <w:top w:val="single" w:sz="4" w:space="0" w:color="auto"/>
              <w:left w:val="nil"/>
              <w:bottom w:val="single" w:sz="4" w:space="0" w:color="auto"/>
              <w:right w:val="nil"/>
            </w:tcBorders>
            <w:shd w:val="clear" w:color="auto" w:fill="auto"/>
            <w:noWrap/>
            <w:vAlign w:val="bottom"/>
            <w:hideMark/>
          </w:tcPr>
          <w:p w14:paraId="4388F73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17.89</w:t>
            </w:r>
          </w:p>
        </w:tc>
        <w:tc>
          <w:tcPr>
            <w:tcW w:w="378" w:type="pct"/>
            <w:tcBorders>
              <w:top w:val="single" w:sz="4" w:space="0" w:color="auto"/>
              <w:left w:val="nil"/>
              <w:bottom w:val="single" w:sz="4" w:space="0" w:color="auto"/>
              <w:right w:val="nil"/>
            </w:tcBorders>
            <w:shd w:val="clear" w:color="auto" w:fill="auto"/>
            <w:noWrap/>
            <w:vAlign w:val="bottom"/>
            <w:hideMark/>
          </w:tcPr>
          <w:p w14:paraId="7881C95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{"citationID":"pcXv2PUg","properties":{"formattedCitation":"[24]","plainCitation":"[24]","noteIndex":0},"citationItems":[{"id":635,"uris":["http://zotero.org/users/12909065/items/U4DW66P4"],"itemData":{"id":635,"type":"article-journal","abstract":"Sequential layer-by-layer (LbL) deposition method, where ideal vertical morphology can be obtained, is a promising method for the fabrication of highly efficient organic solar cells (OSCs). But most LbL devices are prepared through toxic halogen solvents, hindering OSCs future commercial production. In this work, we have achieved bilayer devices based on PM6/BO-4Cl system for the first time with the non-halogenated solvent (o-xylene). Compared to BHJ devices, the efficiency of LbL devices was enhanced from 16.45 % to 17.03 %. On this basis, L8-BO was chosen as the third component doping into the acceptor layer and the performance of PM6/BO-4Cl: L8-BO ternary devices was further improved, realizing an outstanding PCE of 17.89 %, the highest value so far for halogen-free solvent processed LbL devices. The addition of L8-BO increased photon utilization and formed an alloy with BO-4Cl, while better regulating the donor–acceptor distribution in LbL structure, facilitating exciton dissociation and charge transport. More importantly, the PM6/BO-4Cl: L8-BO-based LbL devices retained 89 % of its original efficiency after 2000 h of placement. Our results demonstrate that tuning the material distribution precisely by LbL method, combined with the use of eco-friendly solvents is an effective way to achieve high performance ternary OSCs that benefiting the development of green energy technologies. © 2022 Elsevier B.V.","archive":"Scopus","container-title":"Chemical Engineering Journal","DOI":"10.1016/j.cej.2022.139496","ISSN":"1385-8947","language":"English","source":"Scopus","title":"High-Performance Layer-by-Layer organic solar cells enabled by Non-Halogenated solvent with 17.89% efficiency","volume":"452","author":[{"family":"Li","given":"X."},{"family":"Yang","given":"H."},{"family":"Du","given":"X."},{"family":"Lin","given":"H."},{"family":"Yang","given":"G."},{"family":"Zheng","given":"C."},{"family":"Tao","given":"S."}],"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[24]</w:t>
            </w:r>
            <w:r w:rsidRPr="00B55044">
              <w:rPr>
                <w:rFonts w:eastAsia="Times New Roman"/>
                <w:color w:val="0000FF"/>
                <w:sz w:val="16"/>
                <w:szCs w:val="16"/>
              </w:rPr>
              <w:fldChar w:fldCharType="end"/>
            </w:r>
          </w:p>
        </w:tc>
      </w:tr>
      <w:tr w:rsidR="00D47774" w:rsidRPr="00B55044" w14:paraId="262CF72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839FA0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42</w:t>
            </w:r>
          </w:p>
        </w:tc>
        <w:tc>
          <w:tcPr>
            <w:tcW w:w="1525" w:type="pct"/>
            <w:tcBorders>
              <w:top w:val="single" w:sz="4" w:space="0" w:color="auto"/>
              <w:left w:val="nil"/>
              <w:bottom w:val="single" w:sz="4" w:space="0" w:color="auto"/>
              <w:right w:val="nil"/>
            </w:tcBorders>
            <w:shd w:val="clear" w:color="auto" w:fill="auto"/>
            <w:noWrap/>
            <w:vAlign w:val="bottom"/>
            <w:hideMark/>
          </w:tcPr>
          <w:p w14:paraId="533A24C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78A2BE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PM6:BTP-eC9:TB-S1-O</w:t>
            </w:r>
          </w:p>
        </w:tc>
        <w:tc>
          <w:tcPr>
            <w:tcW w:w="379" w:type="pct"/>
            <w:tcBorders>
              <w:top w:val="single" w:sz="4" w:space="0" w:color="auto"/>
              <w:left w:val="nil"/>
              <w:bottom w:val="single" w:sz="4" w:space="0" w:color="auto"/>
              <w:right w:val="nil"/>
            </w:tcBorders>
            <w:shd w:val="clear" w:color="auto" w:fill="auto"/>
            <w:noWrap/>
            <w:vAlign w:val="bottom"/>
            <w:hideMark/>
          </w:tcPr>
          <w:p w14:paraId="1665339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0.857</w:t>
            </w:r>
          </w:p>
        </w:tc>
        <w:tc>
          <w:tcPr>
            <w:tcW w:w="379" w:type="pct"/>
            <w:tcBorders>
              <w:top w:val="single" w:sz="4" w:space="0" w:color="auto"/>
              <w:left w:val="nil"/>
              <w:bottom w:val="single" w:sz="4" w:space="0" w:color="auto"/>
              <w:right w:val="nil"/>
            </w:tcBorders>
            <w:shd w:val="clear" w:color="auto" w:fill="auto"/>
            <w:noWrap/>
            <w:vAlign w:val="bottom"/>
            <w:hideMark/>
          </w:tcPr>
          <w:p w14:paraId="4379BAE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27.4</w:t>
            </w:r>
          </w:p>
        </w:tc>
        <w:tc>
          <w:tcPr>
            <w:tcW w:w="378" w:type="pct"/>
            <w:tcBorders>
              <w:top w:val="single" w:sz="4" w:space="0" w:color="auto"/>
              <w:left w:val="nil"/>
              <w:bottom w:val="single" w:sz="4" w:space="0" w:color="auto"/>
              <w:right w:val="nil"/>
            </w:tcBorders>
            <w:shd w:val="clear" w:color="auto" w:fill="auto"/>
            <w:noWrap/>
            <w:vAlign w:val="bottom"/>
            <w:hideMark/>
          </w:tcPr>
          <w:p w14:paraId="30049BA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77.2</w:t>
            </w:r>
          </w:p>
        </w:tc>
        <w:tc>
          <w:tcPr>
            <w:tcW w:w="381" w:type="pct"/>
            <w:tcBorders>
              <w:top w:val="single" w:sz="4" w:space="0" w:color="auto"/>
              <w:left w:val="nil"/>
              <w:bottom w:val="single" w:sz="4" w:space="0" w:color="auto"/>
              <w:right w:val="nil"/>
            </w:tcBorders>
            <w:shd w:val="clear" w:color="auto" w:fill="auto"/>
            <w:noWrap/>
            <w:vAlign w:val="bottom"/>
            <w:hideMark/>
          </w:tcPr>
          <w:p w14:paraId="3BD3CD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18.14</w:t>
            </w:r>
          </w:p>
        </w:tc>
        <w:tc>
          <w:tcPr>
            <w:tcW w:w="378" w:type="pct"/>
            <w:tcBorders>
              <w:top w:val="single" w:sz="4" w:space="0" w:color="auto"/>
              <w:left w:val="nil"/>
              <w:bottom w:val="single" w:sz="4" w:space="0" w:color="auto"/>
              <w:right w:val="nil"/>
            </w:tcBorders>
            <w:shd w:val="clear" w:color="auto" w:fill="auto"/>
            <w:noWrap/>
            <w:vAlign w:val="bottom"/>
            <w:hideMark/>
          </w:tcPr>
          <w:p w14:paraId="4779C95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{"citationID":"EjlLqsjM","properties":{"formattedCitation":"[25]","plainCitation":"[25]","noteIndex":0},"citationItems":[{"id":634,"uris":["http://zotero.org/users/12909065/items/5PGMFPLL"],"itemData":{"id":634,"type":"article-journal","abstract":"A ternary strategy is considered to be an efficient and simple way to further enhance the performance of organic photovoltaics (OPVs). However, the “structure-performance” correlation of the third component in the ternary device has rarely been clearly understood from the aspect of the material’s eigenproperties. Herein, this relationship is investigated in depth by employing three asymmetric skeleton nonfullerene acceptors as the third component in the host system of PM6:BTP-eC9, respectively. Compared with TB-S and TB-S1, the alkoxy-substituted TB-S1-O possesses a more stable planar conformation, a higher surface energy, and a larger ordered stacking domain due to the existence of noncovalent conformational locking (O···H). Consequently, the PM6:BTP-eC9:TB-S1-O device exhibits the highest efficiency of 18.14% as compared with the devices based on PM6:BTP-eC9:TB-S (16.16%) and PM6:BTP-eC9:TB-S1 (16.18%). Most interestingly, only the PM6:BTP-eC9:TB-S1-O device can maintain the positive effect of VOC improvement, because a significant reduction in nonradiative voltage loss can be observed in this device. Our systematic study reveals that alkoxy substitution on an asymmetric backbone is an efficient method to construct the third component for high-performance ternary organic solar cells. © 2022 American Chemical Society.","archive":"Scopus","container-title":"ACS Energy Letters","DOI":"10.1021/acsenergylett.2c02201","ISSN":"2380-8195","issue":"1","language":"English","page":"361-371","source":"Scopus","title":"Alkoxy Substitution on Asymmetric Conjugated Molecule Enabling over 18% Efficiency in Ternary Organic Solar Cells by Reducing Nonradiative Voltage Loss","volume":"8","author":[{"family":"Xie","given":"L."},{"family":"Lan","given":"A."},{"family":"Gu","given":"Q."},{"family":"Yang","given":"S."},{"family":"Song","given":"W."},{"family":"Ge","given":"J."},{"family":"Zhou","given":"R."},{"family":"Chen","given":"Z."},{"family":"Zhang","given":"J."},{"family":"Zhang","given":"X."},{"family":"Yang","given":"D."},{"family":"Tang","given":"B."},{"family":"Wu","given":"T."},{"family":"Ge","given":"Z."}],"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[25]</w:t>
            </w:r>
            <w:r w:rsidRPr="00B55044">
              <w:rPr>
                <w:rFonts w:eastAsia="Times New Roman"/>
                <w:color w:val="0000FF"/>
                <w:sz w:val="16"/>
                <w:szCs w:val="16"/>
              </w:rPr>
              <w:fldChar w:fldCharType="end"/>
            </w:r>
          </w:p>
        </w:tc>
      </w:tr>
      <w:tr w:rsidR="00D47774" w:rsidRPr="00B55044" w14:paraId="404A998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6134F8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43</w:t>
            </w:r>
          </w:p>
        </w:tc>
        <w:tc>
          <w:tcPr>
            <w:tcW w:w="1525" w:type="pct"/>
            <w:tcBorders>
              <w:top w:val="single" w:sz="4" w:space="0" w:color="auto"/>
              <w:left w:val="nil"/>
              <w:bottom w:val="single" w:sz="4" w:space="0" w:color="auto"/>
              <w:right w:val="nil"/>
            </w:tcBorders>
            <w:shd w:val="clear" w:color="auto" w:fill="auto"/>
            <w:noWrap/>
            <w:vAlign w:val="bottom"/>
            <w:hideMark/>
          </w:tcPr>
          <w:p w14:paraId="4DDE507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64C108E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PM6-Qx10:D18:N3</w:t>
            </w:r>
          </w:p>
        </w:tc>
        <w:tc>
          <w:tcPr>
            <w:tcW w:w="379" w:type="pct"/>
            <w:tcBorders>
              <w:top w:val="single" w:sz="4" w:space="0" w:color="auto"/>
              <w:left w:val="nil"/>
              <w:bottom w:val="single" w:sz="4" w:space="0" w:color="auto"/>
              <w:right w:val="nil"/>
            </w:tcBorders>
            <w:shd w:val="clear" w:color="auto" w:fill="auto"/>
            <w:noWrap/>
            <w:vAlign w:val="bottom"/>
            <w:hideMark/>
          </w:tcPr>
          <w:p w14:paraId="5C80019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0.848</w:t>
            </w:r>
          </w:p>
        </w:tc>
        <w:tc>
          <w:tcPr>
            <w:tcW w:w="379" w:type="pct"/>
            <w:tcBorders>
              <w:top w:val="single" w:sz="4" w:space="0" w:color="auto"/>
              <w:left w:val="nil"/>
              <w:bottom w:val="single" w:sz="4" w:space="0" w:color="auto"/>
              <w:right w:val="nil"/>
            </w:tcBorders>
            <w:shd w:val="clear" w:color="auto" w:fill="auto"/>
            <w:noWrap/>
            <w:vAlign w:val="bottom"/>
            <w:hideMark/>
          </w:tcPr>
          <w:p w14:paraId="35CA4FC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w:t>
            </w:r>
          </w:p>
        </w:tc>
        <w:tc>
          <w:tcPr>
            <w:tcW w:w="378" w:type="pct"/>
            <w:tcBorders>
              <w:top w:val="single" w:sz="4" w:space="0" w:color="auto"/>
              <w:left w:val="nil"/>
              <w:bottom w:val="single" w:sz="4" w:space="0" w:color="auto"/>
              <w:right w:val="nil"/>
            </w:tcBorders>
            <w:shd w:val="clear" w:color="auto" w:fill="auto"/>
            <w:noWrap/>
            <w:vAlign w:val="bottom"/>
            <w:hideMark/>
          </w:tcPr>
          <w:p w14:paraId="2D646A0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78.34</w:t>
            </w:r>
          </w:p>
        </w:tc>
        <w:tc>
          <w:tcPr>
            <w:tcW w:w="381" w:type="pct"/>
            <w:tcBorders>
              <w:top w:val="single" w:sz="4" w:space="0" w:color="auto"/>
              <w:left w:val="nil"/>
              <w:bottom w:val="single" w:sz="4" w:space="0" w:color="auto"/>
              <w:right w:val="nil"/>
            </w:tcBorders>
            <w:shd w:val="clear" w:color="auto" w:fill="auto"/>
            <w:noWrap/>
            <w:vAlign w:val="bottom"/>
            <w:hideMark/>
          </w:tcPr>
          <w:p w14:paraId="0044605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17.6</w:t>
            </w:r>
          </w:p>
        </w:tc>
        <w:tc>
          <w:tcPr>
            <w:tcW w:w="378" w:type="pct"/>
            <w:tcBorders>
              <w:top w:val="single" w:sz="4" w:space="0" w:color="auto"/>
              <w:left w:val="nil"/>
              <w:bottom w:val="single" w:sz="4" w:space="0" w:color="auto"/>
              <w:right w:val="nil"/>
            </w:tcBorders>
            <w:shd w:val="clear" w:color="auto" w:fill="auto"/>
            <w:noWrap/>
            <w:vAlign w:val="bottom"/>
            <w:hideMark/>
          </w:tcPr>
          <w:p w14:paraId="5A31B71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{"citationID":"35FtYzEe","properties":{"formattedCitation":"[26]","plainCitation":"[26]","noteIndex":0},"citationItems":[{"id":633,"uris":["http://zotero.org/users/12909065/items/BY6E2FGL"],"itemData":{"id":633,"type":"article-journal","abstract":"By incorporating a dithieno[3,2-f:2′,3′-h]quinoxaline unit into a PM6 polymer backbone, we developed a novel terpolymer family, demonstrating composition-dependent optical, electrochemical, and morphological characteristics. Organic solar cells based on the combination of a terpolymer and ternary strategy achieved a high power conversion efficiency of 17.60%, demonstrating the validity of our combination strategy. © 2023 The Royal Society of Chemistry.","archive":"Scopus","container-title":"Chemical Communications","DOI":"10.1039/d2cc06725k","ISSN":"1359-7345","issue":"14","language":"English","page":"1991-1994","source":"Scopus","title":"Combining dithieno[3,2-f:2′,3′-h]quinoxaline-based terpolymer and ternary strategies enabling high-efficiency organic solar cells","title-short":"Combining dithieno[3,2-f","volume":"59","author":[{"family":"Jung","given":"S."},{"family":"Jeong","given":"S."},{"family":"Oh","given":"J."},{"family":"Kim","given":"S."},{"family":"Lee","given":"S."},{"family":"Yoon","given":"S.-J."},{"family":"Yang","given":"C."}],"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[26]</w:t>
            </w:r>
            <w:r w:rsidRPr="00B55044">
              <w:rPr>
                <w:rFonts w:eastAsia="Times New Roman"/>
                <w:color w:val="0000FF"/>
                <w:sz w:val="16"/>
                <w:szCs w:val="16"/>
              </w:rPr>
              <w:fldChar w:fldCharType="end"/>
            </w:r>
          </w:p>
        </w:tc>
      </w:tr>
      <w:tr w:rsidR="00D47774" w:rsidRPr="00B55044" w14:paraId="6BCBABB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8F05E3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44</w:t>
            </w:r>
          </w:p>
        </w:tc>
        <w:tc>
          <w:tcPr>
            <w:tcW w:w="1525" w:type="pct"/>
            <w:tcBorders>
              <w:top w:val="single" w:sz="4" w:space="0" w:color="auto"/>
              <w:left w:val="nil"/>
              <w:bottom w:val="single" w:sz="4" w:space="0" w:color="auto"/>
              <w:right w:val="nil"/>
            </w:tcBorders>
            <w:shd w:val="clear" w:color="auto" w:fill="auto"/>
            <w:noWrap/>
            <w:vAlign w:val="bottom"/>
            <w:hideMark/>
          </w:tcPr>
          <w:p w14:paraId="085AD76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200603C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PM6:PBTz-F:L8-BO</w:t>
            </w:r>
          </w:p>
        </w:tc>
        <w:tc>
          <w:tcPr>
            <w:tcW w:w="379" w:type="pct"/>
            <w:tcBorders>
              <w:top w:val="single" w:sz="4" w:space="0" w:color="auto"/>
              <w:left w:val="nil"/>
              <w:bottom w:val="single" w:sz="4" w:space="0" w:color="auto"/>
              <w:right w:val="nil"/>
            </w:tcBorders>
            <w:shd w:val="clear" w:color="auto" w:fill="auto"/>
            <w:noWrap/>
            <w:vAlign w:val="bottom"/>
            <w:hideMark/>
          </w:tcPr>
          <w:p w14:paraId="21CAB03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0.905</w:t>
            </w:r>
          </w:p>
        </w:tc>
        <w:tc>
          <w:tcPr>
            <w:tcW w:w="379" w:type="pct"/>
            <w:tcBorders>
              <w:top w:val="single" w:sz="4" w:space="0" w:color="auto"/>
              <w:left w:val="nil"/>
              <w:bottom w:val="single" w:sz="4" w:space="0" w:color="auto"/>
              <w:right w:val="nil"/>
            </w:tcBorders>
            <w:shd w:val="clear" w:color="auto" w:fill="auto"/>
            <w:noWrap/>
            <w:vAlign w:val="bottom"/>
            <w:hideMark/>
          </w:tcPr>
          <w:p w14:paraId="77D73B8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27.24</w:t>
            </w:r>
          </w:p>
        </w:tc>
        <w:tc>
          <w:tcPr>
            <w:tcW w:w="378" w:type="pct"/>
            <w:tcBorders>
              <w:top w:val="single" w:sz="4" w:space="0" w:color="auto"/>
              <w:left w:val="nil"/>
              <w:bottom w:val="single" w:sz="4" w:space="0" w:color="auto"/>
              <w:right w:val="nil"/>
            </w:tcBorders>
            <w:shd w:val="clear" w:color="auto" w:fill="auto"/>
            <w:noWrap/>
            <w:vAlign w:val="bottom"/>
            <w:hideMark/>
          </w:tcPr>
          <w:p w14:paraId="17133BB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79.26</w:t>
            </w:r>
          </w:p>
        </w:tc>
        <w:tc>
          <w:tcPr>
            <w:tcW w:w="381" w:type="pct"/>
            <w:tcBorders>
              <w:top w:val="single" w:sz="4" w:space="0" w:color="auto"/>
              <w:left w:val="nil"/>
              <w:bottom w:val="single" w:sz="4" w:space="0" w:color="auto"/>
              <w:right w:val="nil"/>
            </w:tcBorders>
            <w:shd w:val="clear" w:color="auto" w:fill="auto"/>
            <w:noWrap/>
            <w:vAlign w:val="bottom"/>
            <w:hideMark/>
          </w:tcPr>
          <w:p w14:paraId="57E7235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19.54</w:t>
            </w:r>
          </w:p>
        </w:tc>
        <w:tc>
          <w:tcPr>
            <w:tcW w:w="378" w:type="pct"/>
            <w:tcBorders>
              <w:top w:val="single" w:sz="4" w:space="0" w:color="auto"/>
              <w:left w:val="nil"/>
              <w:bottom w:val="single" w:sz="4" w:space="0" w:color="auto"/>
              <w:right w:val="nil"/>
            </w:tcBorders>
            <w:shd w:val="clear" w:color="auto" w:fill="auto"/>
            <w:noWrap/>
            <w:vAlign w:val="bottom"/>
            <w:hideMark/>
          </w:tcPr>
          <w:p w14:paraId="59429E9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{"citationID":"C2cgxNJp","properties":{"formattedCitation":"[27]","plainCitation":"[27]","noteIndex":0},"citationItems":[{"id":632,"uris":["http://zotero.org/users/12909065/items/SIEEPTJC"],"itemData":{"id":632,"type":"article-journal","abstract":"The limited selection pool of high-performance wide bandgap (WBG) polymer donors is a bottleneck problem of the nonfullerene acceptor (NFA) based organic solar cells (OSCs) that impedes the further improvement of their photovoltaic performances. Herein, a series of new WBG polymers, namely PH-BTz, PS-BTz, PF-BTz, and PCl-BTz, are developed by using the bicyclic difluoro-benzo[d]thiazole (BTz) as the acceptor block and benzo[1,2-b:4,5-b′]dithiophene (BDT) derivatives as the donor units. By introducing S, F, and Cl atoms to the alkylthienyl sidechains on BDT, the resulting polymers exhibit lowered energy levels and enhanced aggregation properties. The fluorinated PBTz-F not only exhibits a low-lying HOMO level, but also has stronger face-on packing order and results in more uniform fibril-like interpenetrating networks in the related PF-BTz:L8-BO blend. A high-power conversion efficiency (PCE) of 18.57% is achieved. Moreover, PBTz-F also exhibits a good batch-to-batch reproducibility and general applicability. In addition, ternary blend OSCs based on the host PBTz-F:L8-BO blend and PM6 guest donor exhibits a further enhanced PCE of 19.54%, which is among the highest values of OSCs. © 2023 Wiley-VCH GmbH.","archive":"Scopus","container-title":"Advanced Materials","DOI":"10.1002/adma.202300631","ISSN":"0935-9648","issue":"21","language":"English","source":"Scopus","title":"Benzo[d]thiazole Based Wide Bandgap Donor Polymers Enable 19.54% Efficiency Organic Solar Cells Along with Desirable Batch-to-Batch Reproducibility and General Applicability","volume":"35","author":[{"family":"Pang","given":"B."},{"family":"Liao","given":"C."},{"family":"Xu","given":"X."},{"family":"Yu","given":"L."},{"family":"Li","given":"R."},{"family":"Peng","given":"Q."}],"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[27]</w:t>
            </w:r>
            <w:r w:rsidRPr="00B55044">
              <w:rPr>
                <w:rFonts w:eastAsia="Times New Roman"/>
                <w:color w:val="0000FF"/>
                <w:sz w:val="16"/>
                <w:szCs w:val="16"/>
              </w:rPr>
              <w:fldChar w:fldCharType="end"/>
            </w:r>
          </w:p>
        </w:tc>
      </w:tr>
      <w:tr w:rsidR="00D47774" w:rsidRPr="00B55044" w14:paraId="28990C1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F88BFD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45</w:t>
            </w:r>
          </w:p>
        </w:tc>
        <w:tc>
          <w:tcPr>
            <w:tcW w:w="1525" w:type="pct"/>
            <w:tcBorders>
              <w:top w:val="single" w:sz="4" w:space="0" w:color="auto"/>
              <w:left w:val="nil"/>
              <w:bottom w:val="single" w:sz="4" w:space="0" w:color="auto"/>
              <w:right w:val="nil"/>
            </w:tcBorders>
            <w:shd w:val="clear" w:color="auto" w:fill="auto"/>
            <w:noWrap/>
            <w:vAlign w:val="bottom"/>
            <w:hideMark/>
          </w:tcPr>
          <w:p w14:paraId="3C35565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653DB4A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PM6:BTP-eC9:BTP-S16</w:t>
            </w:r>
          </w:p>
        </w:tc>
        <w:tc>
          <w:tcPr>
            <w:tcW w:w="379" w:type="pct"/>
            <w:tcBorders>
              <w:top w:val="single" w:sz="4" w:space="0" w:color="auto"/>
              <w:left w:val="nil"/>
              <w:bottom w:val="single" w:sz="4" w:space="0" w:color="auto"/>
              <w:right w:val="nil"/>
            </w:tcBorders>
            <w:shd w:val="clear" w:color="auto" w:fill="auto"/>
            <w:noWrap/>
            <w:vAlign w:val="bottom"/>
            <w:hideMark/>
          </w:tcPr>
          <w:p w14:paraId="0B481FD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0.863</w:t>
            </w:r>
          </w:p>
        </w:tc>
        <w:tc>
          <w:tcPr>
            <w:tcW w:w="379" w:type="pct"/>
            <w:tcBorders>
              <w:top w:val="single" w:sz="4" w:space="0" w:color="auto"/>
              <w:left w:val="nil"/>
              <w:bottom w:val="single" w:sz="4" w:space="0" w:color="auto"/>
              <w:right w:val="nil"/>
            </w:tcBorders>
            <w:shd w:val="clear" w:color="auto" w:fill="auto"/>
            <w:noWrap/>
            <w:vAlign w:val="bottom"/>
            <w:hideMark/>
          </w:tcPr>
          <w:p w14:paraId="68FB60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27.73</w:t>
            </w:r>
          </w:p>
        </w:tc>
        <w:tc>
          <w:tcPr>
            <w:tcW w:w="378" w:type="pct"/>
            <w:tcBorders>
              <w:top w:val="single" w:sz="4" w:space="0" w:color="auto"/>
              <w:left w:val="nil"/>
              <w:bottom w:val="single" w:sz="4" w:space="0" w:color="auto"/>
              <w:right w:val="nil"/>
            </w:tcBorders>
            <w:shd w:val="clear" w:color="auto" w:fill="auto"/>
            <w:noWrap/>
            <w:vAlign w:val="bottom"/>
            <w:hideMark/>
          </w:tcPr>
          <w:p w14:paraId="0EA40C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80.64</w:t>
            </w:r>
          </w:p>
        </w:tc>
        <w:tc>
          <w:tcPr>
            <w:tcW w:w="381" w:type="pct"/>
            <w:tcBorders>
              <w:top w:val="single" w:sz="4" w:space="0" w:color="auto"/>
              <w:left w:val="nil"/>
              <w:bottom w:val="single" w:sz="4" w:space="0" w:color="auto"/>
              <w:right w:val="nil"/>
            </w:tcBorders>
            <w:shd w:val="clear" w:color="auto" w:fill="auto"/>
            <w:noWrap/>
            <w:vAlign w:val="bottom"/>
            <w:hideMark/>
          </w:tcPr>
          <w:p w14:paraId="467CEEF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19.31</w:t>
            </w:r>
          </w:p>
        </w:tc>
        <w:tc>
          <w:tcPr>
            <w:tcW w:w="378" w:type="pct"/>
            <w:tcBorders>
              <w:top w:val="single" w:sz="4" w:space="0" w:color="auto"/>
              <w:left w:val="nil"/>
              <w:bottom w:val="single" w:sz="4" w:space="0" w:color="auto"/>
              <w:right w:val="nil"/>
            </w:tcBorders>
            <w:shd w:val="clear" w:color="auto" w:fill="auto"/>
            <w:noWrap/>
            <w:vAlign w:val="bottom"/>
            <w:hideMark/>
          </w:tcPr>
          <w:p w14:paraId="41E9276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{"citationID":"mVrCvinB","properties":{"formattedCitation":"[28]","plainCitation":"[28]","noteIndex":0},"citationItems":[{"id":631,"uris":["http://zotero.org/users/12909065/items/VAL4Z8T2"],"itemData":{"id":631,"type":"article-journal","abstract":"The ternary blend is demonstrated as an effective strategy to promote the device performance of organic photovoltaics (OPVs) due to the dilution effect. While the compromise between the charge generation and recombination remains a challenge. Here, a mixed diluent strategy for further improving the device efficiency of OPV is proposed. Specifically, the high-performance OPV system with a polymer donor, i.e., PM6, and a nonfullerene acceptor (NFA), i.e., BTP-eC9, is diluted by the mixed diluents, which involve a high bandgap NFA of BTP-S17 and a low bandgap NFA of BTP-S16 (similar with that of the BTP-eC9). The BTP-S17 of better miscibility with BTP-eC9 can dramatically enhance the open-circuit voltage (VOC), while the BTP-S16 maximizes the charge generation or the short-circuit current density (JSC). The interplay of BTP-17 and BTP-S16 enables better compromise between charge generation and recombination, thus leading to a high device performance of 19.76% (certified 19.41%), which is the best among single-junction OPVs. Further analysis on carrier dynamics validates the efficacy of mixed diluents for balancing charge generation and recombination, which can be further attributed to the more diverse energetic landscapes and improved morphology. Therefore, this work provides an effective strategy for high-performance OPV for further commercialization. © 2023 Wiley-VCH GmbH.","archive":"Scopus","container-title":"Advanced Materials","DOI":"10.1002/adma.202300400","ISSN":"0935-9648","issue":"21","language":"English","source":"Scopus","title":"Compromising Charge Generation and Recombination of Organic Photovoltaics with Mixed Diluent Strategy for Certified 19.4% Efficiency","volume":"35","author":[{"family":"Chen","given":"T."},{"family":"Li","given":"S."},{"family":"Li","given":"Y."},{"family":"Chen","given":"Z."},{"family":"Wu","given":"H."},{"family":"Lin","given":"Y."},{"family":"Gao","given":"Y."},{"family":"Wang","given":"M."},{"family":"Ding","given":"G."},{"family":"Min","given":"J."},{"family":"Ma","given":"Z."},{"family":"Zhu","given":"H."},{"family":"Zuo","given":"L."},{"family":"Chen","given":"H."}],"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[28]</w:t>
            </w:r>
            <w:r w:rsidRPr="00B55044">
              <w:rPr>
                <w:rFonts w:eastAsia="Times New Roman"/>
                <w:color w:val="0000FF"/>
                <w:sz w:val="16"/>
                <w:szCs w:val="16"/>
              </w:rPr>
              <w:fldChar w:fldCharType="end"/>
            </w:r>
          </w:p>
        </w:tc>
      </w:tr>
      <w:tr w:rsidR="00D47774" w:rsidRPr="00B55044" w14:paraId="4CF90C1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2724D6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46</w:t>
            </w:r>
          </w:p>
        </w:tc>
        <w:tc>
          <w:tcPr>
            <w:tcW w:w="1525" w:type="pct"/>
            <w:tcBorders>
              <w:top w:val="single" w:sz="4" w:space="0" w:color="auto"/>
              <w:left w:val="nil"/>
              <w:bottom w:val="single" w:sz="4" w:space="0" w:color="auto"/>
              <w:right w:val="nil"/>
            </w:tcBorders>
            <w:shd w:val="clear" w:color="auto" w:fill="auto"/>
            <w:noWrap/>
            <w:vAlign w:val="bottom"/>
            <w:hideMark/>
          </w:tcPr>
          <w:p w14:paraId="46109AA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060A970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PM6:BTP-eC9:BTP-S17</w:t>
            </w:r>
          </w:p>
        </w:tc>
        <w:tc>
          <w:tcPr>
            <w:tcW w:w="379" w:type="pct"/>
            <w:tcBorders>
              <w:top w:val="single" w:sz="4" w:space="0" w:color="auto"/>
              <w:left w:val="nil"/>
              <w:bottom w:val="single" w:sz="4" w:space="0" w:color="auto"/>
              <w:right w:val="nil"/>
            </w:tcBorders>
            <w:shd w:val="clear" w:color="auto" w:fill="auto"/>
            <w:noWrap/>
            <w:vAlign w:val="bottom"/>
            <w:hideMark/>
          </w:tcPr>
          <w:p w14:paraId="5F5163A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0.873</w:t>
            </w:r>
          </w:p>
        </w:tc>
        <w:tc>
          <w:tcPr>
            <w:tcW w:w="379" w:type="pct"/>
            <w:tcBorders>
              <w:top w:val="single" w:sz="4" w:space="0" w:color="auto"/>
              <w:left w:val="nil"/>
              <w:bottom w:val="single" w:sz="4" w:space="0" w:color="auto"/>
              <w:right w:val="nil"/>
            </w:tcBorders>
            <w:shd w:val="clear" w:color="auto" w:fill="auto"/>
            <w:noWrap/>
            <w:vAlign w:val="bottom"/>
            <w:hideMark/>
          </w:tcPr>
          <w:p w14:paraId="5069C62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27.59</w:t>
            </w:r>
          </w:p>
        </w:tc>
        <w:tc>
          <w:tcPr>
            <w:tcW w:w="378" w:type="pct"/>
            <w:tcBorders>
              <w:top w:val="single" w:sz="4" w:space="0" w:color="auto"/>
              <w:left w:val="nil"/>
              <w:bottom w:val="single" w:sz="4" w:space="0" w:color="auto"/>
              <w:right w:val="nil"/>
            </w:tcBorders>
            <w:shd w:val="clear" w:color="auto" w:fill="auto"/>
            <w:noWrap/>
            <w:vAlign w:val="bottom"/>
            <w:hideMark/>
          </w:tcPr>
          <w:p w14:paraId="04E3AC0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79.55</w:t>
            </w:r>
          </w:p>
        </w:tc>
        <w:tc>
          <w:tcPr>
            <w:tcW w:w="381" w:type="pct"/>
            <w:tcBorders>
              <w:top w:val="single" w:sz="4" w:space="0" w:color="auto"/>
              <w:left w:val="nil"/>
              <w:bottom w:val="single" w:sz="4" w:space="0" w:color="auto"/>
              <w:right w:val="nil"/>
            </w:tcBorders>
            <w:shd w:val="clear" w:color="auto" w:fill="auto"/>
            <w:noWrap/>
            <w:vAlign w:val="bottom"/>
            <w:hideMark/>
          </w:tcPr>
          <w:p w14:paraId="2D4A29B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19.19</w:t>
            </w:r>
          </w:p>
        </w:tc>
        <w:tc>
          <w:tcPr>
            <w:tcW w:w="378" w:type="pct"/>
            <w:tcBorders>
              <w:top w:val="single" w:sz="4" w:space="0" w:color="auto"/>
              <w:left w:val="nil"/>
              <w:bottom w:val="single" w:sz="4" w:space="0" w:color="auto"/>
              <w:right w:val="nil"/>
            </w:tcBorders>
            <w:shd w:val="clear" w:color="auto" w:fill="auto"/>
            <w:noWrap/>
            <w:vAlign w:val="bottom"/>
            <w:hideMark/>
          </w:tcPr>
          <w:p w14:paraId="112ED6F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{"citationID":"KfSEXU8W","properties":{"formattedCitation":"[28]","plainCitation":"[28]","noteIndex":0},"citationItems":[{"id":631,"uris":["http://zotero.org/users/12909065/items/VAL4Z8T2"],"itemData":{"id":631,"type":"article-journal","abstract":"The ternary blend is demonstrated as an effective strategy to promote the device performance of organic photovoltaics (OPVs) due to the dilution effect. While the compromise between the charge generation and recombination remains a challenge. Here, a mixed diluent strategy for further improving the device efficiency of OPV is proposed. Specifically, the high-performance OPV system with a polymer donor, i.e., PM6, and a nonfullerene acceptor (NFA), i.e., BTP-eC9, is diluted by the mixed diluents, which involve a high bandgap NFA of BTP-S17 and a low bandgap NFA of BTP-S16 (similar with that of the BTP-eC9). The BTP-S17 of better miscibility with BTP-eC9 can dramatically enhance the open-circuit voltage (VOC), while the BTP-S16 maximizes the charge generation or the short-circuit current density (JSC). The interplay of BTP-17 and BTP-S16 enables better compromise between charge generation and recombination, thus leading to a high device performance of 19.76% (certified 19.41%), which is the best among single-junction OPVs. Further analysis on carrier dynamics validates the efficacy of mixed diluents for balancing charge generation and recombination, which can be further attributed to the more diverse energetic landscapes and improved morphology. Therefore, this work provides an effective strategy for high-performance OPV for further commercialization. © 2023 Wiley-VCH GmbH.","archive":"Scopus","container-title":"Advanced Materials","DOI":"10.1002/adma.202300400","ISSN":"0935-9648","issue":"21","language":"English","source":"Scopus","title":"Compromising Charge Generation and Recombination of Organic Photovoltaics with Mixed Diluent Strategy for Certified 19.4% Efficiency","volume":"35","author":[{"family":"Chen","given":"T."},{"family":"Li","given":"S."},{"family":"Li","given":"Y."},{"family":"Chen","given":"Z."},{"family":"Wu","given":"H."},{"family":"Lin","given":"Y."},{"family":"Gao","given":"Y."},{"family":"Wang","given":"M."},{"family":"Ding","given":"G."},{"family":"Min","given":"J."},{"family":"Ma","given":"Z."},{"family":"Zhu","given":"H."},{"family":"Zuo","given":"L."},{"family":"Chen","given":"H."}],"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[28]</w:t>
            </w:r>
            <w:r w:rsidRPr="00B55044">
              <w:rPr>
                <w:rFonts w:eastAsia="Times New Roman"/>
                <w:color w:val="0000FF"/>
                <w:sz w:val="16"/>
                <w:szCs w:val="16"/>
              </w:rPr>
              <w:fldChar w:fldCharType="end"/>
            </w:r>
          </w:p>
        </w:tc>
      </w:tr>
      <w:tr w:rsidR="00D47774" w:rsidRPr="00B55044" w14:paraId="19F4486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951596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47</w:t>
            </w:r>
          </w:p>
        </w:tc>
        <w:tc>
          <w:tcPr>
            <w:tcW w:w="1525" w:type="pct"/>
            <w:tcBorders>
              <w:top w:val="single" w:sz="4" w:space="0" w:color="auto"/>
              <w:left w:val="nil"/>
              <w:bottom w:val="single" w:sz="4" w:space="0" w:color="auto"/>
              <w:right w:val="nil"/>
            </w:tcBorders>
            <w:shd w:val="clear" w:color="auto" w:fill="auto"/>
            <w:noWrap/>
            <w:vAlign w:val="bottom"/>
            <w:hideMark/>
          </w:tcPr>
          <w:p w14:paraId="10DE5FE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3E11612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PM6:PY-IT: PYFCl-T</w:t>
            </w:r>
          </w:p>
        </w:tc>
        <w:tc>
          <w:tcPr>
            <w:tcW w:w="379" w:type="pct"/>
            <w:tcBorders>
              <w:top w:val="single" w:sz="4" w:space="0" w:color="auto"/>
              <w:left w:val="nil"/>
              <w:bottom w:val="single" w:sz="4" w:space="0" w:color="auto"/>
              <w:right w:val="nil"/>
            </w:tcBorders>
            <w:shd w:val="clear" w:color="auto" w:fill="auto"/>
            <w:noWrap/>
            <w:vAlign w:val="bottom"/>
            <w:hideMark/>
          </w:tcPr>
          <w:p w14:paraId="3BC8FF4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0.94</w:t>
            </w:r>
          </w:p>
        </w:tc>
        <w:tc>
          <w:tcPr>
            <w:tcW w:w="379" w:type="pct"/>
            <w:tcBorders>
              <w:top w:val="single" w:sz="4" w:space="0" w:color="auto"/>
              <w:left w:val="nil"/>
              <w:bottom w:val="single" w:sz="4" w:space="0" w:color="auto"/>
              <w:right w:val="nil"/>
            </w:tcBorders>
            <w:shd w:val="clear" w:color="auto" w:fill="auto"/>
            <w:noWrap/>
            <w:vAlign w:val="bottom"/>
            <w:hideMark/>
          </w:tcPr>
          <w:p w14:paraId="28F5B55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25.76</w:t>
            </w:r>
          </w:p>
        </w:tc>
        <w:tc>
          <w:tcPr>
            <w:tcW w:w="378" w:type="pct"/>
            <w:tcBorders>
              <w:top w:val="single" w:sz="4" w:space="0" w:color="auto"/>
              <w:left w:val="nil"/>
              <w:bottom w:val="single" w:sz="4" w:space="0" w:color="auto"/>
              <w:right w:val="nil"/>
            </w:tcBorders>
            <w:shd w:val="clear" w:color="auto" w:fill="auto"/>
            <w:noWrap/>
            <w:vAlign w:val="bottom"/>
            <w:hideMark/>
          </w:tcPr>
          <w:p w14:paraId="753A71B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74.84</w:t>
            </w:r>
          </w:p>
        </w:tc>
        <w:tc>
          <w:tcPr>
            <w:tcW w:w="381" w:type="pct"/>
            <w:tcBorders>
              <w:top w:val="single" w:sz="4" w:space="0" w:color="auto"/>
              <w:left w:val="nil"/>
              <w:bottom w:val="single" w:sz="4" w:space="0" w:color="auto"/>
              <w:right w:val="nil"/>
            </w:tcBorders>
            <w:shd w:val="clear" w:color="auto" w:fill="auto"/>
            <w:noWrap/>
            <w:vAlign w:val="bottom"/>
            <w:hideMark/>
          </w:tcPr>
          <w:p w14:paraId="5E2972A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18.12</w:t>
            </w:r>
          </w:p>
        </w:tc>
        <w:tc>
          <w:tcPr>
            <w:tcW w:w="378" w:type="pct"/>
            <w:tcBorders>
              <w:top w:val="single" w:sz="4" w:space="0" w:color="auto"/>
              <w:left w:val="nil"/>
              <w:bottom w:val="single" w:sz="4" w:space="0" w:color="auto"/>
              <w:right w:val="nil"/>
            </w:tcBorders>
            <w:shd w:val="clear" w:color="auto" w:fill="auto"/>
            <w:noWrap/>
            <w:vAlign w:val="bottom"/>
            <w:hideMark/>
          </w:tcPr>
          <w:p w14:paraId="771FCC7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{"citationID":"jKOfPTLy","properties":{"formattedCitation":"[29]","plainCitation":"[29]","noteIndex":0},"citationItems":[{"id":630,"uris":["http://zotero.org/users/12909065/items/DE6V7ZY4"],"itemData":{"id":630,"type":"article-journal","abstract":"High-performance all-polymer solar cells (all-PSCs) deeply rely on the joint contributions of desirable optical absorption, adaptive energy levels, and appropriate morphology. Herein, two structural analogous polymerized small-molecule acceptors (PSMAs), PYFCl-T and PYF&amp;amp;PYCl-T, are synthesized, and then incorporated into the PM6:PY-IT binary blends to construct ternary all-PSCs. Due to the superior compatibility of PY-IT and PYFCl-T, the ternary all-PSC based on PM6:PY-IT:PYFCl-T with 10 wt% PYFCl-T, presents higher and more balanced charge mobility, suppressed charge recombination, and faster charge-transfer kinetics, resulting in an outstanding power conversion efficiency (PCE) of 18.12% with enhanced Jsc and FF, which is much higher than that (PCE of 16.09%) of the binary all-PSCs based on PM6:PY-IT. Besides, the ternary all-PSCs also exhibit improved photostability. The conspicuous performance enhancement principally should give the credit to the miscibility-driven phase optimization of the donor and acceptor. These findings highlight the significance of polymer-backbone configuration modulation of PSMAs in morphology optimization toward boosting the device properties of all-PSCs. © 2023 Wiley-VCH GmbH.","archive":"Scopus","container-title":"Advanced Materials","DOI":"10.1002/adma.202211296","ISSN":"0935-9648","issue":"16","language":"English","source":"Scopus","title":"Manipulating Polymer Backbone Configuration via Halogenated Asymmetric End-Groups Enables Over 18% Efficiency All-Polymer Solar Cells","volume":"35","author":[{"family":"Guo","given":"J."},{"family":"Xia","given":"X."},{"family":"Qiu","given":"B."},{"family":"Zhang","given":"J."},{"family":"Qin","given":"S."},{"family":"Li","given":"X."},{"family":"Lai","given":"W."},{"family":"Lu","given":"X."},{"family":"Meng","given":"L."},{"family":"Zhang","given":"Z."},{"family":"Li","given":"Y."}],"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[29]</w:t>
            </w:r>
            <w:r w:rsidRPr="00B55044">
              <w:rPr>
                <w:rFonts w:eastAsia="Times New Roman"/>
                <w:color w:val="0000FF"/>
                <w:sz w:val="16"/>
                <w:szCs w:val="16"/>
              </w:rPr>
              <w:fldChar w:fldCharType="end"/>
            </w:r>
          </w:p>
        </w:tc>
      </w:tr>
      <w:tr w:rsidR="00D47774" w:rsidRPr="00B55044" w14:paraId="7B6F53B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B8B4AD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48</w:t>
            </w:r>
          </w:p>
        </w:tc>
        <w:tc>
          <w:tcPr>
            <w:tcW w:w="1525" w:type="pct"/>
            <w:tcBorders>
              <w:top w:val="single" w:sz="4" w:space="0" w:color="auto"/>
              <w:left w:val="nil"/>
              <w:bottom w:val="single" w:sz="4" w:space="0" w:color="auto"/>
              <w:right w:val="nil"/>
            </w:tcBorders>
            <w:shd w:val="clear" w:color="auto" w:fill="auto"/>
            <w:noWrap/>
            <w:vAlign w:val="bottom"/>
            <w:hideMark/>
          </w:tcPr>
          <w:p w14:paraId="39C34B1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ITO/PEDOT:PSS-Nb</w:t>
            </w:r>
            <w:r w:rsidRPr="00B55044">
              <w:rPr>
                <w:rFonts w:eastAsia="Times New Roman"/>
                <w:sz w:val="16"/>
                <w:szCs w:val="16"/>
                <w:vertAlign w:val="subscript"/>
              </w:rPr>
              <w:t>2</w:t>
            </w:r>
            <w:r w:rsidRPr="00B55044">
              <w:rPr>
                <w:rFonts w:eastAsia="Times New Roman"/>
                <w:sz w:val="16"/>
                <w:szCs w:val="16"/>
              </w:rPr>
              <w:t>C(0.1)/AL/BCP/Ag</w:t>
            </w:r>
          </w:p>
        </w:tc>
        <w:tc>
          <w:tcPr>
            <w:tcW w:w="1288" w:type="pct"/>
            <w:tcBorders>
              <w:top w:val="single" w:sz="4" w:space="0" w:color="auto"/>
              <w:left w:val="nil"/>
              <w:bottom w:val="single" w:sz="4" w:space="0" w:color="auto"/>
              <w:right w:val="nil"/>
            </w:tcBorders>
            <w:shd w:val="clear" w:color="auto" w:fill="auto"/>
            <w:noWrap/>
            <w:vAlign w:val="bottom"/>
            <w:hideMark/>
          </w:tcPr>
          <w:p w14:paraId="1424662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PM6:BTP-eC9:L8-BO</w:t>
            </w:r>
          </w:p>
        </w:tc>
        <w:tc>
          <w:tcPr>
            <w:tcW w:w="379" w:type="pct"/>
            <w:tcBorders>
              <w:top w:val="single" w:sz="4" w:space="0" w:color="auto"/>
              <w:left w:val="nil"/>
              <w:bottom w:val="single" w:sz="4" w:space="0" w:color="auto"/>
              <w:right w:val="nil"/>
            </w:tcBorders>
            <w:shd w:val="clear" w:color="auto" w:fill="auto"/>
            <w:noWrap/>
            <w:vAlign w:val="bottom"/>
            <w:hideMark/>
          </w:tcPr>
          <w:p w14:paraId="5370CEB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29B76B2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28.57</w:t>
            </w:r>
          </w:p>
        </w:tc>
        <w:tc>
          <w:tcPr>
            <w:tcW w:w="378" w:type="pct"/>
            <w:tcBorders>
              <w:top w:val="single" w:sz="4" w:space="0" w:color="auto"/>
              <w:left w:val="nil"/>
              <w:bottom w:val="single" w:sz="4" w:space="0" w:color="auto"/>
              <w:right w:val="nil"/>
            </w:tcBorders>
            <w:shd w:val="clear" w:color="auto" w:fill="auto"/>
            <w:noWrap/>
            <w:vAlign w:val="bottom"/>
            <w:hideMark/>
          </w:tcPr>
          <w:p w14:paraId="7C963F6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77.92</w:t>
            </w:r>
          </w:p>
        </w:tc>
        <w:tc>
          <w:tcPr>
            <w:tcW w:w="381" w:type="pct"/>
            <w:tcBorders>
              <w:top w:val="single" w:sz="4" w:space="0" w:color="auto"/>
              <w:left w:val="nil"/>
              <w:bottom w:val="single" w:sz="4" w:space="0" w:color="auto"/>
              <w:right w:val="nil"/>
            </w:tcBorders>
            <w:shd w:val="clear" w:color="auto" w:fill="auto"/>
            <w:noWrap/>
            <w:vAlign w:val="bottom"/>
            <w:hideMark/>
          </w:tcPr>
          <w:p w14:paraId="2B0B78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19.33</w:t>
            </w:r>
          </w:p>
        </w:tc>
        <w:tc>
          <w:tcPr>
            <w:tcW w:w="378" w:type="pct"/>
            <w:tcBorders>
              <w:top w:val="single" w:sz="4" w:space="0" w:color="auto"/>
              <w:left w:val="nil"/>
              <w:bottom w:val="single" w:sz="4" w:space="0" w:color="auto"/>
              <w:right w:val="nil"/>
            </w:tcBorders>
            <w:shd w:val="clear" w:color="auto" w:fill="auto"/>
            <w:noWrap/>
            <w:vAlign w:val="bottom"/>
            <w:hideMark/>
          </w:tcPr>
          <w:p w14:paraId="72106E9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{"citationID":"xZR0BsbF","properties":{"formattedCitation":"[30]","plainCitation":"[30]","noteIndex":0},"citationItems":[{"id":629,"uris":["http://zotero.org/users/12909065/items/PZ3PGB45"],"itemData":{"id":629,"type":"article-journal","abstract":"Niobium-carbide (Nb2C) MXene as a new 2D material has shown great potential for application in photovoltaics due to its excellent electrical conductivity, large surface area, and superior transmittance. In this work, a novel solution-processable poly(3,4-ethylenedioxythiophene): poly(styrenesulfonate) (PEDOT:PSS)-Nb2C hybrid hole transport layer (HTL) is developed to enhance the device performance of organic solar cells (OSCs). By optimizing the doping ratio of Nb2C MXene in PEDOT:PSS, the best power convention efficiency (PCE) of 19.33% can be achieved for OSCs based on the ternary active layer of PM6:BTP-eC9:L8-BO, which is so far the highest value among those of single junction OSCs using 2D materials. It is found that the addition of Nb2C MXene can facilitate the phase separation of the PEDOT and PSS segments, thus improving the conductivity and work function of PEDOT:PSS. The significantly enhanced device performance can be attributed to the higher hole mobility and charge extraction capability, as well as lower interface recombination probabilities generated by the hybrid HTL. Additionally, the versatility of the hybrid HTL to improve the performance of OSCs based on different nonfullerene acceptors is demonstrated. These results indicate the promising potential of Nb2C MXene in the development of high-performance OSCs. © 2023 Wiley-VCH GmbH.","archive":"Scopus","container-title":"Small","DOI":"10.1002/smll.202207505","ISSN":"1613-6810","issue":"23","language":"English","source":"Scopus","title":"Niobium-Carbide MXene Modified Hybrid Hole Transport Layer Enabling High-Performance Organic Solar Cells Over 19%","volume":"19","author":[{"family":"Deng","given":"B."},{"family":"Lian","given":"H."},{"family":"Xue","given":"B."},{"family":"Song","given":"R."},{"family":"Chen","given":"S."},{"family":"Wang","given":"Z."},{"family":"Xu","given":"T."},{"family":"Dong","given":"H."},{"family":"Wang","given":"S."}],"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[30]</w:t>
            </w:r>
            <w:r w:rsidRPr="00B55044">
              <w:rPr>
                <w:rFonts w:eastAsia="Times New Roman"/>
                <w:color w:val="0000FF"/>
                <w:sz w:val="16"/>
                <w:szCs w:val="16"/>
              </w:rPr>
              <w:fldChar w:fldCharType="end"/>
            </w:r>
          </w:p>
        </w:tc>
      </w:tr>
      <w:tr w:rsidR="00D47774" w:rsidRPr="00B55044" w14:paraId="2E765CA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8EAC06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49</w:t>
            </w:r>
          </w:p>
        </w:tc>
        <w:tc>
          <w:tcPr>
            <w:tcW w:w="1525" w:type="pct"/>
            <w:tcBorders>
              <w:top w:val="single" w:sz="4" w:space="0" w:color="auto"/>
              <w:left w:val="nil"/>
              <w:bottom w:val="single" w:sz="4" w:space="0" w:color="auto"/>
              <w:right w:val="nil"/>
            </w:tcBorders>
            <w:shd w:val="clear" w:color="auto" w:fill="auto"/>
            <w:noWrap/>
            <w:vAlign w:val="bottom"/>
            <w:hideMark/>
          </w:tcPr>
          <w:p w14:paraId="60E35F0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ITO/PEDOT:PSS-Nb</w:t>
            </w:r>
            <w:r w:rsidRPr="00B55044">
              <w:rPr>
                <w:rFonts w:eastAsia="Times New Roman"/>
                <w:sz w:val="16"/>
                <w:szCs w:val="16"/>
                <w:vertAlign w:val="subscript"/>
              </w:rPr>
              <w:t>2</w:t>
            </w:r>
            <w:r w:rsidRPr="00B55044">
              <w:rPr>
                <w:rFonts w:eastAsia="Times New Roman"/>
                <w:sz w:val="16"/>
                <w:szCs w:val="16"/>
              </w:rPr>
              <w:t>C(0.05)/AL/BCP/Ag</w:t>
            </w:r>
          </w:p>
        </w:tc>
        <w:tc>
          <w:tcPr>
            <w:tcW w:w="1288" w:type="pct"/>
            <w:tcBorders>
              <w:top w:val="single" w:sz="4" w:space="0" w:color="auto"/>
              <w:left w:val="nil"/>
              <w:bottom w:val="single" w:sz="4" w:space="0" w:color="auto"/>
              <w:right w:val="nil"/>
            </w:tcBorders>
            <w:shd w:val="clear" w:color="auto" w:fill="auto"/>
            <w:noWrap/>
            <w:vAlign w:val="bottom"/>
            <w:hideMark/>
          </w:tcPr>
          <w:p w14:paraId="0DC120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PM6:BTP-eC9:L8-BO</w:t>
            </w:r>
          </w:p>
        </w:tc>
        <w:tc>
          <w:tcPr>
            <w:tcW w:w="379" w:type="pct"/>
            <w:tcBorders>
              <w:top w:val="single" w:sz="4" w:space="0" w:color="auto"/>
              <w:left w:val="nil"/>
              <w:bottom w:val="single" w:sz="4" w:space="0" w:color="auto"/>
              <w:right w:val="nil"/>
            </w:tcBorders>
            <w:shd w:val="clear" w:color="auto" w:fill="auto"/>
            <w:noWrap/>
            <w:vAlign w:val="bottom"/>
            <w:hideMark/>
          </w:tcPr>
          <w:p w14:paraId="450AA3F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4441971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27.9</w:t>
            </w:r>
          </w:p>
        </w:tc>
        <w:tc>
          <w:tcPr>
            <w:tcW w:w="378" w:type="pct"/>
            <w:tcBorders>
              <w:top w:val="single" w:sz="4" w:space="0" w:color="auto"/>
              <w:left w:val="nil"/>
              <w:bottom w:val="single" w:sz="4" w:space="0" w:color="auto"/>
              <w:right w:val="nil"/>
            </w:tcBorders>
            <w:shd w:val="clear" w:color="auto" w:fill="auto"/>
            <w:noWrap/>
            <w:vAlign w:val="bottom"/>
            <w:hideMark/>
          </w:tcPr>
          <w:p w14:paraId="234E556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77.76</w:t>
            </w:r>
          </w:p>
        </w:tc>
        <w:tc>
          <w:tcPr>
            <w:tcW w:w="381" w:type="pct"/>
            <w:tcBorders>
              <w:top w:val="single" w:sz="4" w:space="0" w:color="auto"/>
              <w:left w:val="nil"/>
              <w:bottom w:val="single" w:sz="4" w:space="0" w:color="auto"/>
              <w:right w:val="nil"/>
            </w:tcBorders>
            <w:shd w:val="clear" w:color="auto" w:fill="auto"/>
            <w:noWrap/>
            <w:vAlign w:val="bottom"/>
            <w:hideMark/>
          </w:tcPr>
          <w:p w14:paraId="0F300B0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18.79</w:t>
            </w:r>
          </w:p>
        </w:tc>
        <w:tc>
          <w:tcPr>
            <w:tcW w:w="378" w:type="pct"/>
            <w:tcBorders>
              <w:top w:val="single" w:sz="4" w:space="0" w:color="auto"/>
              <w:left w:val="nil"/>
              <w:bottom w:val="single" w:sz="4" w:space="0" w:color="auto"/>
              <w:right w:val="nil"/>
            </w:tcBorders>
            <w:shd w:val="clear" w:color="auto" w:fill="auto"/>
            <w:noWrap/>
            <w:vAlign w:val="bottom"/>
            <w:hideMark/>
          </w:tcPr>
          <w:p w14:paraId="412473A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{"citationID":"jv80Twzo","properties":{"formattedCitation":"[30]","plainCitation":"[30]","noteIndex":0},"citationItems":[{"id":629,"uris":["http://zotero.org/users/12909065/items/PZ3PGB45"],"itemData":{"id":629,"type":"article-journal","abstract":"Niobium-carbide (Nb2C) MXene as a new 2D material has shown great potential for application in photovoltaics due to its excellent electrical conductivity, large surface area, and superior transmittance. In this work, a novel solution-processable poly(3,4-ethylenedioxythiophene): poly(styrenesulfonate) (PEDOT:PSS)-Nb2C hybrid hole transport layer (HTL) is developed to enhance the device performance of organic solar cells (OSCs). By optimizing the doping ratio of Nb2C MXene in PEDOT:PSS, the best power convention efficiency (PCE) of 19.33% can be achieved for OSCs based on the ternary active layer of PM6:BTP-eC9:L8-BO, which is so far the highest value among those of single junction OSCs using 2D materials. It is found that the addition of Nb2C MXene can facilitate the phase separation of the PEDOT and PSS segments, thus improving the conductivity and work function of PEDOT:PSS. The significantly enhanced device performance can be attributed to the higher hole mobility and charge extraction capability, as well as lower interface recombination probabilities generated by the hybrid HTL. Additionally, the versatility of the hybrid HTL to improve the performance of OSCs based on different nonfullerene acceptors is demonstrated. These results indicate the promising potential of Nb2C MXene in the development of high-performance OSCs. © 2023 Wiley-VCH GmbH.","archive":"Scopus","container-title":"Small","DOI":"10.1002/smll.202207505","ISSN":"1613-6810","issue":"23","language":"English","source":"Scopus","title":"Niobium-Carbide MXene Modified Hybrid Hole Transport Layer Enabling High-Performance Organic Solar Cells Over 19%","volume":"19","author":[{"family":"Deng","given":"B."},{"family":"Lian","given":"H."},{"family":"Xue","given":"B."},{"family":"Song","given":"R."},{"family":"Chen","given":"S."},{"family":"Wang","given":"Z."},{"family":"Xu","given":"T."},{"family":"Dong","given":"H."},{"family":"Wang","given":"S."}],"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[30]</w:t>
            </w:r>
            <w:r w:rsidRPr="00B55044">
              <w:rPr>
                <w:rFonts w:eastAsia="Times New Roman"/>
                <w:color w:val="0000FF"/>
                <w:sz w:val="16"/>
                <w:szCs w:val="16"/>
              </w:rPr>
              <w:fldChar w:fldCharType="end"/>
            </w:r>
          </w:p>
        </w:tc>
      </w:tr>
      <w:tr w:rsidR="00D47774" w:rsidRPr="00B55044" w14:paraId="37D15C0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DCE7F3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50</w:t>
            </w:r>
          </w:p>
        </w:tc>
        <w:tc>
          <w:tcPr>
            <w:tcW w:w="1525" w:type="pct"/>
            <w:tcBorders>
              <w:top w:val="single" w:sz="4" w:space="0" w:color="auto"/>
              <w:left w:val="nil"/>
              <w:bottom w:val="single" w:sz="4" w:space="0" w:color="auto"/>
              <w:right w:val="nil"/>
            </w:tcBorders>
            <w:shd w:val="clear" w:color="auto" w:fill="auto"/>
            <w:noWrap/>
            <w:vAlign w:val="bottom"/>
            <w:hideMark/>
          </w:tcPr>
          <w:p w14:paraId="45F2379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ITO/PEDOT:PSS-Nb</w:t>
            </w:r>
            <w:r w:rsidRPr="00B55044">
              <w:rPr>
                <w:rFonts w:eastAsia="Times New Roman"/>
                <w:sz w:val="16"/>
                <w:szCs w:val="16"/>
                <w:vertAlign w:val="subscript"/>
              </w:rPr>
              <w:t>2</w:t>
            </w:r>
            <w:r w:rsidRPr="00B55044">
              <w:rPr>
                <w:rFonts w:eastAsia="Times New Roman"/>
                <w:sz w:val="16"/>
                <w:szCs w:val="16"/>
              </w:rPr>
              <w:t>C(0.15)/AL/BCP/Ag</w:t>
            </w:r>
          </w:p>
        </w:tc>
        <w:tc>
          <w:tcPr>
            <w:tcW w:w="1288" w:type="pct"/>
            <w:tcBorders>
              <w:top w:val="single" w:sz="4" w:space="0" w:color="auto"/>
              <w:left w:val="nil"/>
              <w:bottom w:val="single" w:sz="4" w:space="0" w:color="auto"/>
              <w:right w:val="nil"/>
            </w:tcBorders>
            <w:shd w:val="clear" w:color="auto" w:fill="auto"/>
            <w:noWrap/>
            <w:vAlign w:val="bottom"/>
            <w:hideMark/>
          </w:tcPr>
          <w:p w14:paraId="784A9B6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PM6:BTP-eC9:L8-BO</w:t>
            </w:r>
          </w:p>
        </w:tc>
        <w:tc>
          <w:tcPr>
            <w:tcW w:w="379" w:type="pct"/>
            <w:tcBorders>
              <w:top w:val="single" w:sz="4" w:space="0" w:color="auto"/>
              <w:left w:val="nil"/>
              <w:bottom w:val="single" w:sz="4" w:space="0" w:color="auto"/>
              <w:right w:val="nil"/>
            </w:tcBorders>
            <w:shd w:val="clear" w:color="auto" w:fill="auto"/>
            <w:noWrap/>
            <w:vAlign w:val="bottom"/>
            <w:hideMark/>
          </w:tcPr>
          <w:p w14:paraId="6139980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798B743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28.19</w:t>
            </w:r>
          </w:p>
        </w:tc>
        <w:tc>
          <w:tcPr>
            <w:tcW w:w="378" w:type="pct"/>
            <w:tcBorders>
              <w:top w:val="single" w:sz="4" w:space="0" w:color="auto"/>
              <w:left w:val="nil"/>
              <w:bottom w:val="single" w:sz="4" w:space="0" w:color="auto"/>
              <w:right w:val="nil"/>
            </w:tcBorders>
            <w:shd w:val="clear" w:color="auto" w:fill="auto"/>
            <w:noWrap/>
            <w:vAlign w:val="bottom"/>
            <w:hideMark/>
          </w:tcPr>
          <w:p w14:paraId="75F5D9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77.8</w:t>
            </w:r>
          </w:p>
        </w:tc>
        <w:tc>
          <w:tcPr>
            <w:tcW w:w="381" w:type="pct"/>
            <w:tcBorders>
              <w:top w:val="single" w:sz="4" w:space="0" w:color="auto"/>
              <w:left w:val="nil"/>
              <w:bottom w:val="single" w:sz="4" w:space="0" w:color="auto"/>
              <w:right w:val="nil"/>
            </w:tcBorders>
            <w:shd w:val="clear" w:color="auto" w:fill="auto"/>
            <w:noWrap/>
            <w:vAlign w:val="bottom"/>
            <w:hideMark/>
          </w:tcPr>
          <w:p w14:paraId="739DC30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19.02</w:t>
            </w:r>
          </w:p>
        </w:tc>
        <w:tc>
          <w:tcPr>
            <w:tcW w:w="378" w:type="pct"/>
            <w:tcBorders>
              <w:top w:val="single" w:sz="4" w:space="0" w:color="auto"/>
              <w:left w:val="nil"/>
              <w:bottom w:val="single" w:sz="4" w:space="0" w:color="auto"/>
              <w:right w:val="nil"/>
            </w:tcBorders>
            <w:shd w:val="clear" w:color="auto" w:fill="auto"/>
            <w:noWrap/>
            <w:vAlign w:val="bottom"/>
            <w:hideMark/>
          </w:tcPr>
          <w:p w14:paraId="064FA09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{"citationID":"ANgxJ3Oc","properties":{"formattedCitation":"[30]","plainCitation":"[30]","noteIndex":0},"citationItems":[{"id":629,"uris":["http://zotero.org/users/12909065/items/PZ3PGB45"],"itemData":{"id":629,"type":"article-journal","abstract":"Niobium-carbide (Nb2C) MXene as a new 2D material has shown great potential for application in photovoltaics due to its excellent electrical conductivity, large surface area, and superior transmittance. In this work, a novel solution-processable poly(3,4-ethylenedioxythiophene): poly(styrenesulfonate) (PEDOT:PSS)-Nb2C hybrid hole transport layer (HTL) is developed to enhance the device performance of organic solar cells (OSCs). By optimizing the doping ratio of Nb2C MXene in PEDOT:PSS, the best power convention efficiency (PCE) of 19.33% can be achieved for OSCs based on the ternary active layer of PM6:BTP-eC9:L8-BO, which is so far the highest value among those of single junction OSCs using 2D materials. It is found that the addition of Nb2C MXene can facilitate the phase separation of the PEDOT and PSS segments, thus improving the conductivity and work function of PEDOT:PSS. The significantly enhanced device performance can be attributed to the higher hole mobility and charge extraction capability, as well as lower interface recombination probabilities generated by the hybrid HTL. Additionally, the versatility of the hybrid HTL to improve the performance of OSCs based on different nonfullerene acceptors is demonstrated. These results indicate the promising potential of Nb2C MXene in the development of high-performance OSCs. © 2023 Wiley-VCH GmbH.","archive":"Scopus","container-title":"Small","DOI":"10.1002/smll.202207505","ISSN":"1613-6810","issue":"23","language":"English","source":"Scopus","title":"Niobium-Carbide MXene Modified Hybrid Hole Transport Layer Enabling High-Performance Organic Solar Cells Over 19%","volume":"19","author":[{"family":"Deng","given":"B."},{"family":"Lian","given":"H."},{"family":"Xue","given":"B."},{"family":"Song","given":"R."},{"family":"Chen","given":"S."},{"family":"Wang","given":"Z."},{"family":"Xu","given":"T."},{"family":"Dong","given":"H."},{"family":"Wang","given":"S."}],"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[30]</w:t>
            </w:r>
            <w:r w:rsidRPr="00B55044">
              <w:rPr>
                <w:rFonts w:eastAsia="Times New Roman"/>
                <w:color w:val="0000FF"/>
                <w:sz w:val="16"/>
                <w:szCs w:val="16"/>
              </w:rPr>
              <w:fldChar w:fldCharType="end"/>
            </w:r>
          </w:p>
        </w:tc>
      </w:tr>
      <w:tr w:rsidR="00D47774" w:rsidRPr="00B55044" w14:paraId="453E229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5C3A2A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51</w:t>
            </w:r>
          </w:p>
        </w:tc>
        <w:tc>
          <w:tcPr>
            <w:tcW w:w="1525" w:type="pct"/>
            <w:tcBorders>
              <w:top w:val="single" w:sz="4" w:space="0" w:color="auto"/>
              <w:left w:val="nil"/>
              <w:bottom w:val="single" w:sz="4" w:space="0" w:color="auto"/>
              <w:right w:val="nil"/>
            </w:tcBorders>
            <w:shd w:val="clear" w:color="auto" w:fill="auto"/>
            <w:noWrap/>
            <w:vAlign w:val="bottom"/>
            <w:hideMark/>
          </w:tcPr>
          <w:p w14:paraId="6D449A8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7BE99C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PM6:L8-BO:UV329</w:t>
            </w:r>
          </w:p>
        </w:tc>
        <w:tc>
          <w:tcPr>
            <w:tcW w:w="379" w:type="pct"/>
            <w:tcBorders>
              <w:top w:val="single" w:sz="4" w:space="0" w:color="auto"/>
              <w:left w:val="nil"/>
              <w:bottom w:val="single" w:sz="4" w:space="0" w:color="auto"/>
              <w:right w:val="nil"/>
            </w:tcBorders>
            <w:shd w:val="clear" w:color="auto" w:fill="auto"/>
            <w:noWrap/>
            <w:vAlign w:val="bottom"/>
            <w:hideMark/>
          </w:tcPr>
          <w:p w14:paraId="4C1D9BF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26F5784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25.92</w:t>
            </w:r>
          </w:p>
        </w:tc>
        <w:tc>
          <w:tcPr>
            <w:tcW w:w="378" w:type="pct"/>
            <w:tcBorders>
              <w:top w:val="single" w:sz="4" w:space="0" w:color="auto"/>
              <w:left w:val="nil"/>
              <w:bottom w:val="single" w:sz="4" w:space="0" w:color="auto"/>
              <w:right w:val="nil"/>
            </w:tcBorders>
            <w:shd w:val="clear" w:color="auto" w:fill="auto"/>
            <w:noWrap/>
            <w:vAlign w:val="bottom"/>
            <w:hideMark/>
          </w:tcPr>
          <w:p w14:paraId="3212EC1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79.99</w:t>
            </w:r>
          </w:p>
        </w:tc>
        <w:tc>
          <w:tcPr>
            <w:tcW w:w="381" w:type="pct"/>
            <w:tcBorders>
              <w:top w:val="single" w:sz="4" w:space="0" w:color="auto"/>
              <w:left w:val="nil"/>
              <w:bottom w:val="single" w:sz="4" w:space="0" w:color="auto"/>
              <w:right w:val="nil"/>
            </w:tcBorders>
            <w:shd w:val="clear" w:color="auto" w:fill="auto"/>
            <w:noWrap/>
            <w:vAlign w:val="bottom"/>
            <w:hideMark/>
          </w:tcPr>
          <w:p w14:paraId="1AF81B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18.05</w:t>
            </w:r>
          </w:p>
        </w:tc>
        <w:tc>
          <w:tcPr>
            <w:tcW w:w="378" w:type="pct"/>
            <w:tcBorders>
              <w:top w:val="single" w:sz="4" w:space="0" w:color="auto"/>
              <w:left w:val="nil"/>
              <w:bottom w:val="single" w:sz="4" w:space="0" w:color="auto"/>
              <w:right w:val="nil"/>
            </w:tcBorders>
            <w:shd w:val="clear" w:color="auto" w:fill="auto"/>
            <w:noWrap/>
            <w:vAlign w:val="bottom"/>
            <w:hideMark/>
          </w:tcPr>
          <w:p w14:paraId="3B33973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{"citationID":"FyN7RP69","properties":{"formattedCitation":"[31]","plainCitation":"[31]","noteIndex":0},"citationItems":[{"id":628,"uris":["http://zotero.org/users/12909065/items/VZBA3R7I"],"itemData":{"id":628,"type":"article-journal","abstract":"The field has witnessed the rapid growth in the power conversion efficiency (PCE) of organic solar cells (OSCs) over the past decade, reaching the threshold for practical commercialization. However, a major issue remains that OSC lifetimes are seriously limited by the ultraviolet (UV)-induced photodegradation. Here, inspired by the superior photostability of car paint under sunlight and ambient air, a “sunscreen” molecule, 2-(2-hydroxy-5-tert-octylphenyl)benzotriazole (UV329), is used to construct the PM6:Y6 ternary device. The addition of UV329 mainly enhances the ordered stacking of PM6 and increases the light utilization of blend films with the improved crystallization and appropriate phase separation. Accordingly, the ternary device exhibits stronger light response and obviously higher and more balanced carrier mobilities, contributing to higher short-circuit current density, fill factor and PCE. Similar PCE boost is also verified in PM6:BTP-eC9 and PM6:L8-BO systems. The photodegradation of PM6 dominates the photo-degradation process of PM6:Y6 systems, while the UV329 can effectively suppress such degradation, and thus the ternary device can retain nearly 90% of the initial PCE under continuous illumination for 120 min. Moreover, ternary devices also preserve better thermal stability and shelf-life with the enhanced PCE. This work provides a simple yet effective strategy for simultaneously improving PCE and photostability of OSCs. [Figure not available: see fulltext.] © 2023, Science China Press.","archive":"Scopus","container-title":"Science China Chemistry","DOI":"10.1007/s11426-022-1517-2","ISSN":"1674-7291","issue":"4","language":"English","page":"1179-1189","source":"Scopus","title":"Enhancing photostability and power conversion efficiency of organic solar cells by a “sunscreen” ternary strategy","volume":"66","author":[{"family":"Cui","given":"Y."},{"family":"Chen","given":"Z."},{"family":"Zhu","given":"P."},{"family":"Ma","given":"W."},{"family":"Zhu","given":"H."},{"family":"Liao","given":"X."},{"family":"Chen","given":"Y."}],"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[31]</w:t>
            </w:r>
            <w:r w:rsidRPr="00B55044">
              <w:rPr>
                <w:rFonts w:eastAsia="Times New Roman"/>
                <w:color w:val="0000FF"/>
                <w:sz w:val="16"/>
                <w:szCs w:val="16"/>
              </w:rPr>
              <w:fldChar w:fldCharType="end"/>
            </w:r>
          </w:p>
        </w:tc>
      </w:tr>
      <w:tr w:rsidR="00D47774" w:rsidRPr="00B55044" w14:paraId="516064A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BC167A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52</w:t>
            </w:r>
          </w:p>
        </w:tc>
        <w:tc>
          <w:tcPr>
            <w:tcW w:w="1525" w:type="pct"/>
            <w:tcBorders>
              <w:top w:val="single" w:sz="4" w:space="0" w:color="auto"/>
              <w:left w:val="nil"/>
              <w:bottom w:val="single" w:sz="4" w:space="0" w:color="auto"/>
              <w:right w:val="nil"/>
            </w:tcBorders>
            <w:shd w:val="clear" w:color="auto" w:fill="auto"/>
            <w:noWrap/>
            <w:vAlign w:val="bottom"/>
            <w:hideMark/>
          </w:tcPr>
          <w:p w14:paraId="45B31E8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03A61FC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PM6:BTP-eC9:UV329</w:t>
            </w:r>
          </w:p>
        </w:tc>
        <w:tc>
          <w:tcPr>
            <w:tcW w:w="379" w:type="pct"/>
            <w:tcBorders>
              <w:top w:val="single" w:sz="4" w:space="0" w:color="auto"/>
              <w:left w:val="nil"/>
              <w:bottom w:val="single" w:sz="4" w:space="0" w:color="auto"/>
              <w:right w:val="nil"/>
            </w:tcBorders>
            <w:shd w:val="clear" w:color="auto" w:fill="auto"/>
            <w:noWrap/>
            <w:vAlign w:val="bottom"/>
            <w:hideMark/>
          </w:tcPr>
          <w:p w14:paraId="171E7BE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w:t>
            </w:r>
          </w:p>
        </w:tc>
        <w:tc>
          <w:tcPr>
            <w:tcW w:w="379" w:type="pct"/>
            <w:tcBorders>
              <w:top w:val="single" w:sz="4" w:space="0" w:color="auto"/>
              <w:left w:val="nil"/>
              <w:bottom w:val="single" w:sz="4" w:space="0" w:color="auto"/>
              <w:right w:val="nil"/>
            </w:tcBorders>
            <w:shd w:val="clear" w:color="auto" w:fill="auto"/>
            <w:noWrap/>
            <w:vAlign w:val="bottom"/>
            <w:hideMark/>
          </w:tcPr>
          <w:p w14:paraId="0784EA0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27.81</w:t>
            </w:r>
          </w:p>
        </w:tc>
        <w:tc>
          <w:tcPr>
            <w:tcW w:w="378" w:type="pct"/>
            <w:tcBorders>
              <w:top w:val="single" w:sz="4" w:space="0" w:color="auto"/>
              <w:left w:val="nil"/>
              <w:bottom w:val="single" w:sz="4" w:space="0" w:color="auto"/>
              <w:right w:val="nil"/>
            </w:tcBorders>
            <w:shd w:val="clear" w:color="auto" w:fill="auto"/>
            <w:noWrap/>
            <w:vAlign w:val="bottom"/>
            <w:hideMark/>
          </w:tcPr>
          <w:p w14:paraId="1112A12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76.84</w:t>
            </w:r>
          </w:p>
        </w:tc>
        <w:tc>
          <w:tcPr>
            <w:tcW w:w="381" w:type="pct"/>
            <w:tcBorders>
              <w:top w:val="single" w:sz="4" w:space="0" w:color="auto"/>
              <w:left w:val="nil"/>
              <w:bottom w:val="single" w:sz="4" w:space="0" w:color="auto"/>
              <w:right w:val="nil"/>
            </w:tcBorders>
            <w:shd w:val="clear" w:color="auto" w:fill="auto"/>
            <w:noWrap/>
            <w:vAlign w:val="bottom"/>
            <w:hideMark/>
          </w:tcPr>
          <w:p w14:paraId="12BC244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17.76</w:t>
            </w:r>
          </w:p>
        </w:tc>
        <w:tc>
          <w:tcPr>
            <w:tcW w:w="378" w:type="pct"/>
            <w:tcBorders>
              <w:top w:val="single" w:sz="4" w:space="0" w:color="auto"/>
              <w:left w:val="nil"/>
              <w:bottom w:val="single" w:sz="4" w:space="0" w:color="auto"/>
              <w:right w:val="nil"/>
            </w:tcBorders>
            <w:shd w:val="clear" w:color="auto" w:fill="auto"/>
            <w:noWrap/>
            <w:vAlign w:val="bottom"/>
            <w:hideMark/>
          </w:tcPr>
          <w:p w14:paraId="56C7FDC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{"citationID":"uLGtDP03","properties":{"formattedCitation":"[31]","plainCitation":"[31]","noteIndex":0},"citationItems":[{"id":628,"uris":["http://zotero.org/users/12909065/items/VZBA3R7I"],"itemData":{"id":628,"type":"article-journal","abstract":"The field has witnessed the rapid growth in the power conversion efficiency (PCE) of organic solar cells (OSCs) over the past decade, reaching the threshold for practical commercialization. However, a major issue remains that OSC lifetimes are seriously limited by the ultraviolet (UV)-induced photodegradation. Here, inspired by the superior photostability of car paint under sunlight and ambient air, a “sunscreen” molecule, 2-(2-hydroxy-5-tert-octylphenyl)benzotriazole (UV329), is used to construct the PM6:Y6 ternary device. The addition of UV329 mainly enhances the ordered stacking of PM6 and increases the light utilization of blend films with the improved crystallization and appropriate phase separation. Accordingly, the ternary device exhibits stronger light response and obviously higher and more balanced carrier mobilities, contributing to higher short-circuit current density, fill factor and PCE. Similar PCE boost is also verified in PM6:BTP-eC9 and PM6:L8-BO systems. The photodegradation of PM6 dominates the photo-degradation process of PM6:Y6 systems, while the UV329 can effectively suppress such degradation, and thus the ternary device can retain nearly 90% of the initial PCE under continuous illumination for 120 min. Moreover, ternary devices also preserve better thermal stability and shelf-life with the enhanced PCE. This work provides a simple yet effective strategy for simultaneously improving PCE and photostability of OSCs. [Figure not available: see fulltext.] © 2023, Science China Press.","archive":"Scopus","container-title":"Science China Chemistry","DOI":"10.1007/s11426-022-1517-2","ISSN":"1674-7291","issue":"4","language":"English","page":"1179-1189","source":"Scopus","title":"Enhancing photostability and power conversion efficiency of organic solar cells by a “sunscreen” ternary strategy","volume":"66","author":[{"family":"Cui","given":"Y."},{"family":"Chen","given":"Z."},{"family":"Zhu","given":"P."},{"family":"Ma","given":"W."},{"family":"Zhu","given":"H."},{"family":"Liao","given":"X."},{"family":"Chen","given":"Y."}],"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[31]</w:t>
            </w:r>
            <w:r w:rsidRPr="00B55044">
              <w:rPr>
                <w:rFonts w:eastAsia="Times New Roman"/>
                <w:color w:val="0000FF"/>
                <w:sz w:val="16"/>
                <w:szCs w:val="16"/>
              </w:rPr>
              <w:fldChar w:fldCharType="end"/>
            </w:r>
          </w:p>
        </w:tc>
      </w:tr>
      <w:tr w:rsidR="00D47774" w:rsidRPr="00B55044" w14:paraId="4211D63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A0364C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53</w:t>
            </w:r>
          </w:p>
        </w:tc>
        <w:tc>
          <w:tcPr>
            <w:tcW w:w="1525" w:type="pct"/>
            <w:tcBorders>
              <w:top w:val="single" w:sz="4" w:space="0" w:color="auto"/>
              <w:left w:val="nil"/>
              <w:bottom w:val="single" w:sz="4" w:space="0" w:color="auto"/>
              <w:right w:val="nil"/>
            </w:tcBorders>
            <w:shd w:val="clear" w:color="auto" w:fill="auto"/>
            <w:noWrap/>
            <w:vAlign w:val="bottom"/>
            <w:hideMark/>
          </w:tcPr>
          <w:p w14:paraId="6F3E83B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4C4F870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PM6:Y6:UV329</w:t>
            </w:r>
          </w:p>
        </w:tc>
        <w:tc>
          <w:tcPr>
            <w:tcW w:w="379" w:type="pct"/>
            <w:tcBorders>
              <w:top w:val="single" w:sz="4" w:space="0" w:color="auto"/>
              <w:left w:val="nil"/>
              <w:bottom w:val="single" w:sz="4" w:space="0" w:color="auto"/>
              <w:right w:val="nil"/>
            </w:tcBorders>
            <w:shd w:val="clear" w:color="auto" w:fill="auto"/>
            <w:noWrap/>
            <w:vAlign w:val="bottom"/>
            <w:hideMark/>
          </w:tcPr>
          <w:p w14:paraId="21FAF98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34433A1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26.56</w:t>
            </w:r>
          </w:p>
        </w:tc>
        <w:tc>
          <w:tcPr>
            <w:tcW w:w="378" w:type="pct"/>
            <w:tcBorders>
              <w:top w:val="single" w:sz="4" w:space="0" w:color="auto"/>
              <w:left w:val="nil"/>
              <w:bottom w:val="single" w:sz="4" w:space="0" w:color="auto"/>
              <w:right w:val="nil"/>
            </w:tcBorders>
            <w:shd w:val="clear" w:color="auto" w:fill="auto"/>
            <w:noWrap/>
            <w:vAlign w:val="bottom"/>
            <w:hideMark/>
          </w:tcPr>
          <w:p w14:paraId="12181E8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74.37</w:t>
            </w:r>
          </w:p>
        </w:tc>
        <w:tc>
          <w:tcPr>
            <w:tcW w:w="381" w:type="pct"/>
            <w:tcBorders>
              <w:top w:val="single" w:sz="4" w:space="0" w:color="auto"/>
              <w:left w:val="nil"/>
              <w:bottom w:val="single" w:sz="4" w:space="0" w:color="auto"/>
              <w:right w:val="nil"/>
            </w:tcBorders>
            <w:shd w:val="clear" w:color="auto" w:fill="auto"/>
            <w:noWrap/>
            <w:vAlign w:val="bottom"/>
            <w:hideMark/>
          </w:tcPr>
          <w:p w14:paraId="425723C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16.65</w:t>
            </w:r>
          </w:p>
        </w:tc>
        <w:tc>
          <w:tcPr>
            <w:tcW w:w="378" w:type="pct"/>
            <w:tcBorders>
              <w:top w:val="single" w:sz="4" w:space="0" w:color="auto"/>
              <w:left w:val="nil"/>
              <w:bottom w:val="single" w:sz="4" w:space="0" w:color="auto"/>
              <w:right w:val="nil"/>
            </w:tcBorders>
            <w:shd w:val="clear" w:color="auto" w:fill="auto"/>
            <w:noWrap/>
            <w:vAlign w:val="bottom"/>
            <w:hideMark/>
          </w:tcPr>
          <w:p w14:paraId="2403D51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{"citationID":"bIjunZmD","properties":{"formattedCitation":"[31]","plainCitation":"[31]","noteIndex":0},"citationItems":[{"id":628,"uris":["http://zotero.org/users/12909065/items/VZBA3R7I"],"itemData":{"id":628,"type":"article-journal","abstract":"The field has witnessed the rapid growth in the power conversion efficiency (PCE) of organic solar cells (OSCs) over the past decade, reaching the threshold for practical commercialization. However, a major issue remains that OSC lifetimes are seriously limited by the ultraviolet (UV)-induced photodegradation. Here, inspired by the superior photostability of car paint under sunlight and ambient air, a “sunscreen” molecule, 2-(2-hydroxy-5-tert-octylphenyl)benzotriazole (UV329), is used to construct the PM6:Y6 ternary device. The addition of UV329 mainly enhances the ordered stacking of PM6 and increases the light utilization of blend films with the improved crystallization and appropriate phase separation. Accordingly, the ternary device exhibits stronger light response and obviously higher and more balanced carrier mobilities, contributing to higher short-circuit current density, fill factor and PCE. Similar PCE boost is also verified in PM6:BTP-eC9 and PM6:L8-BO systems. The photodegradation of PM6 dominates the photo-degradation process of PM6:Y6 systems, while the UV329 can effectively suppress such degradation, and thus the ternary device can retain nearly 90% of the initial PCE under continuous illumination for 120 min. Moreover, ternary devices also preserve better thermal stability and shelf-life with the enhanced PCE. This work provides a simple yet effective strategy for simultaneously improving PCE and photostability of OSCs. [Figure not available: see fulltext.] © 2023, Science China Press.","archive":"Scopus","container-title":"Science China Chemistry","DOI":"10.1007/s11426-022-1517-2","ISSN":"1674-7291","issue":"4","language":"English","page":"1179-1189","source":"Scopus","title":"Enhancing photostability and power conversion efficiency of organic solar cells by a “sunscreen” ternary strategy","volume":"66","author":[{"family":"Cui","given":"Y."},{"family":"Chen","given":"Z."},{"family":"Zhu","given":"P."},{"family":"Ma","given":"W."},{"family":"Zhu","given":"H."},{"family":"Liao","given":"X."},{"family":"Chen","given":"Y."}],"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[31]</w:t>
            </w:r>
            <w:r w:rsidRPr="00B55044">
              <w:rPr>
                <w:rFonts w:eastAsia="Times New Roman"/>
                <w:color w:val="0000FF"/>
                <w:sz w:val="16"/>
                <w:szCs w:val="16"/>
              </w:rPr>
              <w:fldChar w:fldCharType="end"/>
            </w:r>
          </w:p>
        </w:tc>
      </w:tr>
      <w:tr w:rsidR="00D47774" w:rsidRPr="00B55044" w14:paraId="226E064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1543BD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54</w:t>
            </w:r>
          </w:p>
        </w:tc>
        <w:tc>
          <w:tcPr>
            <w:tcW w:w="1525" w:type="pct"/>
            <w:tcBorders>
              <w:top w:val="single" w:sz="4" w:space="0" w:color="auto"/>
              <w:left w:val="nil"/>
              <w:bottom w:val="single" w:sz="4" w:space="0" w:color="auto"/>
              <w:right w:val="nil"/>
            </w:tcBorders>
            <w:shd w:val="clear" w:color="auto" w:fill="auto"/>
            <w:noWrap/>
            <w:vAlign w:val="bottom"/>
            <w:hideMark/>
          </w:tcPr>
          <w:p w14:paraId="5789BA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59D0D7D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PM6:Y6:TPA-4PD</w:t>
            </w:r>
          </w:p>
        </w:tc>
        <w:tc>
          <w:tcPr>
            <w:tcW w:w="379" w:type="pct"/>
            <w:tcBorders>
              <w:top w:val="single" w:sz="4" w:space="0" w:color="auto"/>
              <w:left w:val="nil"/>
              <w:bottom w:val="single" w:sz="4" w:space="0" w:color="auto"/>
              <w:right w:val="nil"/>
            </w:tcBorders>
            <w:shd w:val="clear" w:color="auto" w:fill="auto"/>
            <w:noWrap/>
            <w:vAlign w:val="bottom"/>
            <w:hideMark/>
          </w:tcPr>
          <w:p w14:paraId="3BF52CD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0.849</w:t>
            </w:r>
          </w:p>
        </w:tc>
        <w:tc>
          <w:tcPr>
            <w:tcW w:w="379" w:type="pct"/>
            <w:tcBorders>
              <w:top w:val="single" w:sz="4" w:space="0" w:color="auto"/>
              <w:left w:val="nil"/>
              <w:bottom w:val="single" w:sz="4" w:space="0" w:color="auto"/>
              <w:right w:val="nil"/>
            </w:tcBorders>
            <w:shd w:val="clear" w:color="auto" w:fill="auto"/>
            <w:noWrap/>
            <w:vAlign w:val="bottom"/>
            <w:hideMark/>
          </w:tcPr>
          <w:p w14:paraId="47C731B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27.55</w:t>
            </w:r>
          </w:p>
        </w:tc>
        <w:tc>
          <w:tcPr>
            <w:tcW w:w="378" w:type="pct"/>
            <w:tcBorders>
              <w:top w:val="single" w:sz="4" w:space="0" w:color="auto"/>
              <w:left w:val="nil"/>
              <w:bottom w:val="single" w:sz="4" w:space="0" w:color="auto"/>
              <w:right w:val="nil"/>
            </w:tcBorders>
            <w:shd w:val="clear" w:color="auto" w:fill="auto"/>
            <w:noWrap/>
            <w:vAlign w:val="bottom"/>
            <w:hideMark/>
          </w:tcPr>
          <w:p w14:paraId="3FCB16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78.21</w:t>
            </w:r>
          </w:p>
        </w:tc>
        <w:tc>
          <w:tcPr>
            <w:tcW w:w="381" w:type="pct"/>
            <w:tcBorders>
              <w:top w:val="single" w:sz="4" w:space="0" w:color="auto"/>
              <w:left w:val="nil"/>
              <w:bottom w:val="single" w:sz="4" w:space="0" w:color="auto"/>
              <w:right w:val="nil"/>
            </w:tcBorders>
            <w:shd w:val="clear" w:color="auto" w:fill="auto"/>
            <w:noWrap/>
            <w:vAlign w:val="bottom"/>
            <w:hideMark/>
          </w:tcPr>
          <w:p w14:paraId="6D3DDC1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18.29</w:t>
            </w:r>
          </w:p>
        </w:tc>
        <w:tc>
          <w:tcPr>
            <w:tcW w:w="378" w:type="pct"/>
            <w:tcBorders>
              <w:top w:val="single" w:sz="4" w:space="0" w:color="auto"/>
              <w:left w:val="nil"/>
              <w:bottom w:val="single" w:sz="4" w:space="0" w:color="auto"/>
              <w:right w:val="nil"/>
            </w:tcBorders>
            <w:shd w:val="clear" w:color="auto" w:fill="auto"/>
            <w:noWrap/>
            <w:vAlign w:val="bottom"/>
            <w:hideMark/>
          </w:tcPr>
          <w:p w14:paraId="793286E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{"citationID":"FhHHQCl5","properties":{"formattedCitation":"[32]","plainCitation":"[32]","noteIndex":0},"citationItems":[{"id":627,"uris":["http://zotero.org/users/12909065/items/YTC2L9LM"],"itemData":{"id":627,"type":"article-journal","abstract":"Integrating a third component into the binary system is considered to be one of the most effective strategies to further enhance the power conversion efficiency (PCE) in organic solar cells (OSCs). Here, a novel perylene diimide (PDI) derivative featuring 3D structure, TPA-4PDI, with tetraphenyladamantane central core is developed as a guest electron acceptor to be incorporated into the PM6:Y6 binary system. The champion PCE of ternary OSC is recorded to be 18.29% by adding 7.5 wt.% of TPA-4PDI in the ternary blend, which photovoltaic performance is enhanced with synergistically increased open-circuit voltage (Voc) of 0.849 V, short-circuit current density (Jsc) of 27.55 mA cm−2, and fill factor (FF) of 78.21%. TPA-4PDI exhibits a complementary absorption band with PM6 and Y6 while its lowest unoccupied molecular orbital (LUMO) energy level falls between the two host materials. The addition of TPA-4PDI can effectively suppress the recombination behavior, inhibit the excessive aggregation of Y6 and improve the morphology of PM6:Y6 blend. All these effects function synergistically and then lead to the enhancement of Voc, Jsc, and FF in ternary OSCs. This study suggests that developing PDI derivatives as the third component is an effective method to further improve the performance of ternary OSCs. © 2023 Wiley-VCH GmbH.","archive":"Scopus","container-title":"Advanced Functional Materials","DOI":"10.1002/adfm.202300214","ISSN":"1616-301X","issue":"24","language":"English","source":"Scopus","title":"High-Performance Ternary Organic Solar Cells Enabled by Integrating a 3D-Shaped Guest Acceptor Derived from Perylene Diimide","volume":"33","author":[{"family":"Liu","given":"M."},{"family":"Ge","given":"X."},{"family":"Jiang","given":"X."},{"family":"Guo","given":"F."},{"family":"Gao","given":"S."},{"family":"Peng","given":"Q."},{"family":"Zhao","given":"L."},{"family":"Zhang","given":"Y."}],"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[32]</w:t>
            </w:r>
            <w:r w:rsidRPr="00B55044">
              <w:rPr>
                <w:rFonts w:eastAsia="Times New Roman"/>
                <w:color w:val="0000FF"/>
                <w:sz w:val="16"/>
                <w:szCs w:val="16"/>
              </w:rPr>
              <w:fldChar w:fldCharType="end"/>
            </w:r>
          </w:p>
        </w:tc>
      </w:tr>
      <w:tr w:rsidR="00D47774" w:rsidRPr="00B55044" w14:paraId="445F330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1F40B8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55</w:t>
            </w:r>
          </w:p>
        </w:tc>
        <w:tc>
          <w:tcPr>
            <w:tcW w:w="1525" w:type="pct"/>
            <w:tcBorders>
              <w:top w:val="single" w:sz="4" w:space="0" w:color="auto"/>
              <w:left w:val="nil"/>
              <w:bottom w:val="single" w:sz="4" w:space="0" w:color="auto"/>
              <w:right w:val="nil"/>
            </w:tcBorders>
            <w:shd w:val="clear" w:color="auto" w:fill="auto"/>
            <w:noWrap/>
            <w:vAlign w:val="bottom"/>
            <w:hideMark/>
          </w:tcPr>
          <w:p w14:paraId="3A6B91F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4BCC5D4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PM6:PTQ10:N3</w:t>
            </w:r>
          </w:p>
        </w:tc>
        <w:tc>
          <w:tcPr>
            <w:tcW w:w="379" w:type="pct"/>
            <w:tcBorders>
              <w:top w:val="single" w:sz="4" w:space="0" w:color="auto"/>
              <w:left w:val="nil"/>
              <w:bottom w:val="single" w:sz="4" w:space="0" w:color="auto"/>
              <w:right w:val="nil"/>
            </w:tcBorders>
            <w:shd w:val="clear" w:color="auto" w:fill="auto"/>
            <w:noWrap/>
            <w:vAlign w:val="bottom"/>
            <w:hideMark/>
          </w:tcPr>
          <w:p w14:paraId="7A22E90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0.839</w:t>
            </w:r>
          </w:p>
        </w:tc>
        <w:tc>
          <w:tcPr>
            <w:tcW w:w="379" w:type="pct"/>
            <w:tcBorders>
              <w:top w:val="single" w:sz="4" w:space="0" w:color="auto"/>
              <w:left w:val="nil"/>
              <w:bottom w:val="single" w:sz="4" w:space="0" w:color="auto"/>
              <w:right w:val="nil"/>
            </w:tcBorders>
            <w:shd w:val="clear" w:color="auto" w:fill="auto"/>
            <w:noWrap/>
            <w:vAlign w:val="bottom"/>
            <w:hideMark/>
          </w:tcPr>
          <w:p w14:paraId="2853480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26.16</w:t>
            </w:r>
          </w:p>
        </w:tc>
        <w:tc>
          <w:tcPr>
            <w:tcW w:w="378" w:type="pct"/>
            <w:tcBorders>
              <w:top w:val="single" w:sz="4" w:space="0" w:color="auto"/>
              <w:left w:val="nil"/>
              <w:bottom w:val="single" w:sz="4" w:space="0" w:color="auto"/>
              <w:right w:val="nil"/>
            </w:tcBorders>
            <w:shd w:val="clear" w:color="auto" w:fill="auto"/>
            <w:noWrap/>
            <w:vAlign w:val="bottom"/>
            <w:hideMark/>
          </w:tcPr>
          <w:p w14:paraId="1DFFFAB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76.8</w:t>
            </w:r>
          </w:p>
        </w:tc>
        <w:tc>
          <w:tcPr>
            <w:tcW w:w="381" w:type="pct"/>
            <w:tcBorders>
              <w:top w:val="single" w:sz="4" w:space="0" w:color="auto"/>
              <w:left w:val="nil"/>
              <w:bottom w:val="single" w:sz="4" w:space="0" w:color="auto"/>
              <w:right w:val="nil"/>
            </w:tcBorders>
            <w:shd w:val="clear" w:color="auto" w:fill="auto"/>
            <w:noWrap/>
            <w:vAlign w:val="bottom"/>
            <w:hideMark/>
          </w:tcPr>
          <w:p w14:paraId="0041BF6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16.9</w:t>
            </w:r>
          </w:p>
        </w:tc>
        <w:tc>
          <w:tcPr>
            <w:tcW w:w="378" w:type="pct"/>
            <w:tcBorders>
              <w:top w:val="single" w:sz="4" w:space="0" w:color="auto"/>
              <w:left w:val="nil"/>
              <w:bottom w:val="single" w:sz="4" w:space="0" w:color="auto"/>
              <w:right w:val="nil"/>
            </w:tcBorders>
            <w:shd w:val="clear" w:color="auto" w:fill="auto"/>
            <w:noWrap/>
            <w:vAlign w:val="bottom"/>
            <w:hideMark/>
          </w:tcPr>
          <w:p w14:paraId="7557CCF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{"citationID":"W1RVQA04","properties":{"formattedCitation":"[33]","plainCitation":"[33]","noteIndex":0},"citationItems":[{"id":626,"uris":["http://zotero.org/users/12909065/items/TCP4MZ65"],"itemData":{"id":626,"type":"article-journal","abstract":"Using multiple donor polymers is a simple means to broaden the absorption range of organic solar cells (OSCs). Yet, achieving improved photovoltaic and mechanical properties in OSCs based on dual polymers has not met with success so far. Here, we address this challenge by introducing a low-cost and 2D semi-paracrystalline conjugated polymer PTQ10 as the second polymer donor to the benchmark PM6:N3 blend. Both improved photovoltaic and mechanical performances were realized in the optimized PM6:PTQ10:N3-based OSCs at a polymer blend ratio of 4 : 1. The influence of the second polymer on the mechanical and photovoltaic properties of the ternary blend system was examined via grazing-incidence X-ray scattering and thin-film mechanical measurements, offering an in-depth understanding of the inner relationships between the film structure and mechanical properties in such ternary blend systems. Crucially, we were able to predict the composition dependence of the elastic modulus via a theoretical model for these ternary blend films based on dual-donor polymers. This work provides a new guide for fabricating highly efficient and stretchable solar cells from multiple polymer blends. © 2023 The Royal Society of Chemistry.","archive":"Scopus","container-title":"Journal of Materials Chemistry A","DOI":"10.1039/d2ta10091f","ISSN":"2050-7488","issue":"11","language":"English","page":"5606-5614","source":"Scopus","title":"Synergistic optimization of mechanical and photovoltaic properties in ternary organic solar cells from a two-donor polymer blend","volume":"11","author":[{"family":"Li","given":"M."},{"family":"Peng","given":"Z."},{"family":"Xian","given":"K."},{"family":"Zhao","given":"W."},{"family":"Liu","given":"C."},{"family":"Chen","given":"Y."},{"family":"Cui","given":"C."},{"family":"Ye","given":"L."}],"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[33]</w:t>
            </w:r>
            <w:r w:rsidRPr="00B55044">
              <w:rPr>
                <w:rFonts w:eastAsia="Times New Roman"/>
                <w:color w:val="0000FF"/>
                <w:sz w:val="16"/>
                <w:szCs w:val="16"/>
              </w:rPr>
              <w:fldChar w:fldCharType="end"/>
            </w:r>
          </w:p>
        </w:tc>
      </w:tr>
      <w:tr w:rsidR="00D47774" w:rsidRPr="00B55044" w14:paraId="040E26D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335F2E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56</w:t>
            </w:r>
          </w:p>
        </w:tc>
        <w:tc>
          <w:tcPr>
            <w:tcW w:w="1525" w:type="pct"/>
            <w:tcBorders>
              <w:top w:val="single" w:sz="4" w:space="0" w:color="auto"/>
              <w:left w:val="nil"/>
              <w:bottom w:val="single" w:sz="4" w:space="0" w:color="auto"/>
              <w:right w:val="nil"/>
            </w:tcBorders>
            <w:shd w:val="clear" w:color="auto" w:fill="auto"/>
            <w:noWrap/>
            <w:vAlign w:val="bottom"/>
            <w:hideMark/>
          </w:tcPr>
          <w:p w14:paraId="17B473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00CBE1F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PM6:Y6:P1</w:t>
            </w:r>
          </w:p>
        </w:tc>
        <w:tc>
          <w:tcPr>
            <w:tcW w:w="379" w:type="pct"/>
            <w:tcBorders>
              <w:top w:val="single" w:sz="4" w:space="0" w:color="auto"/>
              <w:left w:val="nil"/>
              <w:bottom w:val="single" w:sz="4" w:space="0" w:color="auto"/>
              <w:right w:val="nil"/>
            </w:tcBorders>
            <w:shd w:val="clear" w:color="auto" w:fill="auto"/>
            <w:noWrap/>
            <w:vAlign w:val="bottom"/>
            <w:hideMark/>
          </w:tcPr>
          <w:p w14:paraId="28A937D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0.81</w:t>
            </w:r>
          </w:p>
        </w:tc>
        <w:tc>
          <w:tcPr>
            <w:tcW w:w="379" w:type="pct"/>
            <w:tcBorders>
              <w:top w:val="single" w:sz="4" w:space="0" w:color="auto"/>
              <w:left w:val="nil"/>
              <w:bottom w:val="single" w:sz="4" w:space="0" w:color="auto"/>
              <w:right w:val="nil"/>
            </w:tcBorders>
            <w:shd w:val="clear" w:color="auto" w:fill="auto"/>
            <w:noWrap/>
            <w:vAlign w:val="bottom"/>
            <w:hideMark/>
          </w:tcPr>
          <w:p w14:paraId="7ED0354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25.53</w:t>
            </w:r>
          </w:p>
        </w:tc>
        <w:tc>
          <w:tcPr>
            <w:tcW w:w="378" w:type="pct"/>
            <w:tcBorders>
              <w:top w:val="single" w:sz="4" w:space="0" w:color="auto"/>
              <w:left w:val="nil"/>
              <w:bottom w:val="single" w:sz="4" w:space="0" w:color="auto"/>
              <w:right w:val="nil"/>
            </w:tcBorders>
            <w:shd w:val="clear" w:color="auto" w:fill="auto"/>
            <w:noWrap/>
            <w:vAlign w:val="bottom"/>
            <w:hideMark/>
          </w:tcPr>
          <w:p w14:paraId="1497F78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47</w:t>
            </w:r>
          </w:p>
        </w:tc>
        <w:tc>
          <w:tcPr>
            <w:tcW w:w="381" w:type="pct"/>
            <w:tcBorders>
              <w:top w:val="single" w:sz="4" w:space="0" w:color="auto"/>
              <w:left w:val="nil"/>
              <w:bottom w:val="single" w:sz="4" w:space="0" w:color="auto"/>
              <w:right w:val="nil"/>
            </w:tcBorders>
            <w:shd w:val="clear" w:color="auto" w:fill="auto"/>
            <w:noWrap/>
            <w:vAlign w:val="bottom"/>
            <w:hideMark/>
          </w:tcPr>
          <w:p w14:paraId="24FF263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9.62</w:t>
            </w:r>
          </w:p>
        </w:tc>
        <w:tc>
          <w:tcPr>
            <w:tcW w:w="378" w:type="pct"/>
            <w:tcBorders>
              <w:top w:val="single" w:sz="4" w:space="0" w:color="auto"/>
              <w:left w:val="nil"/>
              <w:bottom w:val="single" w:sz="4" w:space="0" w:color="auto"/>
              <w:right w:val="nil"/>
            </w:tcBorders>
            <w:shd w:val="clear" w:color="auto" w:fill="auto"/>
            <w:noWrap/>
            <w:vAlign w:val="bottom"/>
            <w:hideMark/>
          </w:tcPr>
          <w:p w14:paraId="6B6B079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{"citationID":"zMaJ6Z0L","properties":{"formattedCitation":"[34]","plainCitation":"[34]","noteIndex":0},"citationItems":[{"id":625,"uris":["http://zotero.org/users/12909065/items/JLCI8ERH"],"itemData":{"id":625,"type":"article-journal","abstract":"In this study, we synthesized three new polymers, P1–P3, incorporating electron-donating 6,12-dihydro-6,6,12,12-tetraoctyl-indeno[1,2-b]fluorene (IF) and structural isomers of weak and strong electron-accepting 2,5-dioctyl-4,6-di(thiophen-2-yl)pyrrolo[3,4-c]pyrrole-1,3(2H,5H)-dione (IFPPD) or 2,5-bis(2-ethylhexyl)-3,6-di(thiophen-2-yl)pyrrolo[3,4-c]pyrrole-1,4(2H,5H)-dione (LFPPD), or both the IFPPD and LFPPD units to study the performance of IF-based polymers on non-fullerene acceptor-based organic solar cells (NFA-OSCs). Polymer P1 exhibited absorption from 300 nm to 450 nm with an optical bandgap (Eg) of 2.39 eV, whereas P2 and P3 showed extended absorption up to 700 nm with an Eg of 1.76 eV. The determined highest occupied molecular orbital/lowest occupied molecular orbital (HOMO/LUMO) levels for P1–P3 were −5.54 eV/–3.15 eV, −5.40 eV/–3.64 eV, and −5.42 eV/–3.66 eV, respectively. The NFA-OSCs fabricated using P1–P3 as the electron donor and Y6 as the electron acceptor exhibited a maximum power conversion efficiency (PCE) of 0.8%. We also utilized P1–P3 as a co-adsorber and fabricated ternary NFA-OSCs using P1–P3:PM6:Y6 blends. The performance of the ternary devices was lower than that of binary devices made from the PM6:Y6 blend. Herein, we report the preparation of IF-based polymers containing pyrrolopyrroledione derivatives for binary and ternary NFA-OSC applications. © 2023 Taylor &amp; Francis Group, LLC.","archive":"Scopus","container-title":"Molecular Crystals and Liquid Crystals","DOI":"10.1080/15421406.2023.2176055","ISSN":"1542-1406","issue":"1","language":"English","page":"29-40","source":"Scopus","title":"Dihydroindenofluorene–based polymeric donors incorporating structural isomers of pyrrolopyrroledione for non-fullerene organic solar cells","volume":"762","author":[{"family":"Agneeswari","given":"R."},{"family":"Kim","given":"D."},{"family":"Tamilavan","given":"V."},{"family":"Shin","given":"C.-G."},{"family":"Park","given":"S.H."},{"family":"Jin","given":"Y."}],"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[34]</w:t>
            </w:r>
            <w:r w:rsidRPr="00B55044">
              <w:rPr>
                <w:rFonts w:eastAsia="Times New Roman"/>
                <w:color w:val="0000FF"/>
                <w:sz w:val="16"/>
                <w:szCs w:val="16"/>
              </w:rPr>
              <w:fldChar w:fldCharType="end"/>
            </w:r>
          </w:p>
        </w:tc>
      </w:tr>
      <w:tr w:rsidR="00D47774" w:rsidRPr="00B55044" w14:paraId="3FE7500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DF5900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57</w:t>
            </w:r>
          </w:p>
        </w:tc>
        <w:tc>
          <w:tcPr>
            <w:tcW w:w="1525" w:type="pct"/>
            <w:tcBorders>
              <w:top w:val="single" w:sz="4" w:space="0" w:color="auto"/>
              <w:left w:val="nil"/>
              <w:bottom w:val="single" w:sz="4" w:space="0" w:color="auto"/>
              <w:right w:val="nil"/>
            </w:tcBorders>
            <w:shd w:val="clear" w:color="auto" w:fill="auto"/>
            <w:noWrap/>
            <w:vAlign w:val="bottom"/>
            <w:hideMark/>
          </w:tcPr>
          <w:p w14:paraId="40A328A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4E5C16F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PM6:Y6:P2</w:t>
            </w:r>
          </w:p>
        </w:tc>
        <w:tc>
          <w:tcPr>
            <w:tcW w:w="379" w:type="pct"/>
            <w:tcBorders>
              <w:top w:val="single" w:sz="4" w:space="0" w:color="auto"/>
              <w:left w:val="nil"/>
              <w:bottom w:val="single" w:sz="4" w:space="0" w:color="auto"/>
              <w:right w:val="nil"/>
            </w:tcBorders>
            <w:shd w:val="clear" w:color="auto" w:fill="auto"/>
            <w:noWrap/>
            <w:vAlign w:val="bottom"/>
            <w:hideMark/>
          </w:tcPr>
          <w:p w14:paraId="3DE8E7D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0.69</w:t>
            </w:r>
          </w:p>
        </w:tc>
        <w:tc>
          <w:tcPr>
            <w:tcW w:w="379" w:type="pct"/>
            <w:tcBorders>
              <w:top w:val="single" w:sz="4" w:space="0" w:color="auto"/>
              <w:left w:val="nil"/>
              <w:bottom w:val="single" w:sz="4" w:space="0" w:color="auto"/>
              <w:right w:val="nil"/>
            </w:tcBorders>
            <w:shd w:val="clear" w:color="auto" w:fill="auto"/>
            <w:noWrap/>
            <w:vAlign w:val="bottom"/>
            <w:hideMark/>
          </w:tcPr>
          <w:p w14:paraId="2B12866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13.75</w:t>
            </w:r>
          </w:p>
        </w:tc>
        <w:tc>
          <w:tcPr>
            <w:tcW w:w="378" w:type="pct"/>
            <w:tcBorders>
              <w:top w:val="single" w:sz="4" w:space="0" w:color="auto"/>
              <w:left w:val="nil"/>
              <w:bottom w:val="single" w:sz="4" w:space="0" w:color="auto"/>
              <w:right w:val="nil"/>
            </w:tcBorders>
            <w:shd w:val="clear" w:color="auto" w:fill="auto"/>
            <w:noWrap/>
            <w:vAlign w:val="bottom"/>
            <w:hideMark/>
          </w:tcPr>
          <w:p w14:paraId="00BB2E2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44</w:t>
            </w:r>
          </w:p>
        </w:tc>
        <w:tc>
          <w:tcPr>
            <w:tcW w:w="381" w:type="pct"/>
            <w:tcBorders>
              <w:top w:val="single" w:sz="4" w:space="0" w:color="auto"/>
              <w:left w:val="nil"/>
              <w:bottom w:val="single" w:sz="4" w:space="0" w:color="auto"/>
              <w:right w:val="nil"/>
            </w:tcBorders>
            <w:shd w:val="clear" w:color="auto" w:fill="auto"/>
            <w:noWrap/>
            <w:vAlign w:val="bottom"/>
            <w:hideMark/>
          </w:tcPr>
          <w:p w14:paraId="27E771D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4.15</w:t>
            </w:r>
          </w:p>
        </w:tc>
        <w:tc>
          <w:tcPr>
            <w:tcW w:w="378" w:type="pct"/>
            <w:tcBorders>
              <w:top w:val="single" w:sz="4" w:space="0" w:color="auto"/>
              <w:left w:val="nil"/>
              <w:bottom w:val="single" w:sz="4" w:space="0" w:color="auto"/>
              <w:right w:val="nil"/>
            </w:tcBorders>
            <w:shd w:val="clear" w:color="auto" w:fill="auto"/>
            <w:noWrap/>
            <w:vAlign w:val="bottom"/>
            <w:hideMark/>
          </w:tcPr>
          <w:p w14:paraId="75079B8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{"citationID":"jrLW2bIr","properties":{"formattedCitation":"[34]","plainCitation":"[34]","noteIndex":0},"citationItems":[{"id":625,"uris":["http://zotero.org/users/12909065/items/JLCI8ERH"],"itemData":{"id":625,"type":"article-journal","abstract":"In this study, we synthesized three new polymers, P1–P3, incorporating electron-donating 6,12-dihydro-6,6,12,12-tetraoctyl-indeno[1,2-b]fluorene (IF) and structural isomers of weak and strong electron-accepting 2,5-dioctyl-4,6-di(thiophen-2-yl)pyrrolo[3,4-c]pyrrole-1,3(2H,5H)-dione (IFPPD) or 2,5-bis(2-ethylhexyl)-3,6-di(thiophen-2-yl)pyrrolo[3,4-c]pyrrole-1,4(2H,5H)-dione (LFPPD), or both the IFPPD and LFPPD units to study the performance of IF-based polymers on non-fullerene acceptor-based organic solar cells (NFA-OSCs). Polymer P1 exhibited absorption from 300 nm to 450 nm with an optical bandgap (Eg) of 2.39 eV, whereas P2 and P3 showed extended absorption up to 700 nm with an Eg of 1.76 eV. The determined highest occupied molecular orbital/lowest occupied molecular orbital (HOMO/LUMO) levels for P1–P3 were −5.54 eV/–3.15 eV, −5.40 eV/–3.64 eV, and −5.42 eV/–3.66 eV, respectively. The NFA-OSCs fabricated using P1–P3 as the electron donor and Y6 as the electron acceptor exhibited a maximum power conversion efficiency (PCE) of 0.8%. We also utilized P1–P3 as a co-adsorber and fabricated ternary NFA-OSCs using P1–P3:PM6:Y6 blends. The performance of the ternary devices was lower than that of binary devices made from the PM6:Y6 blend. Herein, we report the preparation of IF-based polymers containing pyrrolopyrroledione derivatives for binary and ternary NFA-OSC applications. © 2023 Taylor &amp; Francis Group, LLC.","archive":"Scopus","container-title":"Molecular Crystals and Liquid Crystals","DOI":"10.1080/15421406.2023.2176055","ISSN":"1542-1406","issue":"1","language":"English","page":"29-40","source":"Scopus","title":"Dihydroindenofluorene–based polymeric donors incorporating structural isomers of pyrrolopyrroledione for non-fullerene organic solar cells","volume":"762","author":[{"family":"Agneeswari","given":"R."},{"family":"Kim","given":"D."},{"family":"Tamilavan","given":"V."},{"family":"Shin","given":"C.-G."},{"family":"Park","given":"S.H."},{"family":"Jin","given":"Y."}],"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[34]</w:t>
            </w:r>
            <w:r w:rsidRPr="00B55044">
              <w:rPr>
                <w:rFonts w:eastAsia="Times New Roman"/>
                <w:color w:val="0000FF"/>
                <w:sz w:val="16"/>
                <w:szCs w:val="16"/>
              </w:rPr>
              <w:fldChar w:fldCharType="end"/>
            </w:r>
          </w:p>
        </w:tc>
      </w:tr>
      <w:tr w:rsidR="00D47774" w:rsidRPr="00B55044" w14:paraId="189255E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7F59F5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58</w:t>
            </w:r>
          </w:p>
        </w:tc>
        <w:tc>
          <w:tcPr>
            <w:tcW w:w="1525" w:type="pct"/>
            <w:tcBorders>
              <w:top w:val="single" w:sz="4" w:space="0" w:color="auto"/>
              <w:left w:val="nil"/>
              <w:bottom w:val="single" w:sz="4" w:space="0" w:color="auto"/>
              <w:right w:val="nil"/>
            </w:tcBorders>
            <w:shd w:val="clear" w:color="auto" w:fill="auto"/>
            <w:noWrap/>
            <w:vAlign w:val="bottom"/>
            <w:hideMark/>
          </w:tcPr>
          <w:p w14:paraId="14EDB5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7E5AB4D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PM6:Y6:P3</w:t>
            </w:r>
          </w:p>
        </w:tc>
        <w:tc>
          <w:tcPr>
            <w:tcW w:w="379" w:type="pct"/>
            <w:tcBorders>
              <w:top w:val="single" w:sz="4" w:space="0" w:color="auto"/>
              <w:left w:val="nil"/>
              <w:bottom w:val="single" w:sz="4" w:space="0" w:color="auto"/>
              <w:right w:val="nil"/>
            </w:tcBorders>
            <w:shd w:val="clear" w:color="auto" w:fill="auto"/>
            <w:noWrap/>
            <w:vAlign w:val="bottom"/>
            <w:hideMark/>
          </w:tcPr>
          <w:p w14:paraId="78D98FE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0.78</w:t>
            </w:r>
          </w:p>
        </w:tc>
        <w:tc>
          <w:tcPr>
            <w:tcW w:w="379" w:type="pct"/>
            <w:tcBorders>
              <w:top w:val="single" w:sz="4" w:space="0" w:color="auto"/>
              <w:left w:val="nil"/>
              <w:bottom w:val="single" w:sz="4" w:space="0" w:color="auto"/>
              <w:right w:val="nil"/>
            </w:tcBorders>
            <w:shd w:val="clear" w:color="auto" w:fill="auto"/>
            <w:noWrap/>
            <w:vAlign w:val="bottom"/>
            <w:hideMark/>
          </w:tcPr>
          <w:p w14:paraId="4D72501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18.26</w:t>
            </w:r>
          </w:p>
        </w:tc>
        <w:tc>
          <w:tcPr>
            <w:tcW w:w="378" w:type="pct"/>
            <w:tcBorders>
              <w:top w:val="single" w:sz="4" w:space="0" w:color="auto"/>
              <w:left w:val="nil"/>
              <w:bottom w:val="single" w:sz="4" w:space="0" w:color="auto"/>
              <w:right w:val="nil"/>
            </w:tcBorders>
            <w:shd w:val="clear" w:color="auto" w:fill="auto"/>
            <w:noWrap/>
            <w:vAlign w:val="bottom"/>
            <w:hideMark/>
          </w:tcPr>
          <w:p w14:paraId="3577144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44</w:t>
            </w:r>
          </w:p>
        </w:tc>
        <w:tc>
          <w:tcPr>
            <w:tcW w:w="381" w:type="pct"/>
            <w:tcBorders>
              <w:top w:val="single" w:sz="4" w:space="0" w:color="auto"/>
              <w:left w:val="nil"/>
              <w:bottom w:val="single" w:sz="4" w:space="0" w:color="auto"/>
              <w:right w:val="nil"/>
            </w:tcBorders>
            <w:shd w:val="clear" w:color="auto" w:fill="auto"/>
            <w:noWrap/>
            <w:vAlign w:val="bottom"/>
            <w:hideMark/>
          </w:tcPr>
          <w:p w14:paraId="345137F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6.25</w:t>
            </w:r>
          </w:p>
        </w:tc>
        <w:tc>
          <w:tcPr>
            <w:tcW w:w="378" w:type="pct"/>
            <w:tcBorders>
              <w:top w:val="single" w:sz="4" w:space="0" w:color="auto"/>
              <w:left w:val="nil"/>
              <w:bottom w:val="single" w:sz="4" w:space="0" w:color="auto"/>
              <w:right w:val="nil"/>
            </w:tcBorders>
            <w:shd w:val="clear" w:color="auto" w:fill="auto"/>
            <w:noWrap/>
            <w:vAlign w:val="bottom"/>
            <w:hideMark/>
          </w:tcPr>
          <w:p w14:paraId="2ADDC31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{"citationID":"fhbFaRHx","properties":{"formattedCitation":"[34]","plainCitation":"[34]","noteIndex":0},"citationItems":[{"id":625,"uris":["http://zotero.org/users/12909065/items/JLCI8ERH"],"itemData":{"id":625,"type":"article-journal","abstract":"In this study, we synthesized three new polymers, P1–P3, incorporating electron-donating 6,12-dihydro-6,6,12,12-tetraoctyl-indeno[1,2-b]fluorene (IF) and structural isomers of weak and strong electron-accepting 2,5-dioctyl-4,6-di(thiophen-2-yl)pyrrolo[3,4-c]pyrrole-1,3(2H,5H)-dione (IFPPD) or 2,5-bis(2-ethylhexyl)-3,6-di(thiophen-2-yl)pyrrolo[3,4-c]pyrrole-1,4(2H,5H)-dione (LFPPD), or both the IFPPD and LFPPD units to study the performance of IF-based polymers on non-fullerene acceptor-based organic solar cells (NFA-OSCs). Polymer P1 exhibited absorption from 300 nm to 450 nm with an optical bandgap (Eg) of 2.39 eV, whereas P2 and P3 showed extended absorption up to 700 nm with an Eg of 1.76 eV. The determined highest occupied molecular orbital/lowest occupied molecular orbital (HOMO/LUMO) levels for P1–P3 were −5.54 eV/–3.15 eV, −5.40 eV/–3.64 eV, and −5.42 eV/–3.66 eV, respectively. The NFA-OSCs fabricated using P1–P3 as the electron donor and Y6 as the electron acceptor exhibited a maximum power conversion efficiency (PCE) of 0.8%. We also utilized P1–P3 as a co-adsorber and fabricated ternary NFA-OSCs using P1–P3:PM6:Y6 blends. The performance of the ternary devices was lower than that of binary devices made from the PM6:Y6 blend. Herein, we report the preparation of IF-based polymers containing pyrrolopyrroledione derivatives for binary and ternary NFA-OSC applications. © 2023 Taylor &amp; Francis Group, LLC.","archive":"Scopus","container-title":"Molecular Crystals and Liquid Crystals","DOI":"10.1080/15421406.2023.2176055","ISSN":"1542-1406","issue":"1","language":"English","page":"29-40","source":"Scopus","title":"Dihydroindenofluorene–based polymeric donors incorporating structural isomers of pyrrolopyrroledione for non-fullerene organic solar cells","volume":"762","author":[{"family":"Agneeswari","given":"R."},{"family":"Kim","given":"D."},{"family":"Tamilavan","given":"V."},{"family":"Shin","given":"C.-G."},{"family":"Park","given":"S.H."},{"family":"Jin","given":"Y."}],"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[34]</w:t>
            </w:r>
            <w:r w:rsidRPr="00B55044">
              <w:rPr>
                <w:rFonts w:eastAsia="Times New Roman"/>
                <w:color w:val="0000FF"/>
                <w:sz w:val="16"/>
                <w:szCs w:val="16"/>
              </w:rPr>
              <w:fldChar w:fldCharType="end"/>
            </w:r>
          </w:p>
        </w:tc>
      </w:tr>
      <w:tr w:rsidR="00D47774" w:rsidRPr="00B55044" w14:paraId="54BB6A3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0F70F4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59</w:t>
            </w:r>
          </w:p>
        </w:tc>
        <w:tc>
          <w:tcPr>
            <w:tcW w:w="1525" w:type="pct"/>
            <w:tcBorders>
              <w:top w:val="single" w:sz="4" w:space="0" w:color="auto"/>
              <w:left w:val="nil"/>
              <w:bottom w:val="single" w:sz="4" w:space="0" w:color="auto"/>
              <w:right w:val="nil"/>
            </w:tcBorders>
            <w:shd w:val="clear" w:color="auto" w:fill="auto"/>
            <w:noWrap/>
            <w:vAlign w:val="bottom"/>
            <w:hideMark/>
          </w:tcPr>
          <w:p w14:paraId="6112211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ITO/PEDOT:PSS/AL/PDINO/Ag</w:t>
            </w:r>
          </w:p>
        </w:tc>
        <w:tc>
          <w:tcPr>
            <w:tcW w:w="1288" w:type="pct"/>
            <w:tcBorders>
              <w:top w:val="single" w:sz="4" w:space="0" w:color="auto"/>
              <w:left w:val="nil"/>
              <w:bottom w:val="single" w:sz="4" w:space="0" w:color="auto"/>
              <w:right w:val="nil"/>
            </w:tcBorders>
            <w:shd w:val="clear" w:color="auto" w:fill="auto"/>
            <w:noWrap/>
            <w:vAlign w:val="bottom"/>
            <w:hideMark/>
          </w:tcPr>
          <w:p w14:paraId="0F8D14D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PM6:PCN3:BTP-eC9</w:t>
            </w:r>
          </w:p>
        </w:tc>
        <w:tc>
          <w:tcPr>
            <w:tcW w:w="379" w:type="pct"/>
            <w:tcBorders>
              <w:top w:val="single" w:sz="4" w:space="0" w:color="auto"/>
              <w:left w:val="nil"/>
              <w:bottom w:val="single" w:sz="4" w:space="0" w:color="auto"/>
              <w:right w:val="nil"/>
            </w:tcBorders>
            <w:shd w:val="clear" w:color="auto" w:fill="auto"/>
            <w:noWrap/>
            <w:vAlign w:val="bottom"/>
            <w:hideMark/>
          </w:tcPr>
          <w:p w14:paraId="3265B55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0.858</w:t>
            </w:r>
          </w:p>
        </w:tc>
        <w:tc>
          <w:tcPr>
            <w:tcW w:w="379" w:type="pct"/>
            <w:tcBorders>
              <w:top w:val="single" w:sz="4" w:space="0" w:color="auto"/>
              <w:left w:val="nil"/>
              <w:bottom w:val="single" w:sz="4" w:space="0" w:color="auto"/>
              <w:right w:val="nil"/>
            </w:tcBorders>
            <w:shd w:val="clear" w:color="auto" w:fill="auto"/>
            <w:noWrap/>
            <w:vAlign w:val="bottom"/>
            <w:hideMark/>
          </w:tcPr>
          <w:p w14:paraId="02EA31F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26.9</w:t>
            </w:r>
          </w:p>
        </w:tc>
        <w:tc>
          <w:tcPr>
            <w:tcW w:w="378" w:type="pct"/>
            <w:tcBorders>
              <w:top w:val="single" w:sz="4" w:space="0" w:color="auto"/>
              <w:left w:val="nil"/>
              <w:bottom w:val="single" w:sz="4" w:space="0" w:color="auto"/>
              <w:right w:val="nil"/>
            </w:tcBorders>
            <w:shd w:val="clear" w:color="auto" w:fill="auto"/>
            <w:noWrap/>
            <w:vAlign w:val="bottom"/>
            <w:hideMark/>
          </w:tcPr>
          <w:p w14:paraId="6D8B40B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78.2</w:t>
            </w:r>
          </w:p>
        </w:tc>
        <w:tc>
          <w:tcPr>
            <w:tcW w:w="381" w:type="pct"/>
            <w:tcBorders>
              <w:top w:val="single" w:sz="4" w:space="0" w:color="auto"/>
              <w:left w:val="nil"/>
              <w:bottom w:val="single" w:sz="4" w:space="0" w:color="auto"/>
              <w:right w:val="nil"/>
            </w:tcBorders>
            <w:shd w:val="clear" w:color="auto" w:fill="auto"/>
            <w:noWrap/>
            <w:vAlign w:val="bottom"/>
            <w:hideMark/>
          </w:tcPr>
          <w:p w14:paraId="123DCB7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18.1</w:t>
            </w:r>
          </w:p>
        </w:tc>
        <w:tc>
          <w:tcPr>
            <w:tcW w:w="378" w:type="pct"/>
            <w:tcBorders>
              <w:top w:val="single" w:sz="4" w:space="0" w:color="auto"/>
              <w:left w:val="nil"/>
              <w:bottom w:val="single" w:sz="4" w:space="0" w:color="auto"/>
              <w:right w:val="nil"/>
            </w:tcBorders>
            <w:shd w:val="clear" w:color="auto" w:fill="auto"/>
            <w:noWrap/>
            <w:vAlign w:val="bottom"/>
            <w:hideMark/>
          </w:tcPr>
          <w:p w14:paraId="67B2E30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{"citationID":"TkZzcGAR","properties":{"formattedCitation":"[35]","plainCitation":"[35]","noteIndex":0},"citationItems":[{"id":624,"uris":["http://zotero.org/users/12909065/items/FII4F3QC"],"itemData":{"id":624,"type":"article-journal","abstract":"Halogenation of organic semiconductors is an efficient strategy for improving the performance of organic solar cells (OSCs), while the introduction of halogens usually involves complex synthetic process and serious environment pollution problems. Herein, three halogen-free ternary copolymer donors (PCNx, x = 3, 4, 5) based on electron-withdrawing dicyanobenzotriazole are reported. When blended with the Y6, PCN3 with strong interchain interactions results in appropriate crystallinity and thermodynamic miscibility of the blend film. Grazing-incidence wide-angle X-ray scattering measurements indicate that PCN3 has more ordered arrangement and stronger π–π stacking than previous PCN2. Fourier-transform photocurrent spectroscopy and external quantum efficiency of electroluminescence measurements show that PCN3-based OSCs have lower energy loss than PCN2, which leads to their higher open-circuit voltage (0.873 V). The device based on PCN3 reaches power conversion efficiency (PCE) of 15.33% in binary OSCs, one of the highest values for OSCs with halogen-free donor polymers. The PCE of 17.80% and 18.10% are obtained in PM6:PCN3:Y6 and PM6:PCN3:BTP-eC9 ternary devices, much higher than those of PM6:Y6 (16.31%) and PM6:BTP-eC9 (17.33%) devices. Additionally, this ternary OSCs exhibit superior stability compared to binary host system. This work gives a promising path for halogen-free donor polymers to achieve low energy loss and high PCE. © 2023 Wiley-VCH GmbH.","archive":"Scopus","container-title":"Small","DOI":"10.1002/smll.202206607","ISSN":"1613-6810","issue":"18","language":"English","source":"Scopus","title":"Halogen-Free Donor Polymers Based on Dicyanobenzotriazole with Low Energy Loss and High Efficiency in Organic Solar Cells","volume":"19","author":[{"family":"Wang","given":"L."},{"family":"Zhang","given":"L."},{"family":"Kim","given":"S."},{"family":"Wang","given":"T."},{"family":"Yuan","given":"Z."},{"family":"Yang","given":"C."},{"family":"Hu","given":"Y."},{"family":"Zhao","given":"X."},{"family":"Chen","given":"Y."}],"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[35]</w:t>
            </w:r>
            <w:r w:rsidRPr="00B55044">
              <w:rPr>
                <w:rFonts w:eastAsia="Times New Roman"/>
                <w:color w:val="0000FF"/>
                <w:sz w:val="16"/>
                <w:szCs w:val="16"/>
              </w:rPr>
              <w:fldChar w:fldCharType="end"/>
            </w:r>
          </w:p>
        </w:tc>
      </w:tr>
      <w:tr w:rsidR="00D47774" w:rsidRPr="00B55044" w14:paraId="3B241AB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4E78DF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60</w:t>
            </w:r>
          </w:p>
        </w:tc>
        <w:tc>
          <w:tcPr>
            <w:tcW w:w="1525" w:type="pct"/>
            <w:tcBorders>
              <w:top w:val="single" w:sz="4" w:space="0" w:color="auto"/>
              <w:left w:val="nil"/>
              <w:bottom w:val="single" w:sz="4" w:space="0" w:color="auto"/>
              <w:right w:val="nil"/>
            </w:tcBorders>
            <w:shd w:val="clear" w:color="auto" w:fill="auto"/>
            <w:noWrap/>
            <w:vAlign w:val="bottom"/>
            <w:hideMark/>
          </w:tcPr>
          <w:p w14:paraId="323CF99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ITO/PEDOT:PSS/AL/PDINO/Ag</w:t>
            </w:r>
          </w:p>
        </w:tc>
        <w:tc>
          <w:tcPr>
            <w:tcW w:w="1288" w:type="pct"/>
            <w:tcBorders>
              <w:top w:val="single" w:sz="4" w:space="0" w:color="auto"/>
              <w:left w:val="nil"/>
              <w:bottom w:val="single" w:sz="4" w:space="0" w:color="auto"/>
              <w:right w:val="nil"/>
            </w:tcBorders>
            <w:shd w:val="clear" w:color="auto" w:fill="auto"/>
            <w:noWrap/>
            <w:vAlign w:val="bottom"/>
            <w:hideMark/>
          </w:tcPr>
          <w:p w14:paraId="6840FC8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PM6:PCN3:Y6</w:t>
            </w:r>
          </w:p>
        </w:tc>
        <w:tc>
          <w:tcPr>
            <w:tcW w:w="379" w:type="pct"/>
            <w:tcBorders>
              <w:top w:val="single" w:sz="4" w:space="0" w:color="auto"/>
              <w:left w:val="nil"/>
              <w:bottom w:val="single" w:sz="4" w:space="0" w:color="auto"/>
              <w:right w:val="nil"/>
            </w:tcBorders>
            <w:shd w:val="clear" w:color="auto" w:fill="auto"/>
            <w:noWrap/>
            <w:vAlign w:val="bottom"/>
            <w:hideMark/>
          </w:tcPr>
          <w:p w14:paraId="2025015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46B0495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26.65</w:t>
            </w:r>
          </w:p>
        </w:tc>
        <w:tc>
          <w:tcPr>
            <w:tcW w:w="378" w:type="pct"/>
            <w:tcBorders>
              <w:top w:val="single" w:sz="4" w:space="0" w:color="auto"/>
              <w:left w:val="nil"/>
              <w:bottom w:val="single" w:sz="4" w:space="0" w:color="auto"/>
              <w:right w:val="nil"/>
            </w:tcBorders>
            <w:shd w:val="clear" w:color="auto" w:fill="auto"/>
            <w:noWrap/>
            <w:vAlign w:val="bottom"/>
            <w:hideMark/>
          </w:tcPr>
          <w:p w14:paraId="73FA119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77.01</w:t>
            </w:r>
          </w:p>
        </w:tc>
        <w:tc>
          <w:tcPr>
            <w:tcW w:w="381" w:type="pct"/>
            <w:tcBorders>
              <w:top w:val="single" w:sz="4" w:space="0" w:color="auto"/>
              <w:left w:val="nil"/>
              <w:bottom w:val="single" w:sz="4" w:space="0" w:color="auto"/>
              <w:right w:val="nil"/>
            </w:tcBorders>
            <w:shd w:val="clear" w:color="auto" w:fill="auto"/>
            <w:noWrap/>
            <w:vAlign w:val="bottom"/>
            <w:hideMark/>
          </w:tcPr>
          <w:p w14:paraId="5B8224F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17.44</w:t>
            </w:r>
          </w:p>
        </w:tc>
        <w:tc>
          <w:tcPr>
            <w:tcW w:w="378" w:type="pct"/>
            <w:tcBorders>
              <w:top w:val="single" w:sz="4" w:space="0" w:color="auto"/>
              <w:left w:val="nil"/>
              <w:bottom w:val="single" w:sz="4" w:space="0" w:color="auto"/>
              <w:right w:val="nil"/>
            </w:tcBorders>
            <w:shd w:val="clear" w:color="auto" w:fill="auto"/>
            <w:noWrap/>
            <w:vAlign w:val="bottom"/>
            <w:hideMark/>
          </w:tcPr>
          <w:p w14:paraId="2AD1512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{"citationID":"3PVnyMRK","properties":{"formattedCitation":"[35]","plainCitation":"[35]","noteIndex":0},"citationItems":[{"id":624,"uris":["http://zotero.org/users/12909065/items/FII4F3QC"],"itemData":{"id":624,"type":"article-journal","abstract":"Halogenation of organic semiconductors is an efficient strategy for improving the performance of organic solar cells (OSCs), while the introduction of halogens usually involves complex synthetic process and serious environment pollution problems. Herein, three halogen-free ternary copolymer donors (PCNx, x = 3, 4, 5) based on electron-withdrawing dicyanobenzotriazole are reported. When blended with the Y6, PCN3 with strong interchain interactions results in appropriate crystallinity and thermodynamic miscibility of the blend film. Grazing-incidence wide-angle X-ray scattering measurements indicate that PCN3 has more ordered arrangement and stronger π–π stacking than previous PCN2. Fourier-transform photocurrent spectroscopy and external quantum efficiency of electroluminescence measurements show that PCN3-based OSCs have lower energy loss than PCN2, which leads to their higher open-circuit voltage (0.873 V). The device based on PCN3 reaches power conversion efficiency (PCE) of 15.33% in binary OSCs, one of the highest values for OSCs with halogen-free donor polymers. The PCE of 17.80% and 18.10% are obtained in PM6:PCN3:Y6 and PM6:PCN3:BTP-eC9 ternary devices, much higher than those of PM6:Y6 (16.31%) and PM6:BTP-eC9 (17.33%) devices. Additionally, this ternary OSCs exhibit superior stability compared to binary host system. This work gives a promising path for halogen-free donor polymers to achieve low energy loss and high PCE. © 2023 Wiley-VCH GmbH.","archive":"Scopus","container-title":"Small","DOI":"10.1002/smll.202206607","ISSN":"1613-6810","issue":"18","language":"English","source":"Scopus","title":"Halogen-Free Donor Polymers Based on Dicyanobenzotriazole with Low Energy Loss and High Efficiency in Organic Solar Cells","volume":"19","author":[{"family":"Wang","given":"L."},{"family":"Zhang","given":"L."},{"family":"Kim","given":"S."},{"family":"Wang","given":"T."},{"family":"Yuan","given":"Z."},{"family":"Yang","given":"C."},{"family":"Hu","given":"Y."},{"family":"Zhao","given":"X."},{"family":"Chen","given":"Y."}],"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[35]</w:t>
            </w:r>
            <w:r w:rsidRPr="00B55044">
              <w:rPr>
                <w:rFonts w:eastAsia="Times New Roman"/>
                <w:color w:val="0000FF"/>
                <w:sz w:val="16"/>
                <w:szCs w:val="16"/>
              </w:rPr>
              <w:fldChar w:fldCharType="end"/>
            </w:r>
          </w:p>
        </w:tc>
      </w:tr>
      <w:tr w:rsidR="00D47774" w:rsidRPr="00B55044" w14:paraId="7243998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320CEF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61</w:t>
            </w:r>
          </w:p>
        </w:tc>
        <w:tc>
          <w:tcPr>
            <w:tcW w:w="1525" w:type="pct"/>
            <w:tcBorders>
              <w:top w:val="single" w:sz="4" w:space="0" w:color="auto"/>
              <w:left w:val="nil"/>
              <w:bottom w:val="single" w:sz="4" w:space="0" w:color="auto"/>
              <w:right w:val="nil"/>
            </w:tcBorders>
            <w:shd w:val="clear" w:color="auto" w:fill="auto"/>
            <w:noWrap/>
            <w:vAlign w:val="bottom"/>
            <w:hideMark/>
          </w:tcPr>
          <w:p w14:paraId="4CB1C62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B0CBFB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PM6:Y6:SEBS</w:t>
            </w:r>
          </w:p>
        </w:tc>
        <w:tc>
          <w:tcPr>
            <w:tcW w:w="379" w:type="pct"/>
            <w:tcBorders>
              <w:top w:val="single" w:sz="4" w:space="0" w:color="auto"/>
              <w:left w:val="nil"/>
              <w:bottom w:val="single" w:sz="4" w:space="0" w:color="auto"/>
              <w:right w:val="nil"/>
            </w:tcBorders>
            <w:shd w:val="clear" w:color="auto" w:fill="auto"/>
            <w:noWrap/>
            <w:vAlign w:val="bottom"/>
            <w:hideMark/>
          </w:tcPr>
          <w:p w14:paraId="13244DC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0.873</w:t>
            </w:r>
          </w:p>
        </w:tc>
        <w:tc>
          <w:tcPr>
            <w:tcW w:w="379" w:type="pct"/>
            <w:tcBorders>
              <w:top w:val="single" w:sz="4" w:space="0" w:color="auto"/>
              <w:left w:val="nil"/>
              <w:bottom w:val="single" w:sz="4" w:space="0" w:color="auto"/>
              <w:right w:val="nil"/>
            </w:tcBorders>
            <w:shd w:val="clear" w:color="auto" w:fill="auto"/>
            <w:noWrap/>
            <w:vAlign w:val="bottom"/>
            <w:hideMark/>
          </w:tcPr>
          <w:p w14:paraId="72C9049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24.53</w:t>
            </w:r>
          </w:p>
        </w:tc>
        <w:tc>
          <w:tcPr>
            <w:tcW w:w="378" w:type="pct"/>
            <w:tcBorders>
              <w:top w:val="single" w:sz="4" w:space="0" w:color="auto"/>
              <w:left w:val="nil"/>
              <w:bottom w:val="single" w:sz="4" w:space="0" w:color="auto"/>
              <w:right w:val="nil"/>
            </w:tcBorders>
            <w:shd w:val="clear" w:color="auto" w:fill="auto"/>
            <w:noWrap/>
            <w:vAlign w:val="bottom"/>
            <w:hideMark/>
          </w:tcPr>
          <w:p w14:paraId="24C1F64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70.16</w:t>
            </w:r>
          </w:p>
        </w:tc>
        <w:tc>
          <w:tcPr>
            <w:tcW w:w="381" w:type="pct"/>
            <w:tcBorders>
              <w:top w:val="single" w:sz="4" w:space="0" w:color="auto"/>
              <w:left w:val="nil"/>
              <w:bottom w:val="single" w:sz="4" w:space="0" w:color="auto"/>
              <w:right w:val="nil"/>
            </w:tcBorders>
            <w:shd w:val="clear" w:color="auto" w:fill="auto"/>
            <w:noWrap/>
            <w:vAlign w:val="bottom"/>
            <w:hideMark/>
          </w:tcPr>
          <w:p w14:paraId="401147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15.03</w:t>
            </w:r>
          </w:p>
        </w:tc>
        <w:tc>
          <w:tcPr>
            <w:tcW w:w="378" w:type="pct"/>
            <w:tcBorders>
              <w:top w:val="single" w:sz="4" w:space="0" w:color="auto"/>
              <w:left w:val="nil"/>
              <w:bottom w:val="single" w:sz="4" w:space="0" w:color="auto"/>
              <w:right w:val="nil"/>
            </w:tcBorders>
            <w:shd w:val="clear" w:color="auto" w:fill="auto"/>
            <w:noWrap/>
            <w:vAlign w:val="bottom"/>
            <w:hideMark/>
          </w:tcPr>
          <w:p w14:paraId="71E8279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{"citationID":"pQqYDTG3","properties":{"formattedCitation":"[36]","plainCitation":"[36]","noteIndex":0},"citationItems":[{"id":623,"uris":["http://zotero.org/users/12909065/items/QB5TS6XF"],"itemData":{"id":623,"type":"article-journal","abstract":"Stretchable organic solar cells (OSCs) have great potential as power sources for the next-generation wearable electronics. Although blending rigid photovoltaic components with soft insulating materials can easily endow the mechanical ductility of active layers, the photovoltaic efficiencies usually drops in the resulting OSCs. Herein, a high photovoltaic efficiency of 15.03% and a large crack-onset strain of 15.70% is simultaneously achieved based on a ternary blend consisting of polymer donor poly[(2,6-(4,8-bis(5-(2-ethylhexyl-3-fluoro)thiophen-2-yl)-benzo[1,2-b:4,5-b′]dithiophene))-alt-(5,5-(1′,3′-di-2-thienyl-5′,7′-bis(2-ethylhexyl)benzo[1′,2′-c:4′,5′-c']dithiophene-4,8-dione)] (PM6), non-fullerene accepter 2,2′-((2Z,2′Z)-((12,13-bis(2-ethylhexyl)-3,9-diundecyl-12,13-dihydro-[1,2,5]thiadiazolo[3,4-e]thieno[2′′,3′′:4′,5′]thieno[2′,3′:4,5]pyrrolo[3,2-g]thieno[2′,3′:4,5]thieno[3,2-b]indole-2,10-diyl)bis (methanylylidene))bis(5,6-difluoro-3-oxo-2,3-dihydro-1H-indene-2,1-diylidene))dimalononitrile (Y6), and soft elastomer polystyrene-block-poly(ethylene-ran-butylene)-block-polystyrene (SEBS) through the control of phase separation and crystallization. By employing a high-boiling point solvent additive 1-chloronaphthalene (CN) with different solubilities for PM6 and Y6, the aggregation dynamics of PM6 and Y6 as well as the film solidification process are dramatically altered, allowing for the different molecular rearrangement and liquid–liquid phase separation evolution. Consequently, the ternary film with optimal CN content presents decreased SEBS domains and moderately improved molecular ordering of PM6 and Y6, enabling effective mechanical deformation and charge generation/transport. The revealed corrections between the film-formation process, film microstructure, and photovoltaic/mechanical characteristics in the ternary blend provide deep understanding of the morphology control toward high-performance stretchable OSCs. © 2022 Zhengzhou University.","archive":"Scopus","container-title":"Energy and Environmental Materials","DOI":"10.1002/eem2.12421","ISSN":"2575-0348","issue":"5","language":"English","source":"Scopus","title":"Control of Phase Separation and Crystallization for High-Efficiency and Mechanically Deformable Organic Solar Cells","volume":"6","author":[{"family":"Ding","given":"Z."},{"family":"Zhang","given":"Y."},{"family":"Su","given":"Y."},{"family":"Wu","given":"Y."},{"family":"Han","given":"Y."},{"family":"Zhao","given":"K."},{"family":"Liu","given":"S."}],"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[36]</w:t>
            </w:r>
            <w:r w:rsidRPr="00B55044">
              <w:rPr>
                <w:rFonts w:eastAsia="Times New Roman"/>
                <w:color w:val="0000FF"/>
                <w:sz w:val="16"/>
                <w:szCs w:val="16"/>
              </w:rPr>
              <w:fldChar w:fldCharType="end"/>
            </w:r>
          </w:p>
        </w:tc>
      </w:tr>
      <w:tr w:rsidR="00D47774" w:rsidRPr="00B55044" w14:paraId="5C031A4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666C45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62</w:t>
            </w:r>
          </w:p>
        </w:tc>
        <w:tc>
          <w:tcPr>
            <w:tcW w:w="1525" w:type="pct"/>
            <w:tcBorders>
              <w:top w:val="single" w:sz="4" w:space="0" w:color="auto"/>
              <w:left w:val="nil"/>
              <w:bottom w:val="single" w:sz="4" w:space="0" w:color="auto"/>
              <w:right w:val="nil"/>
            </w:tcBorders>
            <w:shd w:val="clear" w:color="auto" w:fill="auto"/>
            <w:noWrap/>
            <w:vAlign w:val="bottom"/>
            <w:hideMark/>
          </w:tcPr>
          <w:p w14:paraId="4F87ED4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2CA710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PM6:BTP-BO-4F:BTA3</w:t>
            </w:r>
          </w:p>
        </w:tc>
        <w:tc>
          <w:tcPr>
            <w:tcW w:w="379" w:type="pct"/>
            <w:tcBorders>
              <w:top w:val="single" w:sz="4" w:space="0" w:color="auto"/>
              <w:left w:val="nil"/>
              <w:bottom w:val="single" w:sz="4" w:space="0" w:color="auto"/>
              <w:right w:val="nil"/>
            </w:tcBorders>
            <w:shd w:val="clear" w:color="auto" w:fill="auto"/>
            <w:noWrap/>
            <w:vAlign w:val="bottom"/>
            <w:hideMark/>
          </w:tcPr>
          <w:p w14:paraId="2043A35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0.864</w:t>
            </w:r>
          </w:p>
        </w:tc>
        <w:tc>
          <w:tcPr>
            <w:tcW w:w="379" w:type="pct"/>
            <w:tcBorders>
              <w:top w:val="single" w:sz="4" w:space="0" w:color="auto"/>
              <w:left w:val="nil"/>
              <w:bottom w:val="single" w:sz="4" w:space="0" w:color="auto"/>
              <w:right w:val="nil"/>
            </w:tcBorders>
            <w:shd w:val="clear" w:color="auto" w:fill="auto"/>
            <w:noWrap/>
            <w:vAlign w:val="bottom"/>
            <w:hideMark/>
          </w:tcPr>
          <w:p w14:paraId="5DDDE38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26.76</w:t>
            </w:r>
          </w:p>
        </w:tc>
        <w:tc>
          <w:tcPr>
            <w:tcW w:w="378" w:type="pct"/>
            <w:tcBorders>
              <w:top w:val="single" w:sz="4" w:space="0" w:color="auto"/>
              <w:left w:val="nil"/>
              <w:bottom w:val="single" w:sz="4" w:space="0" w:color="auto"/>
              <w:right w:val="nil"/>
            </w:tcBorders>
            <w:shd w:val="clear" w:color="auto" w:fill="auto"/>
            <w:noWrap/>
            <w:vAlign w:val="bottom"/>
            <w:hideMark/>
          </w:tcPr>
          <w:p w14:paraId="246E57E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76.5</w:t>
            </w:r>
          </w:p>
        </w:tc>
        <w:tc>
          <w:tcPr>
            <w:tcW w:w="381" w:type="pct"/>
            <w:tcBorders>
              <w:top w:val="single" w:sz="4" w:space="0" w:color="auto"/>
              <w:left w:val="nil"/>
              <w:bottom w:val="single" w:sz="4" w:space="0" w:color="auto"/>
              <w:right w:val="nil"/>
            </w:tcBorders>
            <w:shd w:val="clear" w:color="auto" w:fill="auto"/>
            <w:noWrap/>
            <w:vAlign w:val="bottom"/>
            <w:hideMark/>
          </w:tcPr>
          <w:p w14:paraId="382E488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17.69</w:t>
            </w:r>
          </w:p>
        </w:tc>
        <w:tc>
          <w:tcPr>
            <w:tcW w:w="378" w:type="pct"/>
            <w:tcBorders>
              <w:top w:val="single" w:sz="4" w:space="0" w:color="auto"/>
              <w:left w:val="nil"/>
              <w:bottom w:val="single" w:sz="4" w:space="0" w:color="auto"/>
              <w:right w:val="nil"/>
            </w:tcBorders>
            <w:shd w:val="clear" w:color="auto" w:fill="auto"/>
            <w:noWrap/>
            <w:vAlign w:val="bottom"/>
            <w:hideMark/>
          </w:tcPr>
          <w:p w14:paraId="62A12B3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{"citationID":"A8LyghkU","properties":{"formattedCitation":"[37]","plainCitation":"[37]","noteIndex":0},"citationItems":[{"id":622,"uris":["http://zotero.org/users/12909065/items/BZE3JUNW"],"itemData":{"id":622,"type":"article-journal","abstract":"The ternary strategy is thought to be a practical method for improving the power conversion efficiency (PCE) of organic solar cells (OSCs). To create ternary OSCs, a PM6:BTP-BO-4F host blend was combined with the non-fullerene small molecule acceptor BTA3, which has a high lowest unoccupied molecular orbital (LUMO). BTA3 demonstrated complementary absorption spectra and excellent compatibility with BTP-BO-4F, which made it easier to modulate the ternary film's morphology and catch more photons. As a result, the short circuit current density increased. Additionally, BTA3's LUMO level was marginally higher than BTP- BO-4F's, which led to a higher open-circuit voltage of the TOSCs. The addition of BTA3 improved the OSCs' energy transfer and phase separation, which in turn sped up charge transfer and reduced exciton recombination. The PCE of the TOSCs included with 10 wt% BTA3 rose to 17.69% in comparison to a PCE of 16.46% based on host binary OSCs. This research demonstrated that the incorporation of BTA3 with a high LUMO level enabled the fabrication of ternary OSCs with good performance. © 2022 Elsevier B.V.","archive":"Scopus","container-title":"Optical Materials","DOI":"10.1016/j.optmat.2022.113382","ISSN":"0925-3467","language":"English","source":"Scopus","title":"Third component with a high LUMO energy level enables 17.69% efficiency in ternary organic solar cells","volume":"135","author":[{"family":"Wang","given":"Y."},{"family":"Huang","given":"T."},{"family":"Wang","given":"D."},{"family":"Guan","given":"H."},{"family":"Geng","given":"S."},{"family":"Cao","given":"Z."},{"family":"Ding","given":"Z."},{"family":"Li","given":"J."},{"family":"Zhang","given":"J."}],"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[37]</w:t>
            </w:r>
            <w:r w:rsidRPr="00B55044">
              <w:rPr>
                <w:rFonts w:eastAsia="Times New Roman"/>
                <w:color w:val="0000FF"/>
                <w:sz w:val="16"/>
                <w:szCs w:val="16"/>
              </w:rPr>
              <w:fldChar w:fldCharType="end"/>
            </w:r>
          </w:p>
        </w:tc>
      </w:tr>
      <w:tr w:rsidR="00D47774" w:rsidRPr="00B55044" w14:paraId="36CFFEF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E14961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63</w:t>
            </w:r>
          </w:p>
        </w:tc>
        <w:tc>
          <w:tcPr>
            <w:tcW w:w="1525" w:type="pct"/>
            <w:tcBorders>
              <w:top w:val="single" w:sz="4" w:space="0" w:color="auto"/>
              <w:left w:val="nil"/>
              <w:bottom w:val="single" w:sz="4" w:space="0" w:color="auto"/>
              <w:right w:val="nil"/>
            </w:tcBorders>
            <w:shd w:val="clear" w:color="auto" w:fill="auto"/>
            <w:noWrap/>
            <w:vAlign w:val="bottom"/>
            <w:hideMark/>
          </w:tcPr>
          <w:p w14:paraId="76D00C2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266F662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PM6:Y6-BO:Y6-CNO (15%)</w:t>
            </w:r>
          </w:p>
        </w:tc>
        <w:tc>
          <w:tcPr>
            <w:tcW w:w="379" w:type="pct"/>
            <w:tcBorders>
              <w:top w:val="single" w:sz="4" w:space="0" w:color="auto"/>
              <w:left w:val="nil"/>
              <w:bottom w:val="single" w:sz="4" w:space="0" w:color="auto"/>
              <w:right w:val="nil"/>
            </w:tcBorders>
            <w:shd w:val="clear" w:color="auto" w:fill="auto"/>
            <w:noWrap/>
            <w:vAlign w:val="bottom"/>
            <w:hideMark/>
          </w:tcPr>
          <w:p w14:paraId="1AAD9C6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0.862</w:t>
            </w:r>
          </w:p>
        </w:tc>
        <w:tc>
          <w:tcPr>
            <w:tcW w:w="379" w:type="pct"/>
            <w:tcBorders>
              <w:top w:val="single" w:sz="4" w:space="0" w:color="auto"/>
              <w:left w:val="nil"/>
              <w:bottom w:val="single" w:sz="4" w:space="0" w:color="auto"/>
              <w:right w:val="nil"/>
            </w:tcBorders>
            <w:shd w:val="clear" w:color="auto" w:fill="auto"/>
            <w:noWrap/>
            <w:vAlign w:val="bottom"/>
            <w:hideMark/>
          </w:tcPr>
          <w:p w14:paraId="115555B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w:t>
            </w:r>
          </w:p>
        </w:tc>
        <w:tc>
          <w:tcPr>
            <w:tcW w:w="378" w:type="pct"/>
            <w:tcBorders>
              <w:top w:val="single" w:sz="4" w:space="0" w:color="auto"/>
              <w:left w:val="nil"/>
              <w:bottom w:val="single" w:sz="4" w:space="0" w:color="auto"/>
              <w:right w:val="nil"/>
            </w:tcBorders>
            <w:shd w:val="clear" w:color="auto" w:fill="auto"/>
            <w:noWrap/>
            <w:vAlign w:val="bottom"/>
            <w:hideMark/>
          </w:tcPr>
          <w:p w14:paraId="11C6E9F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78.6</w:t>
            </w:r>
          </w:p>
        </w:tc>
        <w:tc>
          <w:tcPr>
            <w:tcW w:w="381" w:type="pct"/>
            <w:tcBorders>
              <w:top w:val="single" w:sz="4" w:space="0" w:color="auto"/>
              <w:left w:val="nil"/>
              <w:bottom w:val="single" w:sz="4" w:space="0" w:color="auto"/>
              <w:right w:val="nil"/>
            </w:tcBorders>
            <w:shd w:val="clear" w:color="auto" w:fill="auto"/>
            <w:noWrap/>
            <w:vAlign w:val="bottom"/>
            <w:hideMark/>
          </w:tcPr>
          <w:p w14:paraId="170B367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w:t>
            </w:r>
          </w:p>
        </w:tc>
        <w:tc>
          <w:tcPr>
            <w:tcW w:w="378" w:type="pct"/>
            <w:tcBorders>
              <w:top w:val="single" w:sz="4" w:space="0" w:color="auto"/>
              <w:left w:val="nil"/>
              <w:bottom w:val="single" w:sz="4" w:space="0" w:color="auto"/>
              <w:right w:val="nil"/>
            </w:tcBorders>
            <w:shd w:val="clear" w:color="auto" w:fill="auto"/>
            <w:noWrap/>
            <w:vAlign w:val="bottom"/>
            <w:hideMark/>
          </w:tcPr>
          <w:p w14:paraId="2435963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{"citationID":"4GDfh4bp","properties":{"formattedCitation":"[38]","plainCitation":"[38]","noteIndex":0},"citationItems":[{"id":621,"uris":["http://zotero.org/users/12909065/items/ML68G3UT"],"itemData":{"id":621,"type":"article-journal","abstract":"With the rapid increase in photoelectric conversion efficiency of organic photovoltaics (OPVs), prolonging the operational lifetime of devices becomes one of the critical prerequisites for commercial applications. Guided by the theoretical calculations of molecular stacking and miscibility, we proposed an effective approach to simultaneously improve device performance and thermal stability of high-efficiency OPVs by refining the aggregation of Y-series acceptors. The key to this approach is deliberately designing an asymmetric Y-series acceptor, named Y6-CNO, which acts as a third component regulator to finely tune the degree of acceptor aggregation and crystallization in the benchmark PM6:Y6-BO system. Strikingly, a champion photovoltaic efficiency of 18.0% was achieved by introducing 15 wt% Y6-CNO into the PM6:Y6-BO system, significantly higher than the control binary cell (16.7%). Moreover, annealing at 100 °C for over 1,200 h does not markedly affect the photovoltaic performance of the optimal ternary devices, maintaining above 95% of the initial performance and exhibiting an exceptionally high T80 lifetime of 9,000 h under continuous thermal annealing. By contrast, binary devices suffer from excessive crystallization of acceptors with long-term annealing. Additionally, mixing thermodynamics combined with morphological characterizations were employed to elucidate the microstructure-thermal stability relationships. The ternary OPVs consisting of symmetric and asymmetric homologous acceptors form better charge transport channels and can effectively suppress excessive aggregation of acceptors under long-term annealing. This work demonstrates the effectiveness of refining acceptor aggregation via molecular design for highly efficient and stable nonfullerene-based OPVs. [Figure not available: see fulltext.] © 2022, Science China Press and Springer-Verlag GmbH Germany, part of Springer Nature.","archive":"Scopus","container-title":"Science China Chemistry","DOI":"10.1007/s11426-022-1394-y","ISSN":"1674-7291","issue":"1","language":"English","page":"202-215","source":"Scopus","title":"Refining acceptor aggregation in nonfullerene organic solar cells to achieve high efficiency and superior thermal stability","volume":"66","author":[{"family":"Xian","given":"K."},{"family":"Zhang","given":"S."},{"family":"Xu","given":"Y."},{"family":"Liu","given":"J."},{"family":"Zhou","given":"K."},{"family":"Peng","given":"Z."},{"family":"Li","given":"M."},{"family":"Zhao","given":"W."},{"family":"Chen","given":"Y."},{"family":"Fei","given":"Z."},{"family":"Hou","given":"J."},{"family":"Geng","given":"Y."},{"family":"Ye","given":"L."}],"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[38]</w:t>
            </w:r>
            <w:r w:rsidRPr="00B55044">
              <w:rPr>
                <w:rFonts w:eastAsia="Times New Roman"/>
                <w:color w:val="0000FF"/>
                <w:sz w:val="16"/>
                <w:szCs w:val="16"/>
              </w:rPr>
              <w:fldChar w:fldCharType="end"/>
            </w:r>
          </w:p>
        </w:tc>
      </w:tr>
      <w:tr w:rsidR="00D47774" w:rsidRPr="00B55044" w14:paraId="0255415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4760F4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64</w:t>
            </w:r>
          </w:p>
        </w:tc>
        <w:tc>
          <w:tcPr>
            <w:tcW w:w="1525" w:type="pct"/>
            <w:tcBorders>
              <w:top w:val="single" w:sz="4" w:space="0" w:color="auto"/>
              <w:left w:val="nil"/>
              <w:bottom w:val="single" w:sz="4" w:space="0" w:color="auto"/>
              <w:right w:val="nil"/>
            </w:tcBorders>
            <w:shd w:val="clear" w:color="auto" w:fill="auto"/>
            <w:noWrap/>
            <w:vAlign w:val="bottom"/>
            <w:hideMark/>
          </w:tcPr>
          <w:p w14:paraId="203592D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424F908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PM6:Y6-BO:Y6-CNO (30%)</w:t>
            </w:r>
          </w:p>
        </w:tc>
        <w:tc>
          <w:tcPr>
            <w:tcW w:w="379" w:type="pct"/>
            <w:tcBorders>
              <w:top w:val="single" w:sz="4" w:space="0" w:color="auto"/>
              <w:left w:val="nil"/>
              <w:bottom w:val="single" w:sz="4" w:space="0" w:color="auto"/>
              <w:right w:val="nil"/>
            </w:tcBorders>
            <w:shd w:val="clear" w:color="auto" w:fill="auto"/>
            <w:noWrap/>
            <w:vAlign w:val="bottom"/>
            <w:hideMark/>
          </w:tcPr>
          <w:p w14:paraId="01689B5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0.865</w:t>
            </w:r>
          </w:p>
        </w:tc>
        <w:tc>
          <w:tcPr>
            <w:tcW w:w="379" w:type="pct"/>
            <w:tcBorders>
              <w:top w:val="single" w:sz="4" w:space="0" w:color="auto"/>
              <w:left w:val="nil"/>
              <w:bottom w:val="single" w:sz="4" w:space="0" w:color="auto"/>
              <w:right w:val="nil"/>
            </w:tcBorders>
            <w:shd w:val="clear" w:color="auto" w:fill="auto"/>
            <w:noWrap/>
            <w:vAlign w:val="bottom"/>
            <w:hideMark/>
          </w:tcPr>
          <w:p w14:paraId="251CC5C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w:t>
            </w:r>
          </w:p>
        </w:tc>
        <w:tc>
          <w:tcPr>
            <w:tcW w:w="378" w:type="pct"/>
            <w:tcBorders>
              <w:top w:val="single" w:sz="4" w:space="0" w:color="auto"/>
              <w:left w:val="nil"/>
              <w:bottom w:val="single" w:sz="4" w:space="0" w:color="auto"/>
              <w:right w:val="nil"/>
            </w:tcBorders>
            <w:shd w:val="clear" w:color="auto" w:fill="auto"/>
            <w:noWrap/>
            <w:vAlign w:val="bottom"/>
            <w:hideMark/>
          </w:tcPr>
          <w:p w14:paraId="5BDB52D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73.9</w:t>
            </w:r>
          </w:p>
        </w:tc>
        <w:tc>
          <w:tcPr>
            <w:tcW w:w="381" w:type="pct"/>
            <w:tcBorders>
              <w:top w:val="single" w:sz="4" w:space="0" w:color="auto"/>
              <w:left w:val="nil"/>
              <w:bottom w:val="single" w:sz="4" w:space="0" w:color="auto"/>
              <w:right w:val="nil"/>
            </w:tcBorders>
            <w:shd w:val="clear" w:color="auto" w:fill="auto"/>
            <w:noWrap/>
            <w:vAlign w:val="bottom"/>
            <w:hideMark/>
          </w:tcPr>
          <w:p w14:paraId="080592E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w:t>
            </w:r>
          </w:p>
        </w:tc>
        <w:tc>
          <w:tcPr>
            <w:tcW w:w="378" w:type="pct"/>
            <w:tcBorders>
              <w:top w:val="single" w:sz="4" w:space="0" w:color="auto"/>
              <w:left w:val="nil"/>
              <w:bottom w:val="single" w:sz="4" w:space="0" w:color="auto"/>
              <w:right w:val="nil"/>
            </w:tcBorders>
            <w:shd w:val="clear" w:color="auto" w:fill="auto"/>
            <w:noWrap/>
            <w:vAlign w:val="bottom"/>
            <w:hideMark/>
          </w:tcPr>
          <w:p w14:paraId="58E272A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{"citationID":"ozVEiM7Z","properties":{"formattedCitation":"[38]","plainCitation":"[38]","noteIndex":0},"citationItems":[{"id":621,"uris":["http://zotero.org/users/12909065/items/ML68G3UT"],"itemData":{"id":621,"type":"article-journal","abstract":"With the rapid increase in photoelectric conversion efficiency of organic photovoltaics (OPVs), prolonging the operational lifetime of devices becomes one of the critical prerequisites for commercial applications. Guided by the theoretical calculations of molecular stacking and miscibility, we proposed an effective approach to simultaneously improve device performance and thermal stability of high-efficiency OPVs by refining the aggregation of Y-series acceptors. The key to this approach is deliberately designing an asymmetric Y-series acceptor, named Y6-CNO, which acts as a third component regulator to finely tune the degree of acceptor aggregation and crystallization in the benchmark PM6:Y6-BO system. Strikingly, a champion photovoltaic efficiency of 18.0% was achieved by introducing 15 wt% Y6-CNO into the PM6:Y6-BO system, significantly higher than the control binary cell (16.7%). Moreover, annealing at 100 °C for over 1,200 h does not markedly affect the photovoltaic performance of the optimal ternary devices, maintaining above 95% of the initial performance and exhibiting an exceptionally high T80 lifetime of 9,000 h under continuous thermal annealing. By contrast, binary devices suffer from excessive crystallization of acceptors with long-term annealing. Additionally, mixing thermodynamics combined with morphological characterizations were employed to elucidate the microstructure-thermal stability relationships. The ternary OPVs consisting of symmetric and asymmetric homologous acceptors form better charge transport channels and can effectively suppress excessive aggregation of acceptors under long-term annealing. This work demonstrates the effectiveness of refining acceptor aggregation via molecular design for highly efficient and stable nonfullerene-based OPVs. [Figure not available: see fulltext.] © 2022, Science China Press and Springer-Verlag GmbH Germany, part of Springer Nature.","archive":"Scopus","container-title":"Science China Chemistry","DOI":"10.1007/s11426-022-1394-y","ISSN":"1674-7291","issue":"1","language":"English","page":"202-215","source":"Scopus","title":"Refining acceptor aggregation in nonfullerene organic solar cells to achieve high efficiency and superior thermal stability","volume":"66","author":[{"family":"Xian","given":"K."},{"family":"Zhang","given":"S."},{"family":"Xu","given":"Y."},{"family":"Liu","given":"J."},{"family":"Zhou","given":"K."},{"family":"Peng","given":"Z."},{"family":"Li","given":"M."},{"family":"Zhao","given":"W."},{"family":"Chen","given":"Y."},{"family":"Fei","given":"Z."},{"family":"Hou","given":"J."},{"family":"Geng","given":"Y."},{"family":"Ye","given":"L."}],"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[38]</w:t>
            </w:r>
            <w:r w:rsidRPr="00B55044">
              <w:rPr>
                <w:rFonts w:eastAsia="Times New Roman"/>
                <w:color w:val="0000FF"/>
                <w:sz w:val="16"/>
                <w:szCs w:val="16"/>
              </w:rPr>
              <w:fldChar w:fldCharType="end"/>
            </w:r>
          </w:p>
        </w:tc>
      </w:tr>
      <w:tr w:rsidR="00D47774" w:rsidRPr="00B55044" w14:paraId="038633C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BB97EA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65</w:t>
            </w:r>
          </w:p>
        </w:tc>
        <w:tc>
          <w:tcPr>
            <w:tcW w:w="1525" w:type="pct"/>
            <w:tcBorders>
              <w:top w:val="single" w:sz="4" w:space="0" w:color="auto"/>
              <w:left w:val="nil"/>
              <w:bottom w:val="single" w:sz="4" w:space="0" w:color="auto"/>
              <w:right w:val="nil"/>
            </w:tcBorders>
            <w:shd w:val="clear" w:color="auto" w:fill="auto"/>
            <w:noWrap/>
            <w:vAlign w:val="bottom"/>
            <w:hideMark/>
          </w:tcPr>
          <w:p w14:paraId="363D90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72D51E6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PM6:Y6-BO:Y6-CNO (50%)</w:t>
            </w:r>
          </w:p>
        </w:tc>
        <w:tc>
          <w:tcPr>
            <w:tcW w:w="379" w:type="pct"/>
            <w:tcBorders>
              <w:top w:val="single" w:sz="4" w:space="0" w:color="auto"/>
              <w:left w:val="nil"/>
              <w:bottom w:val="single" w:sz="4" w:space="0" w:color="auto"/>
              <w:right w:val="nil"/>
            </w:tcBorders>
            <w:shd w:val="clear" w:color="auto" w:fill="auto"/>
            <w:noWrap/>
            <w:vAlign w:val="bottom"/>
            <w:hideMark/>
          </w:tcPr>
          <w:p w14:paraId="74FC461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0.881</w:t>
            </w:r>
          </w:p>
        </w:tc>
        <w:tc>
          <w:tcPr>
            <w:tcW w:w="379" w:type="pct"/>
            <w:tcBorders>
              <w:top w:val="single" w:sz="4" w:space="0" w:color="auto"/>
              <w:left w:val="nil"/>
              <w:bottom w:val="single" w:sz="4" w:space="0" w:color="auto"/>
              <w:right w:val="nil"/>
            </w:tcBorders>
            <w:shd w:val="clear" w:color="auto" w:fill="auto"/>
            <w:noWrap/>
            <w:vAlign w:val="bottom"/>
            <w:hideMark/>
          </w:tcPr>
          <w:p w14:paraId="0D1A813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24.3</w:t>
            </w:r>
          </w:p>
        </w:tc>
        <w:tc>
          <w:tcPr>
            <w:tcW w:w="378" w:type="pct"/>
            <w:tcBorders>
              <w:top w:val="single" w:sz="4" w:space="0" w:color="auto"/>
              <w:left w:val="nil"/>
              <w:bottom w:val="single" w:sz="4" w:space="0" w:color="auto"/>
              <w:right w:val="nil"/>
            </w:tcBorders>
            <w:shd w:val="clear" w:color="auto" w:fill="auto"/>
            <w:noWrap/>
            <w:vAlign w:val="bottom"/>
            <w:hideMark/>
          </w:tcPr>
          <w:p w14:paraId="4CDB8A6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73.3</w:t>
            </w:r>
          </w:p>
        </w:tc>
        <w:tc>
          <w:tcPr>
            <w:tcW w:w="381" w:type="pct"/>
            <w:tcBorders>
              <w:top w:val="single" w:sz="4" w:space="0" w:color="auto"/>
              <w:left w:val="nil"/>
              <w:bottom w:val="single" w:sz="4" w:space="0" w:color="auto"/>
              <w:right w:val="nil"/>
            </w:tcBorders>
            <w:shd w:val="clear" w:color="auto" w:fill="auto"/>
            <w:noWrap/>
            <w:vAlign w:val="bottom"/>
            <w:hideMark/>
          </w:tcPr>
          <w:p w14:paraId="1D5A259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15.7</w:t>
            </w:r>
          </w:p>
        </w:tc>
        <w:tc>
          <w:tcPr>
            <w:tcW w:w="378" w:type="pct"/>
            <w:tcBorders>
              <w:top w:val="single" w:sz="4" w:space="0" w:color="auto"/>
              <w:left w:val="nil"/>
              <w:bottom w:val="single" w:sz="4" w:space="0" w:color="auto"/>
              <w:right w:val="nil"/>
            </w:tcBorders>
            <w:shd w:val="clear" w:color="auto" w:fill="auto"/>
            <w:noWrap/>
            <w:vAlign w:val="bottom"/>
            <w:hideMark/>
          </w:tcPr>
          <w:p w14:paraId="2661730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{"citationID":"MBfwugYq","properties":{"formattedCitation":"[38]","plainCitation":"[38]","noteIndex":0},"citationItems":[{"id":621,"uris":["http://zotero.org/users/12909065/items/ML68G3UT"],"itemData":{"id":621,"type":"article-journal","abstract":"With the rapid increase in photoelectric conversion efficiency of organic photovoltaics (OPVs), prolonging the operational lifetime of devices becomes one of the critical prerequisites for commercial applications. Guided by the theoretical calculations of molecular stacking and miscibility, we proposed an effective approach to simultaneously improve device performance and thermal stability of high-efficiency OPVs by refining the aggregation of Y-series acceptors. The key to this approach is deliberately designing an asymmetric Y-series acceptor, named Y6-CNO, which acts as a third component regulator to finely tune the degree of acceptor aggregation and crystallization in the benchmark PM6:Y6-BO system. Strikingly, a champion photovoltaic efficiency of 18.0% was achieved by introducing 15 wt% Y6-CNO into the PM6:Y6-BO system, significantly higher than the control binary cell (16.7%). Moreover, annealing at 100 °C for over 1,200 h does not markedly affect the photovoltaic performance of the optimal ternary devices, maintaining above 95% of the initial performance and exhibiting an exceptionally high T80 lifetime of 9,000 h under continuous thermal annealing. By contrast, binary devices suffer from excessive crystallization of acceptors with long-term annealing. Additionally, mixing thermodynamics combined with morphological characterizations were employed to elucidate the microstructure-thermal stability relationships. The ternary OPVs consisting of symmetric and asymmetric homologous acceptors form better charge transport channels and can effectively suppress excessive aggregation of acceptors under long-term annealing. This work demonstrates the effectiveness of refining acceptor aggregation via molecular design for highly efficient and stable nonfullerene-based OPVs. [Figure not available: see fulltext.] © 2022, Science China Press and Springer-Verlag GmbH Germany, part of Springer Nature.","archive":"Scopus","container-title":"Science China Chemistry","DOI":"10.1007/s11426-022-1394-y","ISSN":"1674-7291","issue":"1","language":"English","page":"202-215","source":"Scopus","title":"Refining acceptor aggregation in nonfullerene organic solar cells to achieve high efficiency and superior thermal stability","volume":"66","author":[{"family":"Xian","given":"K."},{"family":"Zhang","given":"S."},{"family":"Xu","given":"Y."},{"family":"Liu","given":"J."},{"family":"Zhou","given":"K."},{"family":"Peng","given":"Z."},{"family":"Li","given":"M."},{"family":"Zhao","given":"W."},{"family":"Chen","given":"Y."},{"family":"Fei","given":"Z."},{"family":"Hou","given":"J."},{"family":"Geng","given":"Y."},{"family":"Ye","given":"L."}],"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[38]</w:t>
            </w:r>
            <w:r w:rsidRPr="00B55044">
              <w:rPr>
                <w:rFonts w:eastAsia="Times New Roman"/>
                <w:color w:val="0000FF"/>
                <w:sz w:val="16"/>
                <w:szCs w:val="16"/>
              </w:rPr>
              <w:fldChar w:fldCharType="end"/>
            </w:r>
          </w:p>
        </w:tc>
      </w:tr>
      <w:tr w:rsidR="00D47774" w:rsidRPr="00B55044" w14:paraId="560BD5E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E7D0C2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66</w:t>
            </w:r>
          </w:p>
        </w:tc>
        <w:tc>
          <w:tcPr>
            <w:tcW w:w="1525" w:type="pct"/>
            <w:tcBorders>
              <w:top w:val="single" w:sz="4" w:space="0" w:color="auto"/>
              <w:left w:val="nil"/>
              <w:bottom w:val="single" w:sz="4" w:space="0" w:color="auto"/>
              <w:right w:val="nil"/>
            </w:tcBorders>
            <w:shd w:val="clear" w:color="auto" w:fill="auto"/>
            <w:noWrap/>
            <w:vAlign w:val="bottom"/>
            <w:hideMark/>
          </w:tcPr>
          <w:p w14:paraId="2E48B4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3638B56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PM6:Y6-BO:Y6-CNO (75%)</w:t>
            </w:r>
          </w:p>
        </w:tc>
        <w:tc>
          <w:tcPr>
            <w:tcW w:w="379" w:type="pct"/>
            <w:tcBorders>
              <w:top w:val="single" w:sz="4" w:space="0" w:color="auto"/>
              <w:left w:val="nil"/>
              <w:bottom w:val="single" w:sz="4" w:space="0" w:color="auto"/>
              <w:right w:val="nil"/>
            </w:tcBorders>
            <w:shd w:val="clear" w:color="auto" w:fill="auto"/>
            <w:noWrap/>
            <w:vAlign w:val="bottom"/>
            <w:hideMark/>
          </w:tcPr>
          <w:p w14:paraId="3894E1D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0.901</w:t>
            </w:r>
          </w:p>
        </w:tc>
        <w:tc>
          <w:tcPr>
            <w:tcW w:w="379" w:type="pct"/>
            <w:tcBorders>
              <w:top w:val="single" w:sz="4" w:space="0" w:color="auto"/>
              <w:left w:val="nil"/>
              <w:bottom w:val="single" w:sz="4" w:space="0" w:color="auto"/>
              <w:right w:val="nil"/>
            </w:tcBorders>
            <w:shd w:val="clear" w:color="auto" w:fill="auto"/>
            <w:noWrap/>
            <w:vAlign w:val="bottom"/>
            <w:hideMark/>
          </w:tcPr>
          <w:p w14:paraId="42A8439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23.6</w:t>
            </w:r>
          </w:p>
        </w:tc>
        <w:tc>
          <w:tcPr>
            <w:tcW w:w="378" w:type="pct"/>
            <w:tcBorders>
              <w:top w:val="single" w:sz="4" w:space="0" w:color="auto"/>
              <w:left w:val="nil"/>
              <w:bottom w:val="single" w:sz="4" w:space="0" w:color="auto"/>
              <w:right w:val="nil"/>
            </w:tcBorders>
            <w:shd w:val="clear" w:color="auto" w:fill="auto"/>
            <w:noWrap/>
            <w:vAlign w:val="bottom"/>
            <w:hideMark/>
          </w:tcPr>
          <w:p w14:paraId="4C355C2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71.4</w:t>
            </w:r>
          </w:p>
        </w:tc>
        <w:tc>
          <w:tcPr>
            <w:tcW w:w="381" w:type="pct"/>
            <w:tcBorders>
              <w:top w:val="single" w:sz="4" w:space="0" w:color="auto"/>
              <w:left w:val="nil"/>
              <w:bottom w:val="single" w:sz="4" w:space="0" w:color="auto"/>
              <w:right w:val="nil"/>
            </w:tcBorders>
            <w:shd w:val="clear" w:color="auto" w:fill="auto"/>
            <w:noWrap/>
            <w:vAlign w:val="bottom"/>
            <w:hideMark/>
          </w:tcPr>
          <w:p w14:paraId="361C564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15.2</w:t>
            </w:r>
          </w:p>
        </w:tc>
        <w:tc>
          <w:tcPr>
            <w:tcW w:w="378" w:type="pct"/>
            <w:tcBorders>
              <w:top w:val="single" w:sz="4" w:space="0" w:color="auto"/>
              <w:left w:val="nil"/>
              <w:bottom w:val="single" w:sz="4" w:space="0" w:color="auto"/>
              <w:right w:val="nil"/>
            </w:tcBorders>
            <w:shd w:val="clear" w:color="auto" w:fill="auto"/>
            <w:noWrap/>
            <w:vAlign w:val="bottom"/>
            <w:hideMark/>
          </w:tcPr>
          <w:p w14:paraId="78259D2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{"citationID":"lzRvoHpY","properties":{"formattedCitation":"[38]","plainCitation":"[38]","noteIndex":0},"citationItems":[{"id":621,"uris":["http://zotero.org/users/12909065/items/ML68G3UT"],"itemData":{"id":621,"type":"article-journal","abstract":"With the rapid increase in photoelectric conversion efficiency of organic photovoltaics (OPVs), prolonging the operational lifetime of devices becomes one of the critical prerequisites for commercial applications. Guided by the theoretical calculations of molecular stacking and miscibility, we proposed an effective approach to simultaneously improve device performance and thermal stability of high-efficiency OPVs by refining the aggregation of Y-series acceptors. The key to this approach is deliberately designing an asymmetric Y-series acceptor, named Y6-CNO, which acts as a third component regulator to finely tune the degree of acceptor aggregation and crystallization in the benchmark PM6:Y6-BO system. Strikingly, a champion photovoltaic efficiency of 18.0% was achieved by introducing 15 wt% Y6-CNO into the PM6:Y6-BO system, significantly higher than the control binary cell (16.7%). Moreover, annealing at 100 °C for over 1,200 h does not markedly affect the photovoltaic performance of the optimal ternary devices, maintaining above 95% of the initial performance and exhibiting an exceptionally high T80 lifetime of 9,000 h under continuous thermal annealing. By contrast, binary devices suffer from excessive crystallization of acceptors with long-term annealing. Additionally, mixing thermodynamics combined with morphological characterizations were employed to elucidate the microstructure-thermal stability relationships. The ternary OPVs consisting of symmetric and asymmetric homologous acceptors form better charge transport channels and can effectively suppress excessive aggregation of acceptors under long-term annealing. This work demonstrates the effectiveness of refining acceptor aggregation via molecular design for highly efficient and stable nonfullerene-based OPVs. [Figure not available: see fulltext.] © 2022, Science China Press and Springer-Verlag GmbH Germany, part of Springer Nature.","archive":"Scopus","container-title":"Science China Chemistry","DOI":"10.1007/s11426-022-1394-y","ISSN":"1674-7291","issue":"1","language":"English","page":"202-215","source":"Scopus","title":"Refining acceptor aggregation in nonfullerene organic solar cells to achieve high efficiency and superior thermal stability","volume":"66","author":[{"family":"Xian","given":"K."},{"family":"Zhang","given":"S."},{"family":"Xu","given":"Y."},{"family":"Liu","given":"J."},{"family":"Zhou","given":"K."},{"family":"Peng","given":"Z."},{"family":"Li","given":"M."},{"family":"Zhao","given":"W."},{"family":"Chen","given":"Y."},{"family":"Fei","given":"Z."},{"family":"Hou","given":"J."},{"family":"Geng","given":"Y."},{"family":"Ye","given":"L."}],"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[38]</w:t>
            </w:r>
            <w:r w:rsidRPr="00B55044">
              <w:rPr>
                <w:rFonts w:eastAsia="Times New Roman"/>
                <w:color w:val="0000FF"/>
                <w:sz w:val="16"/>
                <w:szCs w:val="16"/>
              </w:rPr>
              <w:fldChar w:fldCharType="end"/>
            </w:r>
          </w:p>
        </w:tc>
      </w:tr>
      <w:tr w:rsidR="00D47774" w:rsidRPr="00B55044" w14:paraId="060C6A6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F1B252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67</w:t>
            </w:r>
          </w:p>
        </w:tc>
        <w:tc>
          <w:tcPr>
            <w:tcW w:w="1525" w:type="pct"/>
            <w:tcBorders>
              <w:top w:val="single" w:sz="4" w:space="0" w:color="auto"/>
              <w:left w:val="nil"/>
              <w:bottom w:val="single" w:sz="4" w:space="0" w:color="auto"/>
              <w:right w:val="nil"/>
            </w:tcBorders>
            <w:shd w:val="clear" w:color="auto" w:fill="auto"/>
            <w:noWrap/>
            <w:vAlign w:val="bottom"/>
            <w:hideMark/>
          </w:tcPr>
          <w:p w14:paraId="6F6C9E7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3507DA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PM6:Y6-BO:Y6-CNO (100%)</w:t>
            </w:r>
          </w:p>
        </w:tc>
        <w:tc>
          <w:tcPr>
            <w:tcW w:w="379" w:type="pct"/>
            <w:tcBorders>
              <w:top w:val="single" w:sz="4" w:space="0" w:color="auto"/>
              <w:left w:val="nil"/>
              <w:bottom w:val="single" w:sz="4" w:space="0" w:color="auto"/>
              <w:right w:val="nil"/>
            </w:tcBorders>
            <w:shd w:val="clear" w:color="auto" w:fill="auto"/>
            <w:noWrap/>
            <w:vAlign w:val="bottom"/>
            <w:hideMark/>
          </w:tcPr>
          <w:p w14:paraId="0949CAF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0.926</w:t>
            </w:r>
          </w:p>
        </w:tc>
        <w:tc>
          <w:tcPr>
            <w:tcW w:w="379" w:type="pct"/>
            <w:tcBorders>
              <w:top w:val="single" w:sz="4" w:space="0" w:color="auto"/>
              <w:left w:val="nil"/>
              <w:bottom w:val="single" w:sz="4" w:space="0" w:color="auto"/>
              <w:right w:val="nil"/>
            </w:tcBorders>
            <w:shd w:val="clear" w:color="auto" w:fill="auto"/>
            <w:noWrap/>
            <w:vAlign w:val="bottom"/>
            <w:hideMark/>
          </w:tcPr>
          <w:p w14:paraId="6EFB23D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20.2</w:t>
            </w:r>
          </w:p>
        </w:tc>
        <w:tc>
          <w:tcPr>
            <w:tcW w:w="378" w:type="pct"/>
            <w:tcBorders>
              <w:top w:val="single" w:sz="4" w:space="0" w:color="auto"/>
              <w:left w:val="nil"/>
              <w:bottom w:val="single" w:sz="4" w:space="0" w:color="auto"/>
              <w:right w:val="nil"/>
            </w:tcBorders>
            <w:shd w:val="clear" w:color="auto" w:fill="auto"/>
            <w:noWrap/>
            <w:vAlign w:val="bottom"/>
            <w:hideMark/>
          </w:tcPr>
          <w:p w14:paraId="3399DF7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69.4</w:t>
            </w:r>
          </w:p>
        </w:tc>
        <w:tc>
          <w:tcPr>
            <w:tcW w:w="381" w:type="pct"/>
            <w:tcBorders>
              <w:top w:val="single" w:sz="4" w:space="0" w:color="auto"/>
              <w:left w:val="nil"/>
              <w:bottom w:val="single" w:sz="4" w:space="0" w:color="auto"/>
              <w:right w:val="nil"/>
            </w:tcBorders>
            <w:shd w:val="clear" w:color="auto" w:fill="auto"/>
            <w:noWrap/>
            <w:vAlign w:val="bottom"/>
            <w:hideMark/>
          </w:tcPr>
          <w:p w14:paraId="311ED0A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w:t>
            </w:r>
          </w:p>
        </w:tc>
        <w:tc>
          <w:tcPr>
            <w:tcW w:w="378" w:type="pct"/>
            <w:tcBorders>
              <w:top w:val="single" w:sz="4" w:space="0" w:color="auto"/>
              <w:left w:val="nil"/>
              <w:bottom w:val="single" w:sz="4" w:space="0" w:color="auto"/>
              <w:right w:val="nil"/>
            </w:tcBorders>
            <w:shd w:val="clear" w:color="auto" w:fill="auto"/>
            <w:noWrap/>
            <w:vAlign w:val="bottom"/>
            <w:hideMark/>
          </w:tcPr>
          <w:p w14:paraId="0636F97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{"citationID":"Z6gJTwLf","properties":{"formattedCitation":"[38]","plainCitation":"[38]","noteIndex":0},"citationItems":[{"id":621,"uris":["http://zotero.org/users/12909065/items/ML68G3UT"],"itemData":{"id":621,"type":"article-journal","abstract":"With the rapid increase in photoelectric conversion efficiency of organic photovoltaics (OPVs), prolonging the operational lifetime of devices becomes one of the critical prerequisites for commercial applications. Guided by the theoretical calculations of molecular stacking and miscibility, we proposed an effective approach to simultaneously improve device performance and thermal stability of high-efficiency OPVs by refining the aggregation of Y-series acceptors. The key to this approach is deliberately designing an asymmetric Y-series acceptor, named Y6-CNO, which acts as a third component regulator to finely tune the degree of acceptor aggregation and crystallization in the benchmark PM6:Y6-BO system. Strikingly, a champion photovoltaic efficiency of 18.0% was achieved by introducing 15 wt% Y6-CNO into the PM6:Y6-BO system, significantly higher than the control binary cell (16.7%). Moreover, annealing at 100 °C for over 1,200 h does not markedly affect the photovoltaic performance of the optimal ternary devices, maintaining above 95% of the initial performance and exhibiting an exceptionally high T80 lifetime of 9,000 h under continuous thermal annealing. By contrast, binary devices suffer from excessive crystallization of acceptors with long-term annealing. Additionally, mixing thermodynamics combined with morphological characterizations were employed to elucidate the microstructure-thermal stability relationships. The ternary OPVs consisting of symmetric and asymmetric homologous acceptors form better charge transport channels and can effectively suppress excessive aggregation of acceptors under long-term annealing. This work demonstrates the effectiveness of refining acceptor aggregation via molecular design for highly efficient and stable nonfullerene-based OPVs. [Figure not available: see fulltext.] © 2022, Science China Press and Springer-Verlag GmbH Germany, part of Springer Nature.","archive":"Scopus","container-title":"Science China Chemistry","DOI":"10.1007/s11426-022-1394-y","ISSN":"1674-7291","issue":"1","language":"English","page":"202-215","source":"Scopus","title":"Refining acceptor aggregation in nonfullerene organic solar cells to achieve high efficiency and superior thermal stability","volume":"66","author":[{"family":"Xian","given":"K."},{"family":"Zhang","given":"S."},{"family":"Xu","given":"Y."},{"family":"Liu","given":"J."},{"family":"Zhou","given":"K."},{"family":"Peng","given":"Z."},{"family":"Li","given":"M."},{"family":"Zhao","given":"W."},{"family":"Chen","given":"Y."},{"family":"Fei","given":"Z."},{"family":"Hou","given":"J."},{"family":"Geng","given":"Y."},{"family":"Ye","given":"L."}],"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[38]</w:t>
            </w:r>
            <w:r w:rsidRPr="00B55044">
              <w:rPr>
                <w:rFonts w:eastAsia="Times New Roman"/>
                <w:color w:val="0000FF"/>
                <w:sz w:val="16"/>
                <w:szCs w:val="16"/>
              </w:rPr>
              <w:fldChar w:fldCharType="end"/>
            </w:r>
          </w:p>
        </w:tc>
      </w:tr>
      <w:tr w:rsidR="00D47774" w:rsidRPr="00B55044" w14:paraId="72A45F6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55A98A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68</w:t>
            </w:r>
          </w:p>
        </w:tc>
        <w:tc>
          <w:tcPr>
            <w:tcW w:w="1525" w:type="pct"/>
            <w:tcBorders>
              <w:top w:val="single" w:sz="4" w:space="0" w:color="auto"/>
              <w:left w:val="nil"/>
              <w:bottom w:val="single" w:sz="4" w:space="0" w:color="auto"/>
              <w:right w:val="nil"/>
            </w:tcBorders>
            <w:shd w:val="clear" w:color="auto" w:fill="auto"/>
            <w:noWrap/>
            <w:vAlign w:val="bottom"/>
            <w:hideMark/>
          </w:tcPr>
          <w:p w14:paraId="1FA02BF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5EC2A9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PM6:L8-BO:eC9-2C</w:t>
            </w:r>
          </w:p>
        </w:tc>
        <w:tc>
          <w:tcPr>
            <w:tcW w:w="379" w:type="pct"/>
            <w:tcBorders>
              <w:top w:val="single" w:sz="4" w:space="0" w:color="auto"/>
              <w:left w:val="nil"/>
              <w:bottom w:val="single" w:sz="4" w:space="0" w:color="auto"/>
              <w:right w:val="nil"/>
            </w:tcBorders>
            <w:shd w:val="clear" w:color="auto" w:fill="auto"/>
            <w:noWrap/>
            <w:vAlign w:val="bottom"/>
            <w:hideMark/>
          </w:tcPr>
          <w:p w14:paraId="6CED4B0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w:t>
            </w:r>
          </w:p>
        </w:tc>
        <w:tc>
          <w:tcPr>
            <w:tcW w:w="379" w:type="pct"/>
            <w:tcBorders>
              <w:top w:val="single" w:sz="4" w:space="0" w:color="auto"/>
              <w:left w:val="nil"/>
              <w:bottom w:val="single" w:sz="4" w:space="0" w:color="auto"/>
              <w:right w:val="nil"/>
            </w:tcBorders>
            <w:shd w:val="clear" w:color="auto" w:fill="auto"/>
            <w:noWrap/>
            <w:vAlign w:val="bottom"/>
            <w:hideMark/>
          </w:tcPr>
          <w:p w14:paraId="6663EF8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26.63</w:t>
            </w:r>
          </w:p>
        </w:tc>
        <w:tc>
          <w:tcPr>
            <w:tcW w:w="378" w:type="pct"/>
            <w:tcBorders>
              <w:top w:val="single" w:sz="4" w:space="0" w:color="auto"/>
              <w:left w:val="nil"/>
              <w:bottom w:val="single" w:sz="4" w:space="0" w:color="auto"/>
              <w:right w:val="nil"/>
            </w:tcBorders>
            <w:shd w:val="clear" w:color="auto" w:fill="auto"/>
            <w:noWrap/>
            <w:vAlign w:val="bottom"/>
            <w:hideMark/>
          </w:tcPr>
          <w:p w14:paraId="22E82F4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78.74</w:t>
            </w:r>
          </w:p>
        </w:tc>
        <w:tc>
          <w:tcPr>
            <w:tcW w:w="381" w:type="pct"/>
            <w:tcBorders>
              <w:top w:val="single" w:sz="4" w:space="0" w:color="auto"/>
              <w:left w:val="nil"/>
              <w:bottom w:val="single" w:sz="4" w:space="0" w:color="auto"/>
              <w:right w:val="nil"/>
            </w:tcBorders>
            <w:shd w:val="clear" w:color="auto" w:fill="auto"/>
            <w:noWrap/>
            <w:vAlign w:val="bottom"/>
            <w:hideMark/>
          </w:tcPr>
          <w:p w14:paraId="4069D96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18.66</w:t>
            </w:r>
          </w:p>
        </w:tc>
        <w:tc>
          <w:tcPr>
            <w:tcW w:w="378" w:type="pct"/>
            <w:tcBorders>
              <w:top w:val="single" w:sz="4" w:space="0" w:color="auto"/>
              <w:left w:val="nil"/>
              <w:bottom w:val="single" w:sz="4" w:space="0" w:color="auto"/>
              <w:right w:val="nil"/>
            </w:tcBorders>
            <w:shd w:val="clear" w:color="auto" w:fill="auto"/>
            <w:noWrap/>
            <w:vAlign w:val="bottom"/>
            <w:hideMark/>
          </w:tcPr>
          <w:p w14:paraId="37C744B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{"citationID":"Wr8EkJio","properties":{"formattedCitation":"[39]","plainCitation":"[39]","noteIndex":0},"citationItems":[{"id":620,"uris":["http://zotero.org/users/12909065/items/8RXRWP76"],"itemData":{"id":620,"type":"article-journal","abstract":"Organic semiconducting materials with fluorine or chlorine substitution are commonly designed to prepare efficient polymer solar cells (PSCs) through finely modulating the energy levels and absorption spectra. Herein, two small molecular acceptors with fluorine substitution L8-BO or chlorine substitution eC9-2Cl are selected to prepare ternary PSCs with PM6 as polymer donor. The optimal ternary PSCs exhibit a power conversion efficiency of 18.66%, benefiting from the simultaneously increased open-circuit voltage (VOC) of 0.89 V, short-circuit current density (JSC) of 26.63 mA cm−2, and fill factor of 78.74% when the content of chlorine substitution eC9-2Cl is about 20 wt% in acceptors. Fluorinated and chlorinated substitutions can improve the VOC or JSC of the corresponding binary PSCs, which can be recombined into efficient ternary PSCs through optimizing their content in acceptors. Chlorinated materials have special crystalline conditions due to the specific features of the chlorine atoms with large atomic radius and the empty 3d orbits compared to the corresponding fluorinated materials. Adding an appropriate amount of the chlorine substitution eC9-2Cl further enhances the crystallization and intermolecular interaction of the ternary PSCs, which is beneficial for charge transport in the active layer and for device performance improvement. © 2022 Wiley-VCH GmbH.","archive":"Scopus","container-title":"Solar RRL","DOI":"10.1002/solr.202200957","ISSN":"2367-198X","issue":"1","language":"English","source":"Scopus","title":"18.66% Efficiency of Polymer Solar Cells Employing Two Nonfullerene Acceptors with Fluorine or Chlorine Substitution","volume":"7","author":[{"family":"Zhang","given":"S."},{"family":"Ma","given":"X."},{"family":"Niu","given":"L."},{"family":"Jeong","given":"S.Y."},{"family":"Woo","given":"H.Y."},{"family":"Zhou","given":"Z."},{"family":"Zhang","given":"F."}],"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[39]</w:t>
            </w:r>
            <w:r w:rsidRPr="00B55044">
              <w:rPr>
                <w:rFonts w:eastAsia="Times New Roman"/>
                <w:color w:val="0000FF"/>
                <w:sz w:val="16"/>
                <w:szCs w:val="16"/>
              </w:rPr>
              <w:fldChar w:fldCharType="end"/>
            </w:r>
          </w:p>
        </w:tc>
      </w:tr>
      <w:tr w:rsidR="00D47774" w:rsidRPr="00B55044" w14:paraId="0622690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6EC9F0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69</w:t>
            </w:r>
          </w:p>
        </w:tc>
        <w:tc>
          <w:tcPr>
            <w:tcW w:w="1525" w:type="pct"/>
            <w:tcBorders>
              <w:top w:val="single" w:sz="4" w:space="0" w:color="auto"/>
              <w:left w:val="nil"/>
              <w:bottom w:val="single" w:sz="4" w:space="0" w:color="auto"/>
              <w:right w:val="nil"/>
            </w:tcBorders>
            <w:shd w:val="clear" w:color="auto" w:fill="auto"/>
            <w:noWrap/>
            <w:vAlign w:val="bottom"/>
            <w:hideMark/>
          </w:tcPr>
          <w:p w14:paraId="5E9C9FD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ITO/HVO/AL/PFN-Br/Ag</w:t>
            </w:r>
          </w:p>
        </w:tc>
        <w:tc>
          <w:tcPr>
            <w:tcW w:w="1288" w:type="pct"/>
            <w:tcBorders>
              <w:top w:val="single" w:sz="4" w:space="0" w:color="auto"/>
              <w:left w:val="nil"/>
              <w:bottom w:val="single" w:sz="4" w:space="0" w:color="auto"/>
              <w:right w:val="nil"/>
            </w:tcBorders>
            <w:shd w:val="clear" w:color="auto" w:fill="auto"/>
            <w:noWrap/>
            <w:vAlign w:val="bottom"/>
            <w:hideMark/>
          </w:tcPr>
          <w:p w14:paraId="39ACB09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30FFF84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0.842</w:t>
            </w:r>
          </w:p>
        </w:tc>
        <w:tc>
          <w:tcPr>
            <w:tcW w:w="379" w:type="pct"/>
            <w:tcBorders>
              <w:top w:val="single" w:sz="4" w:space="0" w:color="auto"/>
              <w:left w:val="nil"/>
              <w:bottom w:val="single" w:sz="4" w:space="0" w:color="auto"/>
              <w:right w:val="nil"/>
            </w:tcBorders>
            <w:shd w:val="clear" w:color="auto" w:fill="auto"/>
            <w:noWrap/>
            <w:vAlign w:val="bottom"/>
            <w:hideMark/>
          </w:tcPr>
          <w:p w14:paraId="66E5CBE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26.3</w:t>
            </w:r>
          </w:p>
        </w:tc>
        <w:tc>
          <w:tcPr>
            <w:tcW w:w="378" w:type="pct"/>
            <w:tcBorders>
              <w:top w:val="single" w:sz="4" w:space="0" w:color="auto"/>
              <w:left w:val="nil"/>
              <w:bottom w:val="single" w:sz="4" w:space="0" w:color="auto"/>
              <w:right w:val="nil"/>
            </w:tcBorders>
            <w:shd w:val="clear" w:color="auto" w:fill="auto"/>
            <w:noWrap/>
            <w:vAlign w:val="bottom"/>
            <w:hideMark/>
          </w:tcPr>
          <w:p w14:paraId="18CC81F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64.8</w:t>
            </w:r>
          </w:p>
        </w:tc>
        <w:tc>
          <w:tcPr>
            <w:tcW w:w="381" w:type="pct"/>
            <w:tcBorders>
              <w:top w:val="single" w:sz="4" w:space="0" w:color="auto"/>
              <w:left w:val="nil"/>
              <w:bottom w:val="single" w:sz="4" w:space="0" w:color="auto"/>
              <w:right w:val="nil"/>
            </w:tcBorders>
            <w:shd w:val="clear" w:color="auto" w:fill="auto"/>
            <w:noWrap/>
            <w:vAlign w:val="bottom"/>
            <w:hideMark/>
          </w:tcPr>
          <w:p w14:paraId="78A3804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14.34</w:t>
            </w:r>
          </w:p>
        </w:tc>
        <w:tc>
          <w:tcPr>
            <w:tcW w:w="378" w:type="pct"/>
            <w:tcBorders>
              <w:top w:val="single" w:sz="4" w:space="0" w:color="auto"/>
              <w:left w:val="nil"/>
              <w:bottom w:val="single" w:sz="4" w:space="0" w:color="auto"/>
              <w:right w:val="nil"/>
            </w:tcBorders>
            <w:shd w:val="clear" w:color="auto" w:fill="auto"/>
            <w:noWrap/>
            <w:vAlign w:val="bottom"/>
            <w:hideMark/>
          </w:tcPr>
          <w:p w14:paraId="337E0F6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{"citationID":"Kbyp2inW","properties":{"formattedCitation":"[40]","plainCitation":"[40]","noteIndex":0},"citationItems":[{"id":619,"uris":["http://zotero.org/users/12909065/items/LMTHI49T"],"itemData":{"id":619,"type":"article-journal","abstract":"Although the power conversion efficiency (PCE) of single-junction organic solar cells (OSCs) has exceeded more than 19%, the biggest obstacle to the commercial application of OSCs is the low device stability. Herein, this work reports the development of hydrated vanadium pentoxide (HVO) as a hole transport layer (HTL) with outstanding hole-extracting capabilities by a simple synthesis process and its use in the non-fullerene-acceptor-based binary and ternary OSCs. OSCs based on PM6:BTP-eC9 using an indium tin oxide/hydrated vanadium pentoxide (ITO/HVO) anode exhibit a maximum PCE of 13.33%, which is higher than ITO/poly(3,4-ethylene dioxythiophene):(polystyrene sulfonate) (PEDOT:PSS) (12.09%). Additionally, ternary (with an active layer of PM6:BTP-eC9:PC71BM) devices were also fabricated to analyze the impact of HVO HTL and achieved a PCE of 14.34%. The higher PCE is found to originate from the much higher work function (WF) of ITO/HVO than ITO/PEDOT:PSS. Furthermore, to replace a sophisticated thermal evaporation technique with a solution-processed, we fabricated inverted devices with HVO instead of control MoO3 HTL. The highest occupied molecular orbital (HOMO) energy level of HVO is nearly equal to MoO3, and the device based on HVO attributed a PCE of 7.47%, which is higher than MoO3 (6.70%)-based devices. This work provides a low-cost, highly efficient, and solution-processed HTL material for OSCs with long-term air stability. © 2023 American Chemical Society.","archive":"Scopus","container-title":"ACS Applied Energy Materials","DOI":"10.1021/acsaem.2c04156","ISSN":"2574-0962","issue":"6","language":"English","page":"3442-3451","source":"Scopus","title":"Facile Approach for Efficient Non-Fullerene-Based Binary and Ternary Organic Solar Cells Using Hydrated Vanadium Pentoxide as a Hole Transport Layer","volume":"6","author":[{"family":"Dahiya","given":"H."},{"family":"Suthar","given":"R."},{"family":"Singh","given":"M.K."},{"family":"Singhal","given":"R."},{"family":"Karak","given":"S."},{"family":"Sharma","given":"G.D."}],"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[40]</w:t>
            </w:r>
            <w:r w:rsidRPr="00B55044">
              <w:rPr>
                <w:rFonts w:eastAsia="Times New Roman"/>
                <w:color w:val="0000FF"/>
                <w:sz w:val="16"/>
                <w:szCs w:val="16"/>
              </w:rPr>
              <w:fldChar w:fldCharType="end"/>
            </w:r>
          </w:p>
        </w:tc>
      </w:tr>
      <w:tr w:rsidR="00D47774" w:rsidRPr="00B55044" w14:paraId="2BB1115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124976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70</w:t>
            </w:r>
          </w:p>
        </w:tc>
        <w:tc>
          <w:tcPr>
            <w:tcW w:w="1525" w:type="pct"/>
            <w:tcBorders>
              <w:top w:val="single" w:sz="4" w:space="0" w:color="auto"/>
              <w:left w:val="nil"/>
              <w:bottom w:val="single" w:sz="4" w:space="0" w:color="auto"/>
              <w:right w:val="nil"/>
            </w:tcBorders>
            <w:shd w:val="clear" w:color="auto" w:fill="auto"/>
            <w:noWrap/>
            <w:vAlign w:val="bottom"/>
            <w:hideMark/>
          </w:tcPr>
          <w:p w14:paraId="23D1EE9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47B9EC8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PM6:Y6:IEICO-4F</w:t>
            </w:r>
          </w:p>
        </w:tc>
        <w:tc>
          <w:tcPr>
            <w:tcW w:w="379" w:type="pct"/>
            <w:tcBorders>
              <w:top w:val="single" w:sz="4" w:space="0" w:color="auto"/>
              <w:left w:val="nil"/>
              <w:bottom w:val="single" w:sz="4" w:space="0" w:color="auto"/>
              <w:right w:val="nil"/>
            </w:tcBorders>
            <w:shd w:val="clear" w:color="auto" w:fill="auto"/>
            <w:noWrap/>
            <w:vAlign w:val="bottom"/>
            <w:hideMark/>
          </w:tcPr>
          <w:p w14:paraId="42B46F5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w:t>
            </w:r>
          </w:p>
        </w:tc>
        <w:tc>
          <w:tcPr>
            <w:tcW w:w="379" w:type="pct"/>
            <w:tcBorders>
              <w:top w:val="single" w:sz="4" w:space="0" w:color="auto"/>
              <w:left w:val="nil"/>
              <w:bottom w:val="single" w:sz="4" w:space="0" w:color="auto"/>
              <w:right w:val="nil"/>
            </w:tcBorders>
            <w:shd w:val="clear" w:color="auto" w:fill="auto"/>
            <w:noWrap/>
            <w:vAlign w:val="bottom"/>
            <w:hideMark/>
          </w:tcPr>
          <w:p w14:paraId="1F20CE4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w:t>
            </w:r>
          </w:p>
        </w:tc>
        <w:tc>
          <w:tcPr>
            <w:tcW w:w="378" w:type="pct"/>
            <w:tcBorders>
              <w:top w:val="single" w:sz="4" w:space="0" w:color="auto"/>
              <w:left w:val="nil"/>
              <w:bottom w:val="single" w:sz="4" w:space="0" w:color="auto"/>
              <w:right w:val="nil"/>
            </w:tcBorders>
            <w:shd w:val="clear" w:color="auto" w:fill="auto"/>
            <w:noWrap/>
            <w:vAlign w:val="bottom"/>
            <w:hideMark/>
          </w:tcPr>
          <w:p w14:paraId="48953F1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75.2</w:t>
            </w:r>
          </w:p>
        </w:tc>
        <w:tc>
          <w:tcPr>
            <w:tcW w:w="381" w:type="pct"/>
            <w:tcBorders>
              <w:top w:val="single" w:sz="4" w:space="0" w:color="auto"/>
              <w:left w:val="nil"/>
              <w:bottom w:val="single" w:sz="4" w:space="0" w:color="auto"/>
              <w:right w:val="nil"/>
            </w:tcBorders>
            <w:shd w:val="clear" w:color="auto" w:fill="auto"/>
            <w:noWrap/>
            <w:vAlign w:val="bottom"/>
            <w:hideMark/>
          </w:tcPr>
          <w:p w14:paraId="20A17CD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16.61</w:t>
            </w:r>
          </w:p>
        </w:tc>
        <w:tc>
          <w:tcPr>
            <w:tcW w:w="378" w:type="pct"/>
            <w:tcBorders>
              <w:top w:val="single" w:sz="4" w:space="0" w:color="auto"/>
              <w:left w:val="nil"/>
              <w:bottom w:val="single" w:sz="4" w:space="0" w:color="auto"/>
              <w:right w:val="nil"/>
            </w:tcBorders>
            <w:shd w:val="clear" w:color="auto" w:fill="auto"/>
            <w:noWrap/>
            <w:vAlign w:val="bottom"/>
            <w:hideMark/>
          </w:tcPr>
          <w:p w14:paraId="6E4016A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{"citationID":"xQ7d8mhd","properties":{"formattedCitation":"[41]","plainCitation":"[41]","noteIndex":0},"citationItems":[{"id":618,"uris":["http://zotero.org/users/12909065/items/NX4ZKBRZ"],"itemData":{"id":618,"type":"article-journal","abstract":"Tail state Urbach energy caused by the molecular disorder and stacking plays a crucial role for obtaining efficient organic solar cells (OSCs). Herein, we proposed a theoretical and experimental method to adjust the Urbach energy (EU) of organic photoactive materials. Simulation results show that the EU of 32 meV for PM6:Y6-based single junction (SJ) OSCs can enhance Jsc and FF significantly, and thus achieving a high photovoltaic conversion efficiency (PCE) of 18.03%. Interestingly, further decreasing EU within a certain range cannot increase device efficiency obviously, and EU cannot be close to 0 meV in consideration of the molecule disorder of organic material. Under the guidance of theoretical design, the ternary component IEICO-4F was introduced to optimize EU Experimental results show that the optimized EU is obtained upon introducing of IEICO-4F, and a championed PCE of 16.61% is achieved when EU is about 25.80 meV for SJ-OSCs. Tandem solar cells (TSCs) reach an experimental PCE of 18.57% when EU is about 27.46 meV, which facilitates current matching between the front and rear sub-cells. © 2022 Elsevier B.V.","archive":"Scopus","container-title":"Organic Electronics","DOI":"10.1016/j.orgel.2022.106714","ISSN":"1566-1199","language":"English","source":"Scopus","title":"Optimization of tail state Urbach energy enables efficient organic solar cells and perovskite/organic tandem solar cells","volume":"113","author":[{"family":"Tian","given":"S."},{"family":"Huang","given":"T."},{"family":"Han","given":"F."},{"family":"Wang","given":"F."},{"family":"Tan","given":"Z."},{"family":"Bai","given":"Y."}],"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[41]</w:t>
            </w:r>
            <w:r w:rsidRPr="00B55044">
              <w:rPr>
                <w:rFonts w:eastAsia="Times New Roman"/>
                <w:color w:val="0000FF"/>
                <w:sz w:val="16"/>
                <w:szCs w:val="16"/>
              </w:rPr>
              <w:fldChar w:fldCharType="end"/>
            </w:r>
          </w:p>
        </w:tc>
      </w:tr>
      <w:tr w:rsidR="00D47774" w:rsidRPr="00B55044" w14:paraId="16B7224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2F3951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71</w:t>
            </w:r>
          </w:p>
        </w:tc>
        <w:tc>
          <w:tcPr>
            <w:tcW w:w="1525" w:type="pct"/>
            <w:tcBorders>
              <w:top w:val="single" w:sz="4" w:space="0" w:color="auto"/>
              <w:left w:val="nil"/>
              <w:bottom w:val="single" w:sz="4" w:space="0" w:color="auto"/>
              <w:right w:val="nil"/>
            </w:tcBorders>
            <w:shd w:val="clear" w:color="auto" w:fill="auto"/>
            <w:noWrap/>
            <w:vAlign w:val="bottom"/>
            <w:hideMark/>
          </w:tcPr>
          <w:p w14:paraId="15AA922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4BB6C2D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PM6:Y7:PC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3D5E24B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5FB3ACE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27.55</w:t>
            </w:r>
          </w:p>
        </w:tc>
        <w:tc>
          <w:tcPr>
            <w:tcW w:w="378" w:type="pct"/>
            <w:tcBorders>
              <w:top w:val="single" w:sz="4" w:space="0" w:color="auto"/>
              <w:left w:val="nil"/>
              <w:bottom w:val="single" w:sz="4" w:space="0" w:color="auto"/>
              <w:right w:val="nil"/>
            </w:tcBorders>
            <w:shd w:val="clear" w:color="auto" w:fill="auto"/>
            <w:noWrap/>
            <w:vAlign w:val="bottom"/>
            <w:hideMark/>
          </w:tcPr>
          <w:p w14:paraId="0AFC7EF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73.46</w:t>
            </w:r>
          </w:p>
        </w:tc>
        <w:tc>
          <w:tcPr>
            <w:tcW w:w="381" w:type="pct"/>
            <w:tcBorders>
              <w:top w:val="single" w:sz="4" w:space="0" w:color="auto"/>
              <w:left w:val="nil"/>
              <w:bottom w:val="single" w:sz="4" w:space="0" w:color="auto"/>
              <w:right w:val="nil"/>
            </w:tcBorders>
            <w:shd w:val="clear" w:color="auto" w:fill="auto"/>
            <w:noWrap/>
            <w:vAlign w:val="bottom"/>
            <w:hideMark/>
          </w:tcPr>
          <w:p w14:paraId="139ED4C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16.98</w:t>
            </w:r>
          </w:p>
        </w:tc>
        <w:tc>
          <w:tcPr>
            <w:tcW w:w="378" w:type="pct"/>
            <w:tcBorders>
              <w:top w:val="single" w:sz="4" w:space="0" w:color="auto"/>
              <w:left w:val="nil"/>
              <w:bottom w:val="single" w:sz="4" w:space="0" w:color="auto"/>
              <w:right w:val="nil"/>
            </w:tcBorders>
            <w:shd w:val="clear" w:color="auto" w:fill="auto"/>
            <w:noWrap/>
            <w:vAlign w:val="bottom"/>
            <w:hideMark/>
          </w:tcPr>
          <w:p w14:paraId="4F554EA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{"citationID":"0qWuESQr","properties":{"formattedCitation":"[42]","plainCitation":"[42]","noteIndex":0},"citationItems":[{"id":617,"uris":["http://zotero.org/users/12909065/items/KF3E8Y9T"],"itemData":{"id":617,"type":"article-journal","abstract":"A new nonfullerene acceptor (NFA), BTA-ERh, was synthesized and integrated into a PM6:Y7:PC71BM ternary system to regulate the blend film morphology for enhanced device performance. Due to BTA-ERh’s good miscibility with host active blend films, an optimized film morphology was obtained with appropriate phase separation and fine-tuning of film crystallinity, which ultimately resulted in efficient exciton dissociation, charge transport, lower recombination loss, and decreased trap-state density. The resulting additive-free quaternary devices achieved a remarkable efficiency of 18.90%, with a high voltage, fill factor, and current density of 0.87 V, 76.32%, and 28.60 mA cm-2, respectively. By adding less of a new small molecule with high crystallinity, the favorable nanomorphology shape of blend films containing NFAs might be adjusted. Consequently, this strategy can enhance photovoltaic device performance for cutting-edge NFA-based organic solar cells (OSCs). In contrast, the additive-free OSCs exhibited good operational stability. More importantly, large-area modules with the quaternary device showed a remarkable efficiency of 12.20%, with an area as high as 55 cm2 (substrate size, 100 cm2) in an air atmosphere via D-bar coating. These results highlight the enormous research potential for a multicomponent strategy for future additive-free OSC applications. © 2023 American Chemical Society.","archive":"Scopus","container-title":"ACS Applied Materials and Interfaces","DOI":"10.1021/acsami.3c01121","ISSN":"1944-8244","issue":"15","language":"English","page":"19307-19318","source":"Scopus","title":"Finely Tuned Molecular Packing Realized by a New Rhodanine-Based Acceptor Enabling Excellent Additive-Free Small- and Large-Area Organic Photovoltaic Devices Approaching 19 and 12.20% Efficiencies","volume":"15","author":[{"family":"Gokulnath","given":"T."},{"family":"Kim","given":"J."},{"family":"Kim","given":"H."},{"family":"Park","given":"J."},{"family":"Song","given":"D."},{"family":"Park","given":"H.-Y."},{"family":"Kumaresan","given":"R."},{"family":"Kim","given":"Y.Y."},{"family":"Yoon","given":"J."},{"family":"Jin","given":"S.-H."}],"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[42]</w:t>
            </w:r>
            <w:r w:rsidRPr="00B55044">
              <w:rPr>
                <w:rFonts w:eastAsia="Times New Roman"/>
                <w:color w:val="0000FF"/>
                <w:sz w:val="16"/>
                <w:szCs w:val="16"/>
              </w:rPr>
              <w:fldChar w:fldCharType="end"/>
            </w:r>
          </w:p>
        </w:tc>
      </w:tr>
      <w:tr w:rsidR="00D47774" w:rsidRPr="00B55044" w14:paraId="6DD6512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AAACDD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lastRenderedPageBreak/>
              <w:t>72</w:t>
            </w:r>
          </w:p>
        </w:tc>
        <w:tc>
          <w:tcPr>
            <w:tcW w:w="1525" w:type="pct"/>
            <w:tcBorders>
              <w:top w:val="single" w:sz="4" w:space="0" w:color="auto"/>
              <w:left w:val="nil"/>
              <w:bottom w:val="single" w:sz="4" w:space="0" w:color="auto"/>
              <w:right w:val="nil"/>
            </w:tcBorders>
            <w:shd w:val="clear" w:color="auto" w:fill="auto"/>
            <w:noWrap/>
            <w:vAlign w:val="bottom"/>
            <w:hideMark/>
          </w:tcPr>
          <w:p w14:paraId="55A6A47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7500456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PM6:Y7:BTA-Erh</w:t>
            </w:r>
          </w:p>
        </w:tc>
        <w:tc>
          <w:tcPr>
            <w:tcW w:w="379" w:type="pct"/>
            <w:tcBorders>
              <w:top w:val="single" w:sz="4" w:space="0" w:color="auto"/>
              <w:left w:val="nil"/>
              <w:bottom w:val="single" w:sz="4" w:space="0" w:color="auto"/>
              <w:right w:val="nil"/>
            </w:tcBorders>
            <w:shd w:val="clear" w:color="auto" w:fill="auto"/>
            <w:noWrap/>
            <w:vAlign w:val="bottom"/>
            <w:hideMark/>
          </w:tcPr>
          <w:p w14:paraId="2672F73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238252B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26.96</w:t>
            </w:r>
          </w:p>
        </w:tc>
        <w:tc>
          <w:tcPr>
            <w:tcW w:w="378" w:type="pct"/>
            <w:tcBorders>
              <w:top w:val="single" w:sz="4" w:space="0" w:color="auto"/>
              <w:left w:val="nil"/>
              <w:bottom w:val="single" w:sz="4" w:space="0" w:color="auto"/>
              <w:right w:val="nil"/>
            </w:tcBorders>
            <w:shd w:val="clear" w:color="auto" w:fill="auto"/>
            <w:noWrap/>
            <w:vAlign w:val="bottom"/>
            <w:hideMark/>
          </w:tcPr>
          <w:p w14:paraId="59AB311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73.85</w:t>
            </w:r>
          </w:p>
        </w:tc>
        <w:tc>
          <w:tcPr>
            <w:tcW w:w="381" w:type="pct"/>
            <w:tcBorders>
              <w:top w:val="single" w:sz="4" w:space="0" w:color="auto"/>
              <w:left w:val="nil"/>
              <w:bottom w:val="single" w:sz="4" w:space="0" w:color="auto"/>
              <w:right w:val="nil"/>
            </w:tcBorders>
            <w:shd w:val="clear" w:color="auto" w:fill="auto"/>
            <w:noWrap/>
            <w:vAlign w:val="bottom"/>
            <w:hideMark/>
          </w:tcPr>
          <w:p w14:paraId="1787CCB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17.15</w:t>
            </w:r>
          </w:p>
        </w:tc>
        <w:tc>
          <w:tcPr>
            <w:tcW w:w="378" w:type="pct"/>
            <w:tcBorders>
              <w:top w:val="single" w:sz="4" w:space="0" w:color="auto"/>
              <w:left w:val="nil"/>
              <w:bottom w:val="single" w:sz="4" w:space="0" w:color="auto"/>
              <w:right w:val="nil"/>
            </w:tcBorders>
            <w:shd w:val="clear" w:color="auto" w:fill="auto"/>
            <w:noWrap/>
            <w:vAlign w:val="bottom"/>
            <w:hideMark/>
          </w:tcPr>
          <w:p w14:paraId="4FC5AEF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{"citationID":"mQ6LWXg2","properties":{"formattedCitation":"[42]","plainCitation":"[42]","noteIndex":0},"citationItems":[{"id":617,"uris":["http://zotero.org/users/12909065/items/KF3E8Y9T"],"itemData":{"id":617,"type":"article-journal","abstract":"A new nonfullerene acceptor (NFA), BTA-ERh, was synthesized and integrated into a PM6:Y7:PC71BM ternary system to regulate the blend film morphology for enhanced device performance. Due to BTA-ERh’s good miscibility with host active blend films, an optimized film morphology was obtained with appropriate phase separation and fine-tuning of film crystallinity, which ultimately resulted in efficient exciton dissociation, charge transport, lower recombination loss, and decreased trap-state density. The resulting additive-free quaternary devices achieved a remarkable efficiency of 18.90%, with a high voltage, fill factor, and current density of 0.87 V, 76.32%, and 28.60 mA cm-2, respectively. By adding less of a new small molecule with high crystallinity, the favorable nanomorphology shape of blend films containing NFAs might be adjusted. Consequently, this strategy can enhance photovoltaic device performance for cutting-edge NFA-based organic solar cells (OSCs). In contrast, the additive-free OSCs exhibited good operational stability. More importantly, large-area modules with the quaternary device showed a remarkable efficiency of 12.20%, with an area as high as 55 cm2 (substrate size, 100 cm2) in an air atmosphere via D-bar coating. These results highlight the enormous research potential for a multicomponent strategy for future additive-free OSC applications. © 2023 American Chemical Society.","archive":"Scopus","container-title":"ACS Applied Materials and Interfaces","DOI":"10.1021/acsami.3c01121","ISSN":"1944-8244","issue":"15","language":"English","page":"19307-19318","source":"Scopus","title":"Finely Tuned Molecular Packing Realized by a New Rhodanine-Based Acceptor Enabling Excellent Additive-Free Small- and Large-Area Organic Photovoltaic Devices Approaching 19 and 12.20% Efficiencies","volume":"15","author":[{"family":"Gokulnath","given":"T."},{"family":"Kim","given":"J."},{"family":"Kim","given":"H."},{"family":"Park","given":"J."},{"family":"Song","given":"D."},{"family":"Park","given":"H.-Y."},{"family":"Kumaresan","given":"R."},{"family":"Kim","given":"Y.Y."},{"family":"Yoon","given":"J."},{"family":"Jin","given":"S.-H."}],"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[42]</w:t>
            </w:r>
            <w:r w:rsidRPr="00B55044">
              <w:rPr>
                <w:rFonts w:eastAsia="Times New Roman"/>
                <w:color w:val="0000FF"/>
                <w:sz w:val="16"/>
                <w:szCs w:val="16"/>
              </w:rPr>
              <w:fldChar w:fldCharType="end"/>
            </w:r>
          </w:p>
        </w:tc>
      </w:tr>
      <w:tr w:rsidR="00D47774" w:rsidRPr="00B55044" w14:paraId="15CD21C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1F46F6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73</w:t>
            </w:r>
          </w:p>
        </w:tc>
        <w:tc>
          <w:tcPr>
            <w:tcW w:w="1525" w:type="pct"/>
            <w:tcBorders>
              <w:top w:val="single" w:sz="4" w:space="0" w:color="auto"/>
              <w:left w:val="nil"/>
              <w:bottom w:val="single" w:sz="4" w:space="0" w:color="auto"/>
              <w:right w:val="nil"/>
            </w:tcBorders>
            <w:shd w:val="clear" w:color="auto" w:fill="auto"/>
            <w:noWrap/>
            <w:vAlign w:val="bottom"/>
            <w:hideMark/>
          </w:tcPr>
          <w:p w14:paraId="2962B6A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4B05342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PM6:L8-BO:BTP-S9</w:t>
            </w:r>
          </w:p>
        </w:tc>
        <w:tc>
          <w:tcPr>
            <w:tcW w:w="379" w:type="pct"/>
            <w:tcBorders>
              <w:top w:val="single" w:sz="4" w:space="0" w:color="auto"/>
              <w:left w:val="nil"/>
              <w:bottom w:val="single" w:sz="4" w:space="0" w:color="auto"/>
              <w:right w:val="nil"/>
            </w:tcBorders>
            <w:shd w:val="clear" w:color="auto" w:fill="auto"/>
            <w:noWrap/>
            <w:vAlign w:val="bottom"/>
            <w:hideMark/>
          </w:tcPr>
          <w:p w14:paraId="21AD903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0.872</w:t>
            </w:r>
          </w:p>
        </w:tc>
        <w:tc>
          <w:tcPr>
            <w:tcW w:w="379" w:type="pct"/>
            <w:tcBorders>
              <w:top w:val="single" w:sz="4" w:space="0" w:color="auto"/>
              <w:left w:val="nil"/>
              <w:bottom w:val="single" w:sz="4" w:space="0" w:color="auto"/>
              <w:right w:val="nil"/>
            </w:tcBorders>
            <w:shd w:val="clear" w:color="auto" w:fill="auto"/>
            <w:noWrap/>
            <w:vAlign w:val="bottom"/>
            <w:hideMark/>
          </w:tcPr>
          <w:p w14:paraId="1A82204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27.03</w:t>
            </w:r>
          </w:p>
        </w:tc>
        <w:tc>
          <w:tcPr>
            <w:tcW w:w="378" w:type="pct"/>
            <w:tcBorders>
              <w:top w:val="single" w:sz="4" w:space="0" w:color="auto"/>
              <w:left w:val="nil"/>
              <w:bottom w:val="single" w:sz="4" w:space="0" w:color="auto"/>
              <w:right w:val="nil"/>
            </w:tcBorders>
            <w:shd w:val="clear" w:color="auto" w:fill="auto"/>
            <w:noWrap/>
            <w:vAlign w:val="bottom"/>
            <w:hideMark/>
          </w:tcPr>
          <w:p w14:paraId="0D1C907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80</w:t>
            </w:r>
          </w:p>
        </w:tc>
        <w:tc>
          <w:tcPr>
            <w:tcW w:w="381" w:type="pct"/>
            <w:tcBorders>
              <w:top w:val="single" w:sz="4" w:space="0" w:color="auto"/>
              <w:left w:val="nil"/>
              <w:bottom w:val="single" w:sz="4" w:space="0" w:color="auto"/>
              <w:right w:val="nil"/>
            </w:tcBorders>
            <w:shd w:val="clear" w:color="auto" w:fill="auto"/>
            <w:noWrap/>
            <w:vAlign w:val="bottom"/>
            <w:hideMark/>
          </w:tcPr>
          <w:p w14:paraId="1BDF15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18.84</w:t>
            </w:r>
          </w:p>
        </w:tc>
        <w:tc>
          <w:tcPr>
            <w:tcW w:w="378" w:type="pct"/>
            <w:tcBorders>
              <w:top w:val="single" w:sz="4" w:space="0" w:color="auto"/>
              <w:left w:val="nil"/>
              <w:bottom w:val="single" w:sz="4" w:space="0" w:color="auto"/>
              <w:right w:val="nil"/>
            </w:tcBorders>
            <w:shd w:val="clear" w:color="auto" w:fill="auto"/>
            <w:noWrap/>
            <w:vAlign w:val="bottom"/>
            <w:hideMark/>
          </w:tcPr>
          <w:p w14:paraId="583C210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{"citationID":"T7qdyaCO","properties":{"formattedCitation":"[43]","plainCitation":"[43]","noteIndex":0},"citationItems":[{"id":615,"uris":["http://zotero.org/users/12909065/items/STEAZSRV"],"itemData":{"id":615,"type":"article-journal","abstract":"Simultaneously achieving improvements in power conversion efficiency (PCE) and stability is the main task of the current development stage of organic solar cells (OSCs). This work reports a symmetry–asymmetry dual-acceptor (SADA) strategy to construct ternary devices, which is found to be feasible for increasing both the PCE and the operational lifetime of OSCs. In this contribution, the symmetric acceptor L8-BO and the asymmetric acceptor BTP-S9 are blended in equal proportions with polymer donor PM6 for the consideration of absorption spectrum complementarity and cascade energetic alignment. In addition, the features of crystallinity and miscibility of the dual-acceptor deliver optimized morphology lead to a high PCE of 18.84%. In addition, the asymmetric acceptor BTP-S9 with a larger dipole moment shows tighter molecular stacking and longer crystal correlation length, which favor intrinsic molecular photostability, and further consolidate the operational lifetime of OSCs when coordinated with L8-BO. This work demonstrates the efficacy of the SADA strategy for constructing efficient and stable OSCs. © 2023 Wiley-VCH GmbH.","archive":"Scopus","container-title":"Advanced Energy Materials","DOI":"10.1002/aenm.202204154","ISSN":"1614-6832","issue":"20","language":"English","source":"Scopus","title":"Simultaneous Improvements in Efficiency and Stability of Organic Solar Cells via a Symmetric-Asymmetric Dual-Acceptor Strategy","volume":"13","author":[{"family":"He","given":"C."},{"family":"Shen","given":"Q."},{"family":"Wu","given":"B."},{"family":"Gao","given":"Y."},{"family":"Li","given":"S."},{"family":"Min","given":"J."},{"family":"Ma","given":"W."},{"family":"Zuo","given":"L."},{"family":"Chen","given":"H."}],"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[43]</w:t>
            </w:r>
            <w:r w:rsidRPr="00B55044">
              <w:rPr>
                <w:rFonts w:eastAsia="Times New Roman"/>
                <w:color w:val="0000FF"/>
                <w:sz w:val="16"/>
                <w:szCs w:val="16"/>
              </w:rPr>
              <w:fldChar w:fldCharType="end"/>
            </w:r>
          </w:p>
        </w:tc>
      </w:tr>
      <w:tr w:rsidR="00D47774" w:rsidRPr="00B55044" w14:paraId="39FB8F2F" w14:textId="77777777" w:rsidTr="00242AA5">
        <w:trPr>
          <w:trHeight w:val="368"/>
        </w:trPr>
        <w:tc>
          <w:tcPr>
            <w:tcW w:w="293" w:type="pct"/>
            <w:tcBorders>
              <w:top w:val="single" w:sz="4" w:space="0" w:color="auto"/>
              <w:left w:val="nil"/>
              <w:bottom w:val="single" w:sz="4" w:space="0" w:color="auto"/>
              <w:right w:val="nil"/>
            </w:tcBorders>
            <w:shd w:val="clear" w:color="auto" w:fill="auto"/>
            <w:noWrap/>
            <w:hideMark/>
          </w:tcPr>
          <w:p w14:paraId="7994B2C4" w14:textId="77777777" w:rsidR="003D460F" w:rsidRPr="00B55044" w:rsidRDefault="003D460F" w:rsidP="00F26985">
            <w:pPr>
              <w:spacing w:line="360" w:lineRule="auto"/>
              <w:rPr>
                <w:sz w:val="16"/>
                <w:szCs w:val="16"/>
              </w:rPr>
            </w:pPr>
          </w:p>
          <w:p w14:paraId="589AF83F" w14:textId="77777777" w:rsidR="003D460F" w:rsidRPr="00B55044" w:rsidRDefault="003D460F" w:rsidP="00F26985">
            <w:pPr>
              <w:spacing w:line="360" w:lineRule="auto"/>
              <w:rPr>
                <w:rFonts w:eastAsia="Times New Roman"/>
                <w:color w:val="000000"/>
                <w:sz w:val="16"/>
                <w:szCs w:val="16"/>
              </w:rPr>
            </w:pPr>
            <w:r w:rsidRPr="00B55044">
              <w:rPr>
                <w:sz w:val="16"/>
                <w:szCs w:val="16"/>
              </w:rPr>
              <w:t>74</w:t>
            </w:r>
          </w:p>
        </w:tc>
        <w:tc>
          <w:tcPr>
            <w:tcW w:w="1525" w:type="pct"/>
            <w:tcBorders>
              <w:top w:val="single" w:sz="4" w:space="0" w:color="auto"/>
              <w:left w:val="nil"/>
              <w:bottom w:val="single" w:sz="4" w:space="0" w:color="auto"/>
              <w:right w:val="nil"/>
            </w:tcBorders>
            <w:shd w:val="clear" w:color="auto" w:fill="auto"/>
            <w:noWrap/>
            <w:hideMark/>
          </w:tcPr>
          <w:p w14:paraId="4C326A38" w14:textId="77777777" w:rsidR="003D460F" w:rsidRPr="00B55044" w:rsidRDefault="003D460F" w:rsidP="00F26985">
            <w:pPr>
              <w:spacing w:line="360" w:lineRule="auto"/>
              <w:rPr>
                <w:sz w:val="16"/>
                <w:szCs w:val="16"/>
              </w:rPr>
            </w:pPr>
          </w:p>
          <w:p w14:paraId="4521BE4F" w14:textId="77777777" w:rsidR="003D460F" w:rsidRPr="00B55044" w:rsidRDefault="003D460F" w:rsidP="00F26985">
            <w:pPr>
              <w:spacing w:line="360" w:lineRule="auto"/>
              <w:rPr>
                <w:rFonts w:eastAsia="Times New Roman"/>
                <w:sz w:val="16"/>
                <w:szCs w:val="16"/>
              </w:rPr>
            </w:pPr>
            <w:r w:rsidRPr="00B55044">
              <w:rPr>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3A8EBFF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PM6:PYT-1S1Se: PYT-1S1Se-4Cl</w:t>
            </w:r>
          </w:p>
        </w:tc>
        <w:tc>
          <w:tcPr>
            <w:tcW w:w="379" w:type="pct"/>
            <w:tcBorders>
              <w:top w:val="single" w:sz="4" w:space="0" w:color="auto"/>
              <w:left w:val="nil"/>
              <w:bottom w:val="single" w:sz="4" w:space="0" w:color="auto"/>
              <w:right w:val="nil"/>
            </w:tcBorders>
            <w:shd w:val="clear" w:color="auto" w:fill="auto"/>
            <w:noWrap/>
            <w:vAlign w:val="bottom"/>
            <w:hideMark/>
          </w:tcPr>
          <w:p w14:paraId="1167CD8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0.902</w:t>
            </w:r>
          </w:p>
        </w:tc>
        <w:tc>
          <w:tcPr>
            <w:tcW w:w="379" w:type="pct"/>
            <w:tcBorders>
              <w:top w:val="single" w:sz="4" w:space="0" w:color="auto"/>
              <w:left w:val="nil"/>
              <w:bottom w:val="single" w:sz="4" w:space="0" w:color="auto"/>
              <w:right w:val="nil"/>
            </w:tcBorders>
            <w:shd w:val="clear" w:color="auto" w:fill="auto"/>
            <w:noWrap/>
            <w:vAlign w:val="bottom"/>
            <w:hideMark/>
          </w:tcPr>
          <w:p w14:paraId="5643DF7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25.5</w:t>
            </w:r>
          </w:p>
        </w:tc>
        <w:tc>
          <w:tcPr>
            <w:tcW w:w="378" w:type="pct"/>
            <w:tcBorders>
              <w:top w:val="single" w:sz="4" w:space="0" w:color="auto"/>
              <w:left w:val="nil"/>
              <w:bottom w:val="single" w:sz="4" w:space="0" w:color="auto"/>
              <w:right w:val="nil"/>
            </w:tcBorders>
            <w:shd w:val="clear" w:color="auto" w:fill="auto"/>
            <w:noWrap/>
            <w:vAlign w:val="bottom"/>
            <w:hideMark/>
          </w:tcPr>
          <w:p w14:paraId="04E015D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77.12</w:t>
            </w:r>
          </w:p>
        </w:tc>
        <w:tc>
          <w:tcPr>
            <w:tcW w:w="381" w:type="pct"/>
            <w:tcBorders>
              <w:top w:val="single" w:sz="4" w:space="0" w:color="auto"/>
              <w:left w:val="nil"/>
              <w:bottom w:val="single" w:sz="4" w:space="0" w:color="auto"/>
              <w:right w:val="nil"/>
            </w:tcBorders>
            <w:shd w:val="clear" w:color="auto" w:fill="auto"/>
            <w:noWrap/>
            <w:vAlign w:val="bottom"/>
            <w:hideMark/>
          </w:tcPr>
          <w:p w14:paraId="23B2DBD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17.74</w:t>
            </w:r>
          </w:p>
        </w:tc>
        <w:tc>
          <w:tcPr>
            <w:tcW w:w="378" w:type="pct"/>
            <w:tcBorders>
              <w:top w:val="single" w:sz="4" w:space="0" w:color="auto"/>
              <w:left w:val="nil"/>
              <w:bottom w:val="single" w:sz="4" w:space="0" w:color="auto"/>
              <w:right w:val="nil"/>
            </w:tcBorders>
            <w:shd w:val="clear" w:color="auto" w:fill="auto"/>
            <w:noWrap/>
            <w:vAlign w:val="bottom"/>
            <w:hideMark/>
          </w:tcPr>
          <w:p w14:paraId="1FA938F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{"citationID":"7UOhm1Ca","properties":{"formattedCitation":"[44]","plainCitation":"[44]","noteIndex":0},"citationItems":[{"id":614,"uris":["http://zotero.org/users/12909065/items/3XFFAA5F"],"itemData":{"id":614,"type":"article-journal","abstract":"Obtaining an admirably modified vertical phase separation of the active layer for all-polymer solar cells (all-PSCs) to facilitate charge generation, charge transfer and transport properties are a prerequisite for achieving high performance. Herein, the active layer of all-PSCs is finely manipulated by combining a ternary blend strategy with a layer-by-layer (LbL) process. Based on the LbL-processed PM6/PYT-1S1Se host binary all-PSCs, a chlorinated polymer acceptor PYT-1S1Se-4Cl is designed and introduced into the host system for rationally controlling blend morphology with ordered molecular stacking and suitable vertical distribution. The optimized bulk microstructure of the ternary system is not only beneficial to the charge generation and charge transport properties, but also can significantly reduce the nonradiative energy loss that occurs in the LbL-type ternary blend. Thus, the LbL-type PM6/(PYT-1S1Se:PYT-1S1Se-4Cl) ternary all-PSCs exhibit a promising power conversion efficiency (PCE) of 17.74%, which is higher than the corresponding binary systems (PCE = 16.86% for PM6/PYT-1S1Se and PCE = 15.83% for PM6/PYT-1S1Se-4Cl), indicating the special merits of material design and processing technology. Overall, a promising combinatorial method for the morphological regulation of all-polymer systems is demonstrated that contributes to enhanced efficiency. © 2023 Wiley-VCH GmbH.","archive":"Scopus","container-title":"Solar RRL","DOI":"10.1002/solr.202300064","ISSN":"2367-198X","issue":"11","language":"English","source":"Scopus","title":"Layer-by-Layer-Processed Ternary All-Polymer Organic Solar Cells with 17.74% Efficiency Enabled by Introducing a Designed Narrow-Bandgap Guest Polymer Acceptor","volume":"7","author":[{"family":"Wu","given":"X."},{"family":"Yang","given":"X."},{"family":"Shao","given":"Y."},{"family":"Gao","given":"Y."},{"family":"Wan","given":"J."},{"family":"Ponomarenko","given":"S."},{"family":"Luponosov","given":"Y."},{"family":"Sun","given":"R."},{"family":"Min","given":"J."}],"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[44]</w:t>
            </w:r>
            <w:r w:rsidRPr="00B55044">
              <w:rPr>
                <w:rFonts w:eastAsia="Times New Roman"/>
                <w:color w:val="0000FF"/>
                <w:sz w:val="16"/>
                <w:szCs w:val="16"/>
              </w:rPr>
              <w:fldChar w:fldCharType="end"/>
            </w:r>
          </w:p>
        </w:tc>
      </w:tr>
      <w:tr w:rsidR="00D47774" w:rsidRPr="00B55044" w14:paraId="7BDDB1F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2B0D90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75</w:t>
            </w:r>
          </w:p>
        </w:tc>
        <w:tc>
          <w:tcPr>
            <w:tcW w:w="1525" w:type="pct"/>
            <w:tcBorders>
              <w:top w:val="single" w:sz="4" w:space="0" w:color="auto"/>
              <w:left w:val="nil"/>
              <w:bottom w:val="single" w:sz="4" w:space="0" w:color="auto"/>
              <w:right w:val="nil"/>
            </w:tcBorders>
            <w:shd w:val="clear" w:color="auto" w:fill="auto"/>
            <w:noWrap/>
            <w:vAlign w:val="bottom"/>
            <w:hideMark/>
          </w:tcPr>
          <w:p w14:paraId="55831BB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ITO/PEDOT:PSS/AL/PNDIT-F3N-Br/Ag</w:t>
            </w:r>
          </w:p>
        </w:tc>
        <w:tc>
          <w:tcPr>
            <w:tcW w:w="1288" w:type="pct"/>
            <w:tcBorders>
              <w:top w:val="single" w:sz="4" w:space="0" w:color="auto"/>
              <w:left w:val="nil"/>
              <w:bottom w:val="single" w:sz="4" w:space="0" w:color="auto"/>
              <w:right w:val="nil"/>
            </w:tcBorders>
            <w:shd w:val="clear" w:color="auto" w:fill="auto"/>
            <w:noWrap/>
            <w:vAlign w:val="bottom"/>
            <w:hideMark/>
          </w:tcPr>
          <w:p w14:paraId="21CC09F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PM6:BTP-eC9:BTP-ICBCF3</w:t>
            </w:r>
          </w:p>
        </w:tc>
        <w:tc>
          <w:tcPr>
            <w:tcW w:w="379" w:type="pct"/>
            <w:tcBorders>
              <w:top w:val="single" w:sz="4" w:space="0" w:color="auto"/>
              <w:left w:val="nil"/>
              <w:bottom w:val="single" w:sz="4" w:space="0" w:color="auto"/>
              <w:right w:val="nil"/>
            </w:tcBorders>
            <w:shd w:val="clear" w:color="auto" w:fill="auto"/>
            <w:noWrap/>
            <w:vAlign w:val="bottom"/>
            <w:hideMark/>
          </w:tcPr>
          <w:p w14:paraId="2BA70D3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0.853</w:t>
            </w:r>
          </w:p>
        </w:tc>
        <w:tc>
          <w:tcPr>
            <w:tcW w:w="379" w:type="pct"/>
            <w:tcBorders>
              <w:top w:val="single" w:sz="4" w:space="0" w:color="auto"/>
              <w:left w:val="nil"/>
              <w:bottom w:val="single" w:sz="4" w:space="0" w:color="auto"/>
              <w:right w:val="nil"/>
            </w:tcBorders>
            <w:shd w:val="clear" w:color="auto" w:fill="auto"/>
            <w:noWrap/>
            <w:vAlign w:val="bottom"/>
            <w:hideMark/>
          </w:tcPr>
          <w:p w14:paraId="42B2D1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27.4</w:t>
            </w:r>
          </w:p>
        </w:tc>
        <w:tc>
          <w:tcPr>
            <w:tcW w:w="378" w:type="pct"/>
            <w:tcBorders>
              <w:top w:val="single" w:sz="4" w:space="0" w:color="auto"/>
              <w:left w:val="nil"/>
              <w:bottom w:val="single" w:sz="4" w:space="0" w:color="auto"/>
              <w:right w:val="nil"/>
            </w:tcBorders>
            <w:shd w:val="clear" w:color="auto" w:fill="auto"/>
            <w:noWrap/>
            <w:vAlign w:val="bottom"/>
            <w:hideMark/>
          </w:tcPr>
          <w:p w14:paraId="611E98A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77.8</w:t>
            </w:r>
          </w:p>
        </w:tc>
        <w:tc>
          <w:tcPr>
            <w:tcW w:w="381" w:type="pct"/>
            <w:tcBorders>
              <w:top w:val="single" w:sz="4" w:space="0" w:color="auto"/>
              <w:left w:val="nil"/>
              <w:bottom w:val="single" w:sz="4" w:space="0" w:color="auto"/>
              <w:right w:val="nil"/>
            </w:tcBorders>
            <w:shd w:val="clear" w:color="auto" w:fill="auto"/>
            <w:noWrap/>
            <w:vAlign w:val="bottom"/>
            <w:hideMark/>
          </w:tcPr>
          <w:p w14:paraId="6DD3AEA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18.2</w:t>
            </w:r>
          </w:p>
        </w:tc>
        <w:tc>
          <w:tcPr>
            <w:tcW w:w="378" w:type="pct"/>
            <w:tcBorders>
              <w:top w:val="single" w:sz="4" w:space="0" w:color="auto"/>
              <w:left w:val="nil"/>
              <w:bottom w:val="single" w:sz="4" w:space="0" w:color="auto"/>
              <w:right w:val="nil"/>
            </w:tcBorders>
            <w:shd w:val="clear" w:color="auto" w:fill="auto"/>
            <w:noWrap/>
            <w:vAlign w:val="bottom"/>
            <w:hideMark/>
          </w:tcPr>
          <w:p w14:paraId="6CE081B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{"citationID":"wGQ4Q0cM","properties":{"formattedCitation":"[45]","plainCitation":"[45]","noteIndex":0},"citationItems":[{"id":613,"uris":["http://zotero.org/users/12909065/items/ZXACDU4Q"],"itemData":{"id":613,"type":"article-journal","abstract":"The relatively large non-radiative recombination energy loss (ΔE3) is the main source of energy losses in organic solar cells (OSCs). The energetic disorder plays a crucial role in non-radiative energy losses; however, reducing the energetic disorder by modifying terminal groups has rarely been investigated. Herein, four acceptors, BTP-ICB1F, BTP-ICB2F, BTP-ICB3F, and BTP-ICBCF3, with fluorinated phenyl terminal groups are reported at identified substitution sites. The theoretical and experimental results show that this system possesses smaller energetic disorder than the generally-used Y6 acceptor due to the strong electron polarization effect arising from tight, 3D molecular packing. Therefore, the PM6:BTP-ICBCF3 combination achieves high efficiency of 17.8% with high open circuit voltage (VOC) of 0.93 V and ultralow ΔE3 of 0.18 eV, which is the smallest ΔE3 for the binary OSCs with power conversion efficiency (PCEs) over 17% reported to date. Lastly, using the ternary strategy by incorporating the BTP-ICBCF3 acceptor into PM6:BTP-eC9, a higher PCE of 18.2% is achieved with enhanced VOC. The results imply that introducing new terminal groups in acceptors is promising for reducing energetic disorder and energy losses. © 2023 Wiley-VCH GmbH.","archive":"Scopus","container-title":"Advanced Energy Materials","DOI":"10.1002/aenm.202300458","ISSN":"1614-6832","issue":"19","language":"English","source":"Scopus","title":"Small Energetic Disorder Enables Ultralow Energy Losses in Non-Fullerene Organic Solar Cells","volume":"13","author":[{"family":"Shi","given":"Y."},{"family":"Zhu","given":"L."},{"family":"Yan","given":"Y."},{"family":"Xie","given":"M."},{"family":"Liang","given":"G."},{"family":"Qiao","given":"J."},{"family":"Zhang","given":"J."},{"family":"Hao","given":"X."},{"family":"Lu","given":"K."},{"family":"Wei","given":"Z."}],"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[45]</w:t>
            </w:r>
            <w:r w:rsidRPr="00B55044">
              <w:rPr>
                <w:rFonts w:eastAsia="Times New Roman"/>
                <w:color w:val="0000FF"/>
                <w:sz w:val="16"/>
                <w:szCs w:val="16"/>
              </w:rPr>
              <w:fldChar w:fldCharType="end"/>
            </w:r>
          </w:p>
        </w:tc>
      </w:tr>
      <w:tr w:rsidR="00D47774" w:rsidRPr="00B55044" w14:paraId="71EDF65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301DC4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76</w:t>
            </w:r>
          </w:p>
        </w:tc>
        <w:tc>
          <w:tcPr>
            <w:tcW w:w="1525" w:type="pct"/>
            <w:tcBorders>
              <w:top w:val="single" w:sz="4" w:space="0" w:color="auto"/>
              <w:left w:val="nil"/>
              <w:bottom w:val="single" w:sz="4" w:space="0" w:color="auto"/>
              <w:right w:val="nil"/>
            </w:tcBorders>
            <w:shd w:val="clear" w:color="auto" w:fill="auto"/>
            <w:noWrap/>
            <w:vAlign w:val="bottom"/>
            <w:hideMark/>
          </w:tcPr>
          <w:p w14:paraId="796D420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ITO/PEDOT:PSS/AL/3-PDINO/Ag</w:t>
            </w:r>
          </w:p>
        </w:tc>
        <w:tc>
          <w:tcPr>
            <w:tcW w:w="1288" w:type="pct"/>
            <w:tcBorders>
              <w:top w:val="single" w:sz="4" w:space="0" w:color="auto"/>
              <w:left w:val="nil"/>
              <w:bottom w:val="single" w:sz="4" w:space="0" w:color="auto"/>
              <w:right w:val="nil"/>
            </w:tcBorders>
            <w:shd w:val="clear" w:color="auto" w:fill="auto"/>
            <w:noWrap/>
            <w:vAlign w:val="bottom"/>
            <w:hideMark/>
          </w:tcPr>
          <w:p w14:paraId="6F8AC80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PM6:PCE10-2F:Y6</w:t>
            </w:r>
          </w:p>
        </w:tc>
        <w:tc>
          <w:tcPr>
            <w:tcW w:w="379" w:type="pct"/>
            <w:tcBorders>
              <w:top w:val="single" w:sz="4" w:space="0" w:color="auto"/>
              <w:left w:val="nil"/>
              <w:bottom w:val="single" w:sz="4" w:space="0" w:color="auto"/>
              <w:right w:val="nil"/>
            </w:tcBorders>
            <w:shd w:val="clear" w:color="auto" w:fill="auto"/>
            <w:noWrap/>
            <w:vAlign w:val="bottom"/>
            <w:hideMark/>
          </w:tcPr>
          <w:p w14:paraId="3A28C26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48B5FD9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26.44</w:t>
            </w:r>
          </w:p>
        </w:tc>
        <w:tc>
          <w:tcPr>
            <w:tcW w:w="378" w:type="pct"/>
            <w:tcBorders>
              <w:top w:val="single" w:sz="4" w:space="0" w:color="auto"/>
              <w:left w:val="nil"/>
              <w:bottom w:val="single" w:sz="4" w:space="0" w:color="auto"/>
              <w:right w:val="nil"/>
            </w:tcBorders>
            <w:shd w:val="clear" w:color="auto" w:fill="auto"/>
            <w:noWrap/>
            <w:vAlign w:val="bottom"/>
            <w:hideMark/>
          </w:tcPr>
          <w:p w14:paraId="08CEA1D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75.5</w:t>
            </w:r>
          </w:p>
        </w:tc>
        <w:tc>
          <w:tcPr>
            <w:tcW w:w="381" w:type="pct"/>
            <w:tcBorders>
              <w:top w:val="single" w:sz="4" w:space="0" w:color="auto"/>
              <w:left w:val="nil"/>
              <w:bottom w:val="single" w:sz="4" w:space="0" w:color="auto"/>
              <w:right w:val="nil"/>
            </w:tcBorders>
            <w:shd w:val="clear" w:color="auto" w:fill="auto"/>
            <w:noWrap/>
            <w:vAlign w:val="bottom"/>
            <w:hideMark/>
          </w:tcPr>
          <w:p w14:paraId="7A226A1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16.58</w:t>
            </w:r>
          </w:p>
        </w:tc>
        <w:tc>
          <w:tcPr>
            <w:tcW w:w="378" w:type="pct"/>
            <w:tcBorders>
              <w:top w:val="single" w:sz="4" w:space="0" w:color="auto"/>
              <w:left w:val="nil"/>
              <w:bottom w:val="single" w:sz="4" w:space="0" w:color="auto"/>
              <w:right w:val="nil"/>
            </w:tcBorders>
            <w:shd w:val="clear" w:color="auto" w:fill="auto"/>
            <w:noWrap/>
            <w:vAlign w:val="bottom"/>
            <w:hideMark/>
          </w:tcPr>
          <w:p w14:paraId="154E24F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{"citationID":"XULjmPF1","properties":{"formattedCitation":"[46]","plainCitation":"[46]","noteIndex":0},"citationItems":[{"id":612,"uris":["http://zotero.org/users/12909065/items/KT4SXX2T"],"itemData":{"id":612,"type":"article-journal","abstract":"Semitransparent organic solar cells (ST-OSCs) are an important branch of organic solar cells, which have considerable application prospects in building photovoltaic, smart greenhouses, and clean energy vehicle skylights. However, a compromise between the power conversion efficiency (PCE) and the average visible transmittance (AVT) has been the obstacle in the field of ST-OSCs. Therefore, comprehensive consideration of PCE, AVT and the resulting light utilization efficiency (LUE), is very necessary to objectively evaluate the performance of a ST-OSC device. Herein, we report a facile strategy by combination of the advantages of the highly photovoltaic materials with highly transparent materials to construct high performance ternary active layer for ST-OSCs. Two ternary systems PM6:PCE10-2F:Y6 and PCE10-2F:PM6:Y6 are developed according to their host binary blends PM6:Y6 (w:w = 1:1.2) and PCE10-2F:Y6 (w:w = 1:2.5) respectively. The PCEs of the opaque and transparent devices are observed to be both improved in the ternary systems relative to their corresponding host systems, due to the complementary absorption, optimized morphology and charge dynamics. More importantly, combination of highly photovoltaic materials with highly transparent materials enables a well-balanced PCE and AVT, leading to significantly enhanced LUE. For PM6:PCE10-2F:Y6 devices, simultaneously improved PCE and AVT are obtained. Intriguingly, ST-OSC based on PCE10-2F:PM6:Y6 achieves an impressive PCE of 12.25 % and a high AVT of 36.57 %, which is the highest efficiency for the AVT over 30 %. A maximum LUE of 4.48 % is also a breakthrough of the ST-OSCs without complex photo-coupling layers. These findings demonstrate that combination of the high PCE system with high AVT system is a promising strategy for developing high performance ST-OSCs. © 2022 Elsevier B.V.","archive":"Scopus","container-title":"Chemical Engineering Journal","DOI":"10.1016/j.cej.2022.139081","ISSN":"1385-8947","language":"English","source":"Scopus","title":"Combination of highly photovoltaic and highly transparent materials enables record performance semitransparent organic solar cells","volume":"451","author":[{"family":"Zhao","given":"L."},{"family":"Huang","given":"X."},{"family":"Wang","given":"Y."},{"family":"Young Jeong","given":"S."},{"family":"Huang","given":"B."},{"family":"Deng","given":"J."},{"family":"Liu","given":"J."},{"family":"Cheng","given":"Y."},{"family":"Young Woo","given":"H."},{"family":"Wu","given":"F."},{"family":"Chen","given":"L."},{"family":"Chen","given":"L."}],"issued":{"date-parts":[["2023"]]}}}],"schema":"https://github.com/citation-style-language/schema/raw/master/csl-citation.json"}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[46]</w:t>
            </w:r>
            <w:r w:rsidRPr="00B55044">
              <w:rPr>
                <w:rFonts w:eastAsia="Times New Roman"/>
                <w:color w:val="0000FF"/>
                <w:sz w:val="16"/>
                <w:szCs w:val="16"/>
              </w:rPr>
              <w:fldChar w:fldCharType="end"/>
            </w:r>
          </w:p>
        </w:tc>
      </w:tr>
      <w:tr w:rsidR="00D47774" w:rsidRPr="00B55044" w14:paraId="1FA8C09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10F7DA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77</w:t>
            </w:r>
          </w:p>
        </w:tc>
        <w:tc>
          <w:tcPr>
            <w:tcW w:w="1525" w:type="pct"/>
            <w:tcBorders>
              <w:top w:val="single" w:sz="4" w:space="0" w:color="auto"/>
              <w:left w:val="nil"/>
              <w:bottom w:val="single" w:sz="4" w:space="0" w:color="auto"/>
              <w:right w:val="nil"/>
            </w:tcBorders>
            <w:shd w:val="clear" w:color="auto" w:fill="auto"/>
            <w:noWrap/>
            <w:vAlign w:val="bottom"/>
            <w:hideMark/>
          </w:tcPr>
          <w:p w14:paraId="5A54762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754604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PM6:BDT−2TiC16−2CN: 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1A33C4C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0.959</w:t>
            </w:r>
          </w:p>
        </w:tc>
        <w:tc>
          <w:tcPr>
            <w:tcW w:w="379" w:type="pct"/>
            <w:tcBorders>
              <w:top w:val="single" w:sz="4" w:space="0" w:color="auto"/>
              <w:left w:val="nil"/>
              <w:bottom w:val="single" w:sz="4" w:space="0" w:color="auto"/>
              <w:right w:val="nil"/>
            </w:tcBorders>
            <w:shd w:val="clear" w:color="auto" w:fill="auto"/>
            <w:noWrap/>
            <w:vAlign w:val="bottom"/>
            <w:hideMark/>
          </w:tcPr>
          <w:p w14:paraId="4F10F41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12.98</w:t>
            </w:r>
          </w:p>
        </w:tc>
        <w:tc>
          <w:tcPr>
            <w:tcW w:w="378" w:type="pct"/>
            <w:tcBorders>
              <w:top w:val="single" w:sz="4" w:space="0" w:color="auto"/>
              <w:left w:val="nil"/>
              <w:bottom w:val="single" w:sz="4" w:space="0" w:color="auto"/>
              <w:right w:val="nil"/>
            </w:tcBorders>
            <w:shd w:val="clear" w:color="auto" w:fill="auto"/>
            <w:noWrap/>
            <w:vAlign w:val="bottom"/>
            <w:hideMark/>
          </w:tcPr>
          <w:p w14:paraId="586FE79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75.46</w:t>
            </w:r>
          </w:p>
        </w:tc>
        <w:tc>
          <w:tcPr>
            <w:tcW w:w="381" w:type="pct"/>
            <w:tcBorders>
              <w:top w:val="single" w:sz="4" w:space="0" w:color="auto"/>
              <w:left w:val="nil"/>
              <w:bottom w:val="single" w:sz="4" w:space="0" w:color="auto"/>
              <w:right w:val="nil"/>
            </w:tcBorders>
            <w:shd w:val="clear" w:color="auto" w:fill="auto"/>
            <w:noWrap/>
            <w:vAlign w:val="bottom"/>
            <w:hideMark/>
          </w:tcPr>
          <w:p w14:paraId="5815A87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9.39</w:t>
            </w:r>
          </w:p>
        </w:tc>
        <w:tc>
          <w:tcPr>
            <w:tcW w:w="378" w:type="pct"/>
            <w:tcBorders>
              <w:top w:val="single" w:sz="4" w:space="0" w:color="auto"/>
              <w:left w:val="nil"/>
              <w:bottom w:val="single" w:sz="4" w:space="0" w:color="auto"/>
              <w:right w:val="nil"/>
            </w:tcBorders>
            <w:shd w:val="clear" w:color="auto" w:fill="auto"/>
            <w:noWrap/>
            <w:vAlign w:val="bottom"/>
            <w:hideMark/>
          </w:tcPr>
          <w:p w14:paraId="51ED823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{"citationID":"w7Uyp5o5","properties":{"formattedCitation":"[47]","plainCitation":"[47]","noteIndex":0},"citationItems":[{"id":611,"uris":["http://zotero.org/users/12909065/items/TPCLSZDH"],"itemData":{"id":611,"type":"article-journal","abstract":"Ternary strategy is an effective approach to boost the photovoltaic performance of organic solar cells (OSCs). However, the ternary OSCs using a nonfullerene small-molecule acceptor (SMA) as the third component into the binary fullerene-donor system have not received satisfactory progress. Here, we developed a simple A-D-D′-D-A-type SMA of BDT-2TiC16-2CN, employing benzodithiophene (BDT) as an electron-donating (D′) centra, asymmetric bis(hexadecyl) thieno[3,2-c]isochromene (TiC) as an electron-donating (D) bridged unit, and cyanoindanone (CN) as a strong electron-withdrawing (A) terminal. Its thermal, optical, electrochemical, and photovoltaic properties were systemically studied. It is demonstrated that BDT-2TiC16-2CN exhibits absorption maxima at 703 nm as well as the cascaded HOMO and LUMO energy levels (-5.61/-3.96 eV) with polymers PM6 and PC71BM. Encouragingly, incorporating the BDT-2TiC16-2CN guest into the PM6:PC71BM blend, the ternary OSCs exhibit better photovoltaic properties and higher device stability than the binary OSCs. An improved PCE of 9.39% is obtained in the ternary OSCs, which is increased by 12.2% in comparison with that of the binary OSCs (8.37%). More importantly, 73.71% of the initial PCE is still maintained after 1440 h at room temperature and 67.22% after 1440 min at 65 °C. Our work indicates that BDT-2TiC16-2CN with an asymmetric TiC bridged unit is a potential SMA used as a third component to improve the device efficiency and stability for the ternary fullerene OSCs. © 2022 Authors. All rights reserved.","archive":"Scopus","container-title":"ACS Applied Energy Materials","DOI":"10.1021/acsaem.2c03407","ISSN":"2574-0962","issue":"12","language":"English","page":"15890-15898","source":"Scopus","title":"Small-Molecule Acceptors with Asymmetric Thieno[3,2- c]isochromene Bridged Units for Boosting the Efficiency and Stability of Fullerene-Based Organic Solar Cells","volume":"5","author":[{"family":"Sun","given":"D."},{"family":"Tang","given":"W."},{"family":"Guo","given":"J."},{"family":"Wang","given":"J."},{"family":"Ding","given":"Z."},{"family":"Hao","given":"R."},{"family":"Zhu","given":"M."},{"family":"Liu","given":"Y."},{"family":"Song","given":"X."},{"family":"Zhu","given":"W."}],"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[47]</w:t>
            </w:r>
            <w:r w:rsidRPr="00B55044">
              <w:rPr>
                <w:rFonts w:eastAsia="Times New Roman"/>
                <w:color w:val="0000FF"/>
                <w:sz w:val="16"/>
                <w:szCs w:val="16"/>
              </w:rPr>
              <w:fldChar w:fldCharType="end"/>
            </w:r>
          </w:p>
        </w:tc>
      </w:tr>
      <w:tr w:rsidR="00D47774" w:rsidRPr="00B55044" w14:paraId="59F9C69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7F1F19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78</w:t>
            </w:r>
          </w:p>
        </w:tc>
        <w:tc>
          <w:tcPr>
            <w:tcW w:w="1525" w:type="pct"/>
            <w:tcBorders>
              <w:top w:val="single" w:sz="4" w:space="0" w:color="auto"/>
              <w:left w:val="nil"/>
              <w:bottom w:val="single" w:sz="4" w:space="0" w:color="auto"/>
              <w:right w:val="nil"/>
            </w:tcBorders>
            <w:shd w:val="clear" w:color="auto" w:fill="auto"/>
            <w:noWrap/>
            <w:vAlign w:val="bottom"/>
            <w:hideMark/>
          </w:tcPr>
          <w:p w14:paraId="07CE34A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0CC6BBB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 NTCPDT2F</w:t>
            </w:r>
          </w:p>
        </w:tc>
        <w:tc>
          <w:tcPr>
            <w:tcW w:w="379" w:type="pct"/>
            <w:tcBorders>
              <w:top w:val="single" w:sz="4" w:space="0" w:color="auto"/>
              <w:left w:val="nil"/>
              <w:bottom w:val="single" w:sz="4" w:space="0" w:color="auto"/>
              <w:right w:val="nil"/>
            </w:tcBorders>
            <w:shd w:val="clear" w:color="auto" w:fill="auto"/>
            <w:noWrap/>
            <w:vAlign w:val="bottom"/>
            <w:hideMark/>
          </w:tcPr>
          <w:p w14:paraId="3F1D300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5DC86BB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25.8</w:t>
            </w:r>
          </w:p>
        </w:tc>
        <w:tc>
          <w:tcPr>
            <w:tcW w:w="378" w:type="pct"/>
            <w:tcBorders>
              <w:top w:val="single" w:sz="4" w:space="0" w:color="auto"/>
              <w:left w:val="nil"/>
              <w:bottom w:val="single" w:sz="4" w:space="0" w:color="auto"/>
              <w:right w:val="nil"/>
            </w:tcBorders>
            <w:shd w:val="clear" w:color="auto" w:fill="auto"/>
            <w:noWrap/>
            <w:vAlign w:val="bottom"/>
            <w:hideMark/>
          </w:tcPr>
          <w:p w14:paraId="6CD9FA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72.5</w:t>
            </w:r>
          </w:p>
        </w:tc>
        <w:tc>
          <w:tcPr>
            <w:tcW w:w="381" w:type="pct"/>
            <w:tcBorders>
              <w:top w:val="single" w:sz="4" w:space="0" w:color="auto"/>
              <w:left w:val="nil"/>
              <w:bottom w:val="single" w:sz="4" w:space="0" w:color="auto"/>
              <w:right w:val="nil"/>
            </w:tcBorders>
            <w:shd w:val="clear" w:color="auto" w:fill="auto"/>
            <w:noWrap/>
            <w:vAlign w:val="bottom"/>
            <w:hideMark/>
          </w:tcPr>
          <w:p w14:paraId="01689CA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16.1</w:t>
            </w:r>
          </w:p>
        </w:tc>
        <w:tc>
          <w:tcPr>
            <w:tcW w:w="378" w:type="pct"/>
            <w:tcBorders>
              <w:top w:val="single" w:sz="4" w:space="0" w:color="auto"/>
              <w:left w:val="nil"/>
              <w:bottom w:val="single" w:sz="4" w:space="0" w:color="auto"/>
              <w:right w:val="nil"/>
            </w:tcBorders>
            <w:shd w:val="clear" w:color="auto" w:fill="auto"/>
            <w:noWrap/>
            <w:vAlign w:val="bottom"/>
            <w:hideMark/>
          </w:tcPr>
          <w:p w14:paraId="254EC57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{"citationID":"fLDylKZG","properties":{"formattedCitation":"[48]","plainCitation":"[48]","noteIndex":0},"citationItems":[{"id":610,"uris":["http://zotero.org/users/12909065/items/FNXCPGIR"],"itemData":{"id":610,"type":"article-journal","abstract":"Organic photovoltaics (OPVs) have made enormous progress in recent years, benefiting from the rapid development of non-fullerene acceptors (NFAs). Most high-performance NFAs, however, have featured π-conjugated backbones with large-fused core structures, increasing the complexity and cost of their synthesis and limiting their practical commercialization. In this study, we synthesized a series of acceptor-donor-acceptor-configured small-molecule acceptors (NTCPDTCN, NTCPDTID, and NTCPDT2F) based on a core structure featuring a naphthobisthiadiazole (NT) group and two cyclopenta[2,1-b,3,4-b′]dithiophene (CPDT) groups as the unfused-ring central unit and equipping malononitrile (CN), 2-(3-oxo-2,3-dihydro-1H-inden-1-ylidene)malononitrile (ID), and 2-(5,6-difluoro-3-oxo-2,3-dihydro-1H-inden-1-ylidene)malononitrile (2F) groups as terminal groups. When blended with PM7, the NTCPDTCN-containing binary device displayed a high open-circuit voltage (VOC) of 1.04 V, without self-aggregation, as well as the best device performance. When blended with PM6:Y6, the ternary NTCPDTCN-, NTCPDTID-, and NTCPDT2F-based OPVs provided power conversion efficiencies of 15.4 ± 0.09, 14.6 ± 0.15, and 16.0 ± 0.08%, respectively. NTCPDT2F provided complementary absorption and allowed fine-tuning of the blend morphology, resulting in suppression of charge recombination and improvements in charge generation and collection, thereby achieving the highest device performance. Thus, our findings might provide some directions for developing high-performance ternary OPVs through the introduction of unfused-ring small-molecule acceptors. © 2022 American Chemical Society. All rights reserved.","archive":"Scopus","container-title":"ACS Applied Energy Materials","DOI":"10.1021/acsaem.2c03023","ISSN":"2574-0962","issue":"12","language":"English","page":"15423-15433","source":"Scopus","title":"High-Performance Ternary Organic Photovoltaics Incorporating Small-Molecule Acceptors with an Unfused-Ring Core","volume":"5","author":[{"family":"Jiang","given":"B.-H."},{"family":"You","given":"Y.-C."},{"family":"Lin","given":"D.-W."},{"family":"Chen","given":"C.-P."},{"family":"Wong","given":"K.-T."}],"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[48]</w:t>
            </w:r>
            <w:r w:rsidRPr="00B55044">
              <w:rPr>
                <w:rFonts w:eastAsia="Times New Roman"/>
                <w:color w:val="0000FF"/>
                <w:sz w:val="16"/>
                <w:szCs w:val="16"/>
              </w:rPr>
              <w:fldChar w:fldCharType="end"/>
            </w:r>
          </w:p>
        </w:tc>
      </w:tr>
      <w:tr w:rsidR="00D47774" w:rsidRPr="00B55044" w14:paraId="06A9EDF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E45415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79</w:t>
            </w:r>
          </w:p>
        </w:tc>
        <w:tc>
          <w:tcPr>
            <w:tcW w:w="1525" w:type="pct"/>
            <w:tcBorders>
              <w:top w:val="single" w:sz="4" w:space="0" w:color="auto"/>
              <w:left w:val="nil"/>
              <w:bottom w:val="single" w:sz="4" w:space="0" w:color="auto"/>
              <w:right w:val="nil"/>
            </w:tcBorders>
            <w:shd w:val="clear" w:color="auto" w:fill="auto"/>
            <w:noWrap/>
            <w:vAlign w:val="bottom"/>
            <w:hideMark/>
          </w:tcPr>
          <w:p w14:paraId="21E8E06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7DF6A1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 NTCPDTID</w:t>
            </w:r>
          </w:p>
        </w:tc>
        <w:tc>
          <w:tcPr>
            <w:tcW w:w="379" w:type="pct"/>
            <w:tcBorders>
              <w:top w:val="single" w:sz="4" w:space="0" w:color="auto"/>
              <w:left w:val="nil"/>
              <w:bottom w:val="single" w:sz="4" w:space="0" w:color="auto"/>
              <w:right w:val="nil"/>
            </w:tcBorders>
            <w:shd w:val="clear" w:color="auto" w:fill="auto"/>
            <w:noWrap/>
            <w:vAlign w:val="bottom"/>
            <w:hideMark/>
          </w:tcPr>
          <w:p w14:paraId="799B6E5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5AE421B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24.3</w:t>
            </w:r>
          </w:p>
        </w:tc>
        <w:tc>
          <w:tcPr>
            <w:tcW w:w="378" w:type="pct"/>
            <w:tcBorders>
              <w:top w:val="single" w:sz="4" w:space="0" w:color="auto"/>
              <w:left w:val="nil"/>
              <w:bottom w:val="single" w:sz="4" w:space="0" w:color="auto"/>
              <w:right w:val="nil"/>
            </w:tcBorders>
            <w:shd w:val="clear" w:color="auto" w:fill="auto"/>
            <w:noWrap/>
            <w:vAlign w:val="bottom"/>
            <w:hideMark/>
          </w:tcPr>
          <w:p w14:paraId="7CEE794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71.8</w:t>
            </w:r>
          </w:p>
        </w:tc>
        <w:tc>
          <w:tcPr>
            <w:tcW w:w="381" w:type="pct"/>
            <w:tcBorders>
              <w:top w:val="single" w:sz="4" w:space="0" w:color="auto"/>
              <w:left w:val="nil"/>
              <w:bottom w:val="single" w:sz="4" w:space="0" w:color="auto"/>
              <w:right w:val="nil"/>
            </w:tcBorders>
            <w:shd w:val="clear" w:color="auto" w:fill="auto"/>
            <w:noWrap/>
            <w:vAlign w:val="bottom"/>
            <w:hideMark/>
          </w:tcPr>
          <w:p w14:paraId="63AF155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15.2</w:t>
            </w:r>
          </w:p>
        </w:tc>
        <w:tc>
          <w:tcPr>
            <w:tcW w:w="378" w:type="pct"/>
            <w:tcBorders>
              <w:top w:val="single" w:sz="4" w:space="0" w:color="auto"/>
              <w:left w:val="nil"/>
              <w:bottom w:val="single" w:sz="4" w:space="0" w:color="auto"/>
              <w:right w:val="nil"/>
            </w:tcBorders>
            <w:shd w:val="clear" w:color="auto" w:fill="auto"/>
            <w:noWrap/>
            <w:vAlign w:val="bottom"/>
            <w:hideMark/>
          </w:tcPr>
          <w:p w14:paraId="4ED2C3A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{"citationID":"tSWz5Xgd","properties":{"formattedCitation":"[48]","plainCitation":"[48]","noteIndex":0},"citationItems":[{"id":610,"uris":["http://zotero.org/users/12909065/items/FNXCPGIR"],"itemData":{"id":610,"type":"article-journal","abstract":"Organic photovoltaics (OPVs) have made enormous progress in recent years, benefiting from the rapid development of non-fullerene acceptors (NFAs). Most high-performance NFAs, however, have featured π-conjugated backbones with large-fused core structures, increasing the complexity and cost of their synthesis and limiting their practical commercialization. In this study, we synthesized a series of acceptor-donor-acceptor-configured small-molecule acceptors (NTCPDTCN, NTCPDTID, and NTCPDT2F) based on a core structure featuring a naphthobisthiadiazole (NT) group and two cyclopenta[2,1-b,3,4-b′]dithiophene (CPDT) groups as the unfused-ring central unit and equipping malononitrile (CN), 2-(3-oxo-2,3-dihydro-1H-inden-1-ylidene)malononitrile (ID), and 2-(5,6-difluoro-3-oxo-2,3-dihydro-1H-inden-1-ylidene)malononitrile (2F) groups as terminal groups. When blended with PM7, the NTCPDTCN-containing binary device displayed a high open-circuit voltage (VOC) of 1.04 V, without self-aggregation, as well as the best device performance. When blended with PM6:Y6, the ternary NTCPDTCN-, NTCPDTID-, and NTCPDT2F-based OPVs provided power conversion efficiencies of 15.4 ± 0.09, 14.6 ± 0.15, and 16.0 ± 0.08%, respectively. NTCPDT2F provided complementary absorption and allowed fine-tuning of the blend morphology, resulting in suppression of charge recombination and improvements in charge generation and collection, thereby achieving the highest device performance. Thus, our findings might provide some directions for developing high-performance ternary OPVs through the introduction of unfused-ring small-molecule acceptors. © 2022 American Chemical Society. All rights reserved.","archive":"Scopus","container-title":"ACS Applied Energy Materials","DOI":"10.1021/acsaem.2c03023","ISSN":"2574-0962","issue":"12","language":"English","page":"15423-15433","source":"Scopus","title":"High-Performance Ternary Organic Photovoltaics Incorporating Small-Molecule Acceptors with an Unfused-Ring Core","volume":"5","author":[{"family":"Jiang","given":"B.-H."},{"family":"You","given":"Y.-C."},{"family":"Lin","given":"D.-W."},{"family":"Chen","given":"C.-P."},{"family":"Wong","given":"K.-T."}],"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[48]</w:t>
            </w:r>
            <w:r w:rsidRPr="00B55044">
              <w:rPr>
                <w:rFonts w:eastAsia="Times New Roman"/>
                <w:color w:val="0000FF"/>
                <w:sz w:val="16"/>
                <w:szCs w:val="16"/>
              </w:rPr>
              <w:fldChar w:fldCharType="end"/>
            </w:r>
          </w:p>
        </w:tc>
      </w:tr>
      <w:tr w:rsidR="00D47774" w:rsidRPr="00B55044" w14:paraId="70EEF38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019D01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80</w:t>
            </w:r>
          </w:p>
        </w:tc>
        <w:tc>
          <w:tcPr>
            <w:tcW w:w="1525" w:type="pct"/>
            <w:tcBorders>
              <w:top w:val="single" w:sz="4" w:space="0" w:color="auto"/>
              <w:left w:val="nil"/>
              <w:bottom w:val="single" w:sz="4" w:space="0" w:color="auto"/>
              <w:right w:val="nil"/>
            </w:tcBorders>
            <w:shd w:val="clear" w:color="auto" w:fill="auto"/>
            <w:noWrap/>
            <w:vAlign w:val="bottom"/>
            <w:hideMark/>
          </w:tcPr>
          <w:p w14:paraId="39514CF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7F02593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 NTCPDTCN</w:t>
            </w:r>
          </w:p>
        </w:tc>
        <w:tc>
          <w:tcPr>
            <w:tcW w:w="379" w:type="pct"/>
            <w:tcBorders>
              <w:top w:val="single" w:sz="4" w:space="0" w:color="auto"/>
              <w:left w:val="nil"/>
              <w:bottom w:val="single" w:sz="4" w:space="0" w:color="auto"/>
              <w:right w:val="nil"/>
            </w:tcBorders>
            <w:shd w:val="clear" w:color="auto" w:fill="auto"/>
            <w:noWrap/>
            <w:vAlign w:val="bottom"/>
            <w:hideMark/>
          </w:tcPr>
          <w:p w14:paraId="1824DF9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59A219E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25.5</w:t>
            </w:r>
          </w:p>
        </w:tc>
        <w:tc>
          <w:tcPr>
            <w:tcW w:w="378" w:type="pct"/>
            <w:tcBorders>
              <w:top w:val="single" w:sz="4" w:space="0" w:color="auto"/>
              <w:left w:val="nil"/>
              <w:bottom w:val="single" w:sz="4" w:space="0" w:color="auto"/>
              <w:right w:val="nil"/>
            </w:tcBorders>
            <w:shd w:val="clear" w:color="auto" w:fill="auto"/>
            <w:noWrap/>
            <w:vAlign w:val="bottom"/>
            <w:hideMark/>
          </w:tcPr>
          <w:p w14:paraId="3AC8139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70.8</w:t>
            </w:r>
          </w:p>
        </w:tc>
        <w:tc>
          <w:tcPr>
            <w:tcW w:w="381" w:type="pct"/>
            <w:tcBorders>
              <w:top w:val="single" w:sz="4" w:space="0" w:color="auto"/>
              <w:left w:val="nil"/>
              <w:bottom w:val="single" w:sz="4" w:space="0" w:color="auto"/>
              <w:right w:val="nil"/>
            </w:tcBorders>
            <w:shd w:val="clear" w:color="auto" w:fill="auto"/>
            <w:noWrap/>
            <w:vAlign w:val="bottom"/>
            <w:hideMark/>
          </w:tcPr>
          <w:p w14:paraId="28A4B14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15.5</w:t>
            </w:r>
          </w:p>
        </w:tc>
        <w:tc>
          <w:tcPr>
            <w:tcW w:w="378" w:type="pct"/>
            <w:tcBorders>
              <w:top w:val="single" w:sz="4" w:space="0" w:color="auto"/>
              <w:left w:val="nil"/>
              <w:bottom w:val="single" w:sz="4" w:space="0" w:color="auto"/>
              <w:right w:val="nil"/>
            </w:tcBorders>
            <w:shd w:val="clear" w:color="auto" w:fill="auto"/>
            <w:noWrap/>
            <w:vAlign w:val="bottom"/>
            <w:hideMark/>
          </w:tcPr>
          <w:p w14:paraId="513171F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{"citationID":"S6CODkxf","properties":{"formattedCitation":"[48]","plainCitation":"[48]","noteIndex":0},"citationItems":[{"id":610,"uris":["http://zotero.org/users/12909065/items/FNXCPGIR"],"itemData":{"id":610,"type":"article-journal","abstract":"Organic photovoltaics (OPVs) have made enormous progress in recent years, benefiting from the rapid development of non-fullerene acceptors (NFAs). Most high-performance NFAs, however, have featured π-conjugated backbones with large-fused core structures, increasing the complexity and cost of their synthesis and limiting their practical commercialization. In this study, we synthesized a series of acceptor-donor-acceptor-configured small-molecule acceptors (NTCPDTCN, NTCPDTID, and NTCPDT2F) based on a core structure featuring a naphthobisthiadiazole (NT) group and two cyclopenta[2,1-b,3,4-b′]dithiophene (CPDT) groups as the unfused-ring central unit and equipping malononitrile (CN), 2-(3-oxo-2,3-dihydro-1H-inden-1-ylidene)malononitrile (ID), and 2-(5,6-difluoro-3-oxo-2,3-dihydro-1H-inden-1-ylidene)malononitrile (2F) groups as terminal groups. When blended with PM7, the NTCPDTCN-containing binary device displayed a high open-circuit voltage (VOC) of 1.04 V, without self-aggregation, as well as the best device performance. When blended with PM6:Y6, the ternary NTCPDTCN-, NTCPDTID-, and NTCPDT2F-based OPVs provided power conversion efficiencies of 15.4 ± 0.09, 14.6 ± 0.15, and 16.0 ± 0.08%, respectively. NTCPDT2F provided complementary absorption and allowed fine-tuning of the blend morphology, resulting in suppression of charge recombination and improvements in charge generation and collection, thereby achieving the highest device performance. Thus, our findings might provide some directions for developing high-performance ternary OPVs through the introduction of unfused-ring small-molecule acceptors. © 2022 American Chemical Society. All rights reserved.","archive":"Scopus","container-title":"ACS Applied Energy Materials","DOI":"10.1021/acsaem.2c03023","ISSN":"2574-0962","issue":"12","language":"English","page":"15423-15433","source":"Scopus","title":"High-Performance Ternary Organic Photovoltaics Incorporating Small-Molecule Acceptors with an Unfused-Ring Core","volume":"5","author":[{"family":"Jiang","given":"B.-H."},{"family":"You","given":"Y.-C."},{"family":"Lin","given":"D.-W."},{"family":"Chen","given":"C.-P."},{"family":"Wong","given":"K.-T."}],"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[48]</w:t>
            </w:r>
            <w:r w:rsidRPr="00B55044">
              <w:rPr>
                <w:rFonts w:eastAsia="Times New Roman"/>
                <w:color w:val="0000FF"/>
                <w:sz w:val="16"/>
                <w:szCs w:val="16"/>
              </w:rPr>
              <w:fldChar w:fldCharType="end"/>
            </w:r>
          </w:p>
        </w:tc>
      </w:tr>
      <w:tr w:rsidR="00D47774" w:rsidRPr="00B55044" w14:paraId="7B6E38D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A00EB6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81</w:t>
            </w:r>
          </w:p>
        </w:tc>
        <w:tc>
          <w:tcPr>
            <w:tcW w:w="1525" w:type="pct"/>
            <w:tcBorders>
              <w:top w:val="single" w:sz="4" w:space="0" w:color="auto"/>
              <w:left w:val="nil"/>
              <w:bottom w:val="single" w:sz="4" w:space="0" w:color="auto"/>
              <w:right w:val="nil"/>
            </w:tcBorders>
            <w:shd w:val="clear" w:color="auto" w:fill="auto"/>
            <w:noWrap/>
            <w:vAlign w:val="bottom"/>
            <w:hideMark/>
          </w:tcPr>
          <w:p w14:paraId="3054210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ITO/PEDOT:PSS/AL/TPMA/Ag</w:t>
            </w:r>
          </w:p>
        </w:tc>
        <w:tc>
          <w:tcPr>
            <w:tcW w:w="1288" w:type="pct"/>
            <w:tcBorders>
              <w:top w:val="single" w:sz="4" w:space="0" w:color="auto"/>
              <w:left w:val="nil"/>
              <w:bottom w:val="single" w:sz="4" w:space="0" w:color="auto"/>
              <w:right w:val="nil"/>
            </w:tcBorders>
            <w:shd w:val="clear" w:color="auto" w:fill="auto"/>
            <w:noWrap/>
            <w:vAlign w:val="bottom"/>
            <w:hideMark/>
          </w:tcPr>
          <w:p w14:paraId="26846D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415D2A7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0.862</w:t>
            </w:r>
          </w:p>
        </w:tc>
        <w:tc>
          <w:tcPr>
            <w:tcW w:w="379" w:type="pct"/>
            <w:tcBorders>
              <w:top w:val="single" w:sz="4" w:space="0" w:color="auto"/>
              <w:left w:val="nil"/>
              <w:bottom w:val="single" w:sz="4" w:space="0" w:color="auto"/>
              <w:right w:val="nil"/>
            </w:tcBorders>
            <w:shd w:val="clear" w:color="auto" w:fill="auto"/>
            <w:noWrap/>
            <w:vAlign w:val="bottom"/>
            <w:hideMark/>
          </w:tcPr>
          <w:p w14:paraId="2E321BC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27.68</w:t>
            </w:r>
          </w:p>
        </w:tc>
        <w:tc>
          <w:tcPr>
            <w:tcW w:w="378" w:type="pct"/>
            <w:tcBorders>
              <w:top w:val="single" w:sz="4" w:space="0" w:color="auto"/>
              <w:left w:val="nil"/>
              <w:bottom w:val="single" w:sz="4" w:space="0" w:color="auto"/>
              <w:right w:val="nil"/>
            </w:tcBorders>
            <w:shd w:val="clear" w:color="auto" w:fill="auto"/>
            <w:noWrap/>
            <w:vAlign w:val="bottom"/>
            <w:hideMark/>
          </w:tcPr>
          <w:p w14:paraId="535F616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79.7</w:t>
            </w:r>
          </w:p>
        </w:tc>
        <w:tc>
          <w:tcPr>
            <w:tcW w:w="381" w:type="pct"/>
            <w:tcBorders>
              <w:top w:val="single" w:sz="4" w:space="0" w:color="auto"/>
              <w:left w:val="nil"/>
              <w:bottom w:val="single" w:sz="4" w:space="0" w:color="auto"/>
              <w:right w:val="nil"/>
            </w:tcBorders>
            <w:shd w:val="clear" w:color="auto" w:fill="auto"/>
            <w:noWrap/>
            <w:vAlign w:val="bottom"/>
            <w:hideMark/>
          </w:tcPr>
          <w:p w14:paraId="0D287F4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19.02</w:t>
            </w:r>
          </w:p>
        </w:tc>
        <w:tc>
          <w:tcPr>
            <w:tcW w:w="378" w:type="pct"/>
            <w:tcBorders>
              <w:top w:val="single" w:sz="4" w:space="0" w:color="auto"/>
              <w:left w:val="nil"/>
              <w:bottom w:val="single" w:sz="4" w:space="0" w:color="auto"/>
              <w:right w:val="nil"/>
            </w:tcBorders>
            <w:shd w:val="clear" w:color="auto" w:fill="auto"/>
            <w:noWrap/>
            <w:vAlign w:val="bottom"/>
            <w:hideMark/>
          </w:tcPr>
          <w:p w14:paraId="65A80FA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{"citationID":"p7nPxN4A","properties":{"formattedCitation":"[49]","plainCitation":"[49]","noteIndex":0},"citationItems":[{"id":609,"uris":["http://zotero.org/users/12909065/items/2PFL4DFP"],"itemData":{"id":609,"type":"article-journal","abstract":"The typical thickness of the photoactive layer in organic solar cells (OSCs) is around 100 nm, which limits the absorption efficiency of the incident light and the power conversion efficiency (PCE) of OSCs. Therefore, light-trapping schemes to reduce the optical losses in the thin photoactive layers are critically important for efficient OSCs. Herein, light-trapping and electron-collection dual-functional small organic molecules, N,N,N′,N′-tetraphenyloxalamide (TPEA) and N,N,N′,N′-tetraphenylmalonamide (TPMA), are designed and synthesized by a one-step acylation reaction. Driven by strong intermolecular force, TPEA and TPMA tend to self-aggregate into hemispherical light-trapping nanodots on the photoactive layer, resulting in enhanced light harvesting. Meanwhile, TPEA and TPMA demonstrate high electron mobility and excellent electron-collection ability. Compared with the device without cathode buffer layer (CBL, PCE = 14.09%), PM6:BTP-eC9 based OSCs with TPEA and TPMA light-trapping CBLs demonstrate greatly enhanced PCE of 16.21% and 17.85%, respectively. Furthermore, a record PCE of 19.02% can be achieved for PM6:BTP-eC9:PC71BM based ternary OSC with TPMA light-trapping CBL. Moreover, TPMA exhibits a low synthesis cost of only 0.61 $ g−1 with high yield. These findings could open a window for the rational design of multifunctional CBLs for efficient and stable OSCs. © 2022 Wiley-VCH GmbH.","archive":"Scopus","container-title":"Small","DOI":"10.1002/smll.202205128","ISSN":"1613-6810","issue":"50","language":"English","source":"Scopus","title":"Self-Aggregated Light-Trapping Nanodots for Highly Efficient Organic Solar Cells","volume":"18","author":[{"family":"Gao","given":"H."},{"family":"Yu","given":"R."},{"family":"Gong","given":"Y."},{"family":"Ma","given":"Z."},{"family":"He","given":"Z."},{"family":"Dong","given":"Y."},{"family":"Xu","given":"K."},{"family":"Bai","given":"Y."},{"family":"Tan","given":"Z."}],"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[49]</w:t>
            </w:r>
            <w:r w:rsidRPr="00B55044">
              <w:rPr>
                <w:rFonts w:eastAsia="Times New Roman"/>
                <w:color w:val="0000FF"/>
                <w:sz w:val="16"/>
                <w:szCs w:val="16"/>
              </w:rPr>
              <w:fldChar w:fldCharType="end"/>
            </w:r>
          </w:p>
        </w:tc>
      </w:tr>
      <w:tr w:rsidR="00D47774" w:rsidRPr="00B55044" w14:paraId="145EE34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E88480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82</w:t>
            </w:r>
          </w:p>
        </w:tc>
        <w:tc>
          <w:tcPr>
            <w:tcW w:w="1525" w:type="pct"/>
            <w:tcBorders>
              <w:top w:val="single" w:sz="4" w:space="0" w:color="auto"/>
              <w:left w:val="nil"/>
              <w:bottom w:val="single" w:sz="4" w:space="0" w:color="auto"/>
              <w:right w:val="nil"/>
            </w:tcBorders>
            <w:shd w:val="clear" w:color="auto" w:fill="auto"/>
            <w:noWrap/>
            <w:vAlign w:val="bottom"/>
            <w:hideMark/>
          </w:tcPr>
          <w:p w14:paraId="5D403B5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ITO/Cl-2PACz/AL/PNDIT-F3N/Ag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043149A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PM6:PM7-Si:BTP-eC9</w:t>
            </w:r>
          </w:p>
        </w:tc>
        <w:tc>
          <w:tcPr>
            <w:tcW w:w="379" w:type="pct"/>
            <w:tcBorders>
              <w:top w:val="single" w:sz="4" w:space="0" w:color="auto"/>
              <w:left w:val="nil"/>
              <w:bottom w:val="single" w:sz="4" w:space="0" w:color="auto"/>
              <w:right w:val="nil"/>
            </w:tcBorders>
            <w:shd w:val="clear" w:color="auto" w:fill="auto"/>
            <w:noWrap/>
            <w:vAlign w:val="bottom"/>
            <w:hideMark/>
          </w:tcPr>
          <w:p w14:paraId="71E4603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0.863</w:t>
            </w:r>
          </w:p>
        </w:tc>
        <w:tc>
          <w:tcPr>
            <w:tcW w:w="379" w:type="pct"/>
            <w:tcBorders>
              <w:top w:val="single" w:sz="4" w:space="0" w:color="auto"/>
              <w:left w:val="nil"/>
              <w:bottom w:val="single" w:sz="4" w:space="0" w:color="auto"/>
              <w:right w:val="nil"/>
            </w:tcBorders>
            <w:shd w:val="clear" w:color="auto" w:fill="auto"/>
            <w:noWrap/>
            <w:vAlign w:val="bottom"/>
            <w:hideMark/>
          </w:tcPr>
          <w:p w14:paraId="614C0D2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26.96</w:t>
            </w:r>
          </w:p>
        </w:tc>
        <w:tc>
          <w:tcPr>
            <w:tcW w:w="378" w:type="pct"/>
            <w:tcBorders>
              <w:top w:val="single" w:sz="4" w:space="0" w:color="auto"/>
              <w:left w:val="nil"/>
              <w:bottom w:val="single" w:sz="4" w:space="0" w:color="auto"/>
              <w:right w:val="nil"/>
            </w:tcBorders>
            <w:shd w:val="clear" w:color="auto" w:fill="auto"/>
            <w:noWrap/>
            <w:vAlign w:val="bottom"/>
            <w:hideMark/>
          </w:tcPr>
          <w:p w14:paraId="3DA2401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79.4</w:t>
            </w:r>
          </w:p>
        </w:tc>
        <w:tc>
          <w:tcPr>
            <w:tcW w:w="381" w:type="pct"/>
            <w:tcBorders>
              <w:top w:val="single" w:sz="4" w:space="0" w:color="auto"/>
              <w:left w:val="nil"/>
              <w:bottom w:val="single" w:sz="4" w:space="0" w:color="auto"/>
              <w:right w:val="nil"/>
            </w:tcBorders>
            <w:shd w:val="clear" w:color="auto" w:fill="auto"/>
            <w:noWrap/>
            <w:vAlign w:val="bottom"/>
            <w:hideMark/>
          </w:tcPr>
          <w:p w14:paraId="14820D9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18.5</w:t>
            </w:r>
          </w:p>
        </w:tc>
        <w:tc>
          <w:tcPr>
            <w:tcW w:w="378" w:type="pct"/>
            <w:tcBorders>
              <w:top w:val="single" w:sz="4" w:space="0" w:color="auto"/>
              <w:left w:val="nil"/>
              <w:bottom w:val="single" w:sz="4" w:space="0" w:color="auto"/>
              <w:right w:val="nil"/>
            </w:tcBorders>
            <w:shd w:val="clear" w:color="auto" w:fill="auto"/>
            <w:noWrap/>
            <w:vAlign w:val="bottom"/>
            <w:hideMark/>
          </w:tcPr>
          <w:p w14:paraId="5C506C7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{"citationID":"Aiu4rgsg","properties":{"formattedCitation":"[50]","plainCitation":"[50]","noteIndex":0},"citationItems":[{"id":616,"uris":["http://zotero.org/users/12909065/items/C6ZP9AMP"],"itemData":{"id":616,"type":"article-journal","abstract":"The influence of halogen substitutions (F, Cl, Br, and I) on the energy levels of the self-assembled hole-extracting molecule [2-(9H-Carbazol-9-yl)ethyl]phosphonic acid (2PACz), is investigated. It is found that the formation of self-assembled monolayers (SAMs) of [2-(3,6-Difluoro-9H-carbazol-9-yl)ethyl]phosphonic acid (F-2PACz), [2-(3,6-Dichloro-9H-carbazol-9-yl)ethyl]phosphonic acid (Cl-2PACz), [2-(3,6-Dibromo-9H-carbazol-9-yl)ethyl]phosphonic acid (Br-2PACz), and [2-(3,6-Diiodo-9H-carbazol-9-yl)ethyl]phosphonic acid (I-2PACz) directly on indium tin oxide (ITO) increases its work function from 4.73 eV to 5.68, 5.77, 5.82, and 5.73 eV, respectively. Combining these ITO/SAM electrodes with the ternary bulk-heterojunction (BHJ) system PM6:PM7-Si:BTP-eC9 yields organic photovoltaic (OPV) cells with power conversion efficiency (PCE) in the range of 17.7%–18.5%. OPVs featuring Cl-2PACz SAMs yield the highest PCE of 18.5%, compared to cells with F-2PACz (17.7%), Br-2PACz (18.0%), or I-2PACz (18.2%). Data analysis reveals that the enhanced performance of Cl-2PACz-based OPVs relates to the increased hole mobility, decreased interface resistance, reduced carrier recombination, and longer carrier lifetime. Furthermore, OPVs featuring Cl-2PACz show enhanced stability under continuous illumination compared to ITO/PEDOT:PSS-based cells. Remarkably, the introduction of the n-dopant benzyl viologen into the BHJ further boosted the PCE of the ITO/Cl-2PACz cells to a maximum value of 18.9%, a record-breaking value for SAM-based OPVs and on par with the best-performing OPVs reported to date. © 2022 Wiley-VCH GmbH.","archive":"Scopus","container-title":"Advanced Energy Materials","DOI":"10.1002/aenm.202202503","ISSN":"1614-6832","issue":"45","language":"English","source":"Scopus","title":"18.9% Efficient Organic Solar Cells Based on n-Doped Bulk-Heterojunction and Halogen-Substituted Self-Assembled Monolayers as Hole Extracting Interlayers","volume":"12","author":[{"family":"Lin","given":"Y."},{"family":"Zhang","given":"Y."},{"family":"Zhang","given":"J."},{"family":"Marcinskas","given":"M."},{"family":"Malinauskas","given":"T."},{"family":"Magomedov","given":"A."},{"family":"Nugraha","given":"M.I."},{"family":"Kaltsas","given":"D."},{"family":"Naphade","given":"D.R."},{"family":"Harrison","given":"G.T."},{"family":"El-Labban","given":"A."},{"family":"Barlow","given":"S."},{"family":"De Wolf","given":"S."},{"family":"Wang","given":"E."},{"family":"McCulloch","given":"I."},{"family":"Tsetseris","given":"L."},{"family":"Getautis","given":"V."},{"family":"Marder","given":"S.R."},{"family":"Anthopoulos","given":"T.D."}],"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[50]</w:t>
            </w:r>
            <w:r w:rsidRPr="00B55044">
              <w:rPr>
                <w:rFonts w:eastAsia="Times New Roman"/>
                <w:color w:val="0000FF"/>
                <w:sz w:val="16"/>
                <w:szCs w:val="16"/>
              </w:rPr>
              <w:fldChar w:fldCharType="end"/>
            </w:r>
          </w:p>
        </w:tc>
      </w:tr>
      <w:tr w:rsidR="00D47774" w:rsidRPr="00B55044" w14:paraId="4DE6B99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74316C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83</w:t>
            </w:r>
          </w:p>
        </w:tc>
        <w:tc>
          <w:tcPr>
            <w:tcW w:w="1525" w:type="pct"/>
            <w:tcBorders>
              <w:top w:val="single" w:sz="4" w:space="0" w:color="auto"/>
              <w:left w:val="nil"/>
              <w:bottom w:val="single" w:sz="4" w:space="0" w:color="auto"/>
              <w:right w:val="nil"/>
            </w:tcBorders>
            <w:shd w:val="clear" w:color="auto" w:fill="auto"/>
            <w:noWrap/>
            <w:vAlign w:val="bottom"/>
            <w:hideMark/>
          </w:tcPr>
          <w:p w14:paraId="03CCC7C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ITO/F-2PACz/AL/PNDIT-F3N/Ag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6218D2B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PM6:PM7-Si:BTP-eC9</w:t>
            </w:r>
          </w:p>
        </w:tc>
        <w:tc>
          <w:tcPr>
            <w:tcW w:w="379" w:type="pct"/>
            <w:tcBorders>
              <w:top w:val="single" w:sz="4" w:space="0" w:color="auto"/>
              <w:left w:val="nil"/>
              <w:bottom w:val="single" w:sz="4" w:space="0" w:color="auto"/>
              <w:right w:val="nil"/>
            </w:tcBorders>
            <w:shd w:val="clear" w:color="auto" w:fill="auto"/>
            <w:noWrap/>
            <w:vAlign w:val="bottom"/>
            <w:hideMark/>
          </w:tcPr>
          <w:p w14:paraId="6D58A3E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0.846</w:t>
            </w:r>
          </w:p>
        </w:tc>
        <w:tc>
          <w:tcPr>
            <w:tcW w:w="379" w:type="pct"/>
            <w:tcBorders>
              <w:top w:val="single" w:sz="4" w:space="0" w:color="auto"/>
              <w:left w:val="nil"/>
              <w:bottom w:val="single" w:sz="4" w:space="0" w:color="auto"/>
              <w:right w:val="nil"/>
            </w:tcBorders>
            <w:shd w:val="clear" w:color="auto" w:fill="auto"/>
            <w:noWrap/>
            <w:vAlign w:val="bottom"/>
            <w:hideMark/>
          </w:tcPr>
          <w:p w14:paraId="7C93A9B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w:t>
            </w:r>
          </w:p>
        </w:tc>
        <w:tc>
          <w:tcPr>
            <w:tcW w:w="378" w:type="pct"/>
            <w:tcBorders>
              <w:top w:val="single" w:sz="4" w:space="0" w:color="auto"/>
              <w:left w:val="nil"/>
              <w:bottom w:val="single" w:sz="4" w:space="0" w:color="auto"/>
              <w:right w:val="nil"/>
            </w:tcBorders>
            <w:shd w:val="clear" w:color="auto" w:fill="auto"/>
            <w:noWrap/>
            <w:vAlign w:val="bottom"/>
            <w:hideMark/>
          </w:tcPr>
          <w:p w14:paraId="47E25CC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78.2</w:t>
            </w:r>
          </w:p>
        </w:tc>
        <w:tc>
          <w:tcPr>
            <w:tcW w:w="381" w:type="pct"/>
            <w:tcBorders>
              <w:top w:val="single" w:sz="4" w:space="0" w:color="auto"/>
              <w:left w:val="nil"/>
              <w:bottom w:val="single" w:sz="4" w:space="0" w:color="auto"/>
              <w:right w:val="nil"/>
            </w:tcBorders>
            <w:shd w:val="clear" w:color="auto" w:fill="auto"/>
            <w:noWrap/>
            <w:vAlign w:val="bottom"/>
            <w:hideMark/>
          </w:tcPr>
          <w:p w14:paraId="520EC21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17.7</w:t>
            </w:r>
          </w:p>
        </w:tc>
        <w:tc>
          <w:tcPr>
            <w:tcW w:w="378" w:type="pct"/>
            <w:tcBorders>
              <w:top w:val="single" w:sz="4" w:space="0" w:color="auto"/>
              <w:left w:val="nil"/>
              <w:bottom w:val="single" w:sz="4" w:space="0" w:color="auto"/>
              <w:right w:val="nil"/>
            </w:tcBorders>
            <w:shd w:val="clear" w:color="auto" w:fill="auto"/>
            <w:noWrap/>
            <w:vAlign w:val="bottom"/>
            <w:hideMark/>
          </w:tcPr>
          <w:p w14:paraId="1B37FCB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{"citationID":"r21C3ldA","properties":{"formattedCitation":"[50]","plainCitation":"[50]","noteIndex":0},"citationItems":[{"id":616,"uris":["http://zotero.org/users/12909065/items/C6ZP9AMP"],"itemData":{"id":616,"type":"article-journal","abstract":"The influence of halogen substitutions (F, Cl, Br, and I) on the energy levels of the self-assembled hole-extracting molecule [2-(9H-Carbazol-9-yl)ethyl]phosphonic acid (2PACz), is investigated. It is found that the formation of self-assembled monolayers (SAMs) of [2-(3,6-Difluoro-9H-carbazol-9-yl)ethyl]phosphonic acid (F-2PACz), [2-(3,6-Dichloro-9H-carbazol-9-yl)ethyl]phosphonic acid (Cl-2PACz), [2-(3,6-Dibromo-9H-carbazol-9-yl)ethyl]phosphonic acid (Br-2PACz), and [2-(3,6-Diiodo-9H-carbazol-9-yl)ethyl]phosphonic acid (I-2PACz) directly on indium tin oxide (ITO) increases its work function from 4.73 eV to 5.68, 5.77, 5.82, and 5.73 eV, respectively. Combining these ITO/SAM electrodes with the ternary bulk-heterojunction (BHJ) system PM6:PM7-Si:BTP-eC9 yields organic photovoltaic (OPV) cells with power conversion efficiency (PCE) in the range of 17.7%–18.5%. OPVs featuring Cl-2PACz SAMs yield the highest PCE of 18.5%, compared to cells with F-2PACz (17.7%), Br-2PACz (18.0%), or I-2PACz (18.2%). Data analysis reveals that the enhanced performance of Cl-2PACz-based OPVs relates to the increased hole mobility, decreased interface resistance, reduced carrier recombination, and longer carrier lifetime. Furthermore, OPVs featuring Cl-2PACz show enhanced stability under continuous illumination compared to ITO/PEDOT:PSS-based cells. Remarkably, the introduction of the n-dopant benzyl viologen into the BHJ further boosted the PCE of the ITO/Cl-2PACz cells to a maximum value of 18.9%, a record-breaking value for SAM-based OPVs and on par with the best-performing OPVs reported to date. © 2022 Wiley-VCH GmbH.","archive":"Scopus","container-title":"Advanced Energy Materials","DOI":"10.1002/aenm.202202503","ISSN":"1614-6832","issue":"45","language":"English","source":"Scopus","title":"18.9% Efficient Organic Solar Cells Based on n-Doped Bulk-Heterojunction and Halogen-Substituted Self-Assembled Monolayers as Hole Extracting Interlayers","volume":"12","author":[{"family":"Lin","given":"Y."},{"family":"Zhang","given":"Y."},{"family":"Zhang","given":"J."},{"family":"Marcinskas","given":"M."},{"family":"Malinauskas","given":"T."},{"family":"Magomedov","given":"A."},{"family":"Nugraha","given":"M.I."},{"family":"Kaltsas","given":"D."},{"family":"Naphade","given":"D.R."},{"family":"Harrison","given":"G.T."},{"family":"El-Labban","given":"A."},{"family":"Barlow","given":"S."},{"family":"De Wolf","given":"S."},{"family":"Wang","given":"E."},{"family":"McCulloch","given":"I."},{"family":"Tsetseris","given":"L."},{"family":"Getautis","given":"V."},{"family":"Marder","given":"S.R."},{"family":"Anthopoulos","given":"T.D."}],"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[50]</w:t>
            </w:r>
            <w:r w:rsidRPr="00B55044">
              <w:rPr>
                <w:rFonts w:eastAsia="Times New Roman"/>
                <w:color w:val="0000FF"/>
                <w:sz w:val="16"/>
                <w:szCs w:val="16"/>
              </w:rPr>
              <w:fldChar w:fldCharType="end"/>
            </w:r>
          </w:p>
        </w:tc>
      </w:tr>
      <w:tr w:rsidR="00D47774" w:rsidRPr="00B55044" w14:paraId="02AA8BB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76AD02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84</w:t>
            </w:r>
          </w:p>
        </w:tc>
        <w:tc>
          <w:tcPr>
            <w:tcW w:w="1525" w:type="pct"/>
            <w:tcBorders>
              <w:top w:val="single" w:sz="4" w:space="0" w:color="auto"/>
              <w:left w:val="nil"/>
              <w:bottom w:val="single" w:sz="4" w:space="0" w:color="auto"/>
              <w:right w:val="nil"/>
            </w:tcBorders>
            <w:shd w:val="clear" w:color="auto" w:fill="auto"/>
            <w:noWrap/>
            <w:vAlign w:val="bottom"/>
            <w:hideMark/>
          </w:tcPr>
          <w:p w14:paraId="47BFB95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ITO/Br-2PACz/AL/PNDIT-F3N/Ag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2136044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PM6:PM7-Si:BTP-eC9</w:t>
            </w:r>
          </w:p>
        </w:tc>
        <w:tc>
          <w:tcPr>
            <w:tcW w:w="379" w:type="pct"/>
            <w:tcBorders>
              <w:top w:val="single" w:sz="4" w:space="0" w:color="auto"/>
              <w:left w:val="nil"/>
              <w:bottom w:val="single" w:sz="4" w:space="0" w:color="auto"/>
              <w:right w:val="nil"/>
            </w:tcBorders>
            <w:shd w:val="clear" w:color="auto" w:fill="auto"/>
            <w:noWrap/>
            <w:vAlign w:val="bottom"/>
            <w:hideMark/>
          </w:tcPr>
          <w:p w14:paraId="304F61E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706AA3C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26.57</w:t>
            </w:r>
          </w:p>
        </w:tc>
        <w:tc>
          <w:tcPr>
            <w:tcW w:w="378" w:type="pct"/>
            <w:tcBorders>
              <w:top w:val="single" w:sz="4" w:space="0" w:color="auto"/>
              <w:left w:val="nil"/>
              <w:bottom w:val="single" w:sz="4" w:space="0" w:color="auto"/>
              <w:right w:val="nil"/>
            </w:tcBorders>
            <w:shd w:val="clear" w:color="auto" w:fill="auto"/>
            <w:noWrap/>
            <w:vAlign w:val="bottom"/>
            <w:hideMark/>
          </w:tcPr>
          <w:p w14:paraId="461A7F4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77.9</w:t>
            </w:r>
          </w:p>
        </w:tc>
        <w:tc>
          <w:tcPr>
            <w:tcW w:w="381" w:type="pct"/>
            <w:tcBorders>
              <w:top w:val="single" w:sz="4" w:space="0" w:color="auto"/>
              <w:left w:val="nil"/>
              <w:bottom w:val="single" w:sz="4" w:space="0" w:color="auto"/>
              <w:right w:val="nil"/>
            </w:tcBorders>
            <w:shd w:val="clear" w:color="auto" w:fill="auto"/>
            <w:noWrap/>
            <w:vAlign w:val="bottom"/>
            <w:hideMark/>
          </w:tcPr>
          <w:p w14:paraId="0191D39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w:t>
            </w:r>
          </w:p>
        </w:tc>
        <w:tc>
          <w:tcPr>
            <w:tcW w:w="378" w:type="pct"/>
            <w:tcBorders>
              <w:top w:val="single" w:sz="4" w:space="0" w:color="auto"/>
              <w:left w:val="nil"/>
              <w:bottom w:val="single" w:sz="4" w:space="0" w:color="auto"/>
              <w:right w:val="nil"/>
            </w:tcBorders>
            <w:shd w:val="clear" w:color="auto" w:fill="auto"/>
            <w:noWrap/>
            <w:vAlign w:val="bottom"/>
            <w:hideMark/>
          </w:tcPr>
          <w:p w14:paraId="526EE09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{"citationID":"NJOpgTDI","properties":{"formattedCitation":"[50]","plainCitation":"[50]","noteIndex":0},"citationItems":[{"id":616,"uris":["http://zotero.org/users/12909065/items/C6ZP9AMP"],"itemData":{"id":616,"type":"article-journal","abstract":"The influence of halogen substitutions (F, Cl, Br, and I) on the energy levels of the self-assembled hole-extracting molecule [2-(9H-Carbazol-9-yl)ethyl]phosphonic acid (2PACz), is investigated. It is found that the formation of self-assembled monolayers (SAMs) of [2-(3,6-Difluoro-9H-carbazol-9-yl)ethyl]phosphonic acid (F-2PACz), [2-(3,6-Dichloro-9H-carbazol-9-yl)ethyl]phosphonic acid (Cl-2PACz), [2-(3,6-Dibromo-9H-carbazol-9-yl)ethyl]phosphonic acid (Br-2PACz), and [2-(3,6-Diiodo-9H-carbazol-9-yl)ethyl]phosphonic acid (I-2PACz) directly on indium tin oxide (ITO) increases its work function from 4.73 eV to 5.68, 5.77, 5.82, and 5.73 eV, respectively. Combining these ITO/SAM electrodes with the ternary bulk-heterojunction (BHJ) system PM6:PM7-Si:BTP-eC9 yields organic photovoltaic (OPV) cells with power conversion efficiency (PCE) in the range of 17.7%–18.5%. OPVs featuring Cl-2PACz SAMs yield the highest PCE of 18.5%, compared to cells with F-2PACz (17.7%), Br-2PACz (18.0%), or I-2PACz (18.2%). Data analysis reveals that the enhanced performance of Cl-2PACz-based OPVs relates to the increased hole mobility, decreased interface resistance, reduced carrier recombination, and longer carrier lifetime. Furthermore, OPVs featuring Cl-2PACz show enhanced stability under continuous illumination compared to ITO/PEDOT:PSS-based cells. Remarkably, the introduction of the n-dopant benzyl viologen into the BHJ further boosted the PCE of the ITO/Cl-2PACz cells to a maximum value of 18.9%, a record-breaking value for SAM-based OPVs and on par with the best-performing OPVs reported to date. © 2022 Wiley-VCH GmbH.","archive":"Scopus","container-title":"Advanced Energy Materials","DOI":"10.1002/aenm.202202503","ISSN":"1614-6832","issue":"45","language":"English","source":"Scopus","title":"18.9% Efficient Organic Solar Cells Based on n-Doped Bulk-Heterojunction and Halogen-Substituted Self-Assembled Monolayers as Hole Extracting Interlayers","volume":"12","author":[{"family":"Lin","given":"Y."},{"family":"Zhang","given":"Y."},{"family":"Zhang","given":"J."},{"family":"Marcinskas","given":"M."},{"family":"Malinauskas","given":"T."},{"family":"Magomedov","given":"A."},{"family":"Nugraha","given":"M.I."},{"family":"Kaltsas","given":"D."},{"family":"Naphade","given":"D.R."},{"family":"Harrison","given":"G.T."},{"family":"El-Labban","given":"A."},{"family":"Barlow","given":"S."},{"family":"De Wolf","given":"S."},{"family":"Wang","given":"E."},{"family":"McCulloch","given":"I."},{"family":"Tsetseris","given":"L."},{"family":"Getautis","given":"V."},{"family":"Marder","given":"S.R."},{"family":"Anthopoulos","given":"T.D."}],"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[50]</w:t>
            </w:r>
            <w:r w:rsidRPr="00B55044">
              <w:rPr>
                <w:rFonts w:eastAsia="Times New Roman"/>
                <w:color w:val="0000FF"/>
                <w:sz w:val="16"/>
                <w:szCs w:val="16"/>
              </w:rPr>
              <w:fldChar w:fldCharType="end"/>
            </w:r>
          </w:p>
        </w:tc>
      </w:tr>
      <w:tr w:rsidR="00D47774" w:rsidRPr="00B55044" w14:paraId="00FEB6F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3BF041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85</w:t>
            </w:r>
          </w:p>
        </w:tc>
        <w:tc>
          <w:tcPr>
            <w:tcW w:w="1525" w:type="pct"/>
            <w:tcBorders>
              <w:top w:val="single" w:sz="4" w:space="0" w:color="auto"/>
              <w:left w:val="nil"/>
              <w:bottom w:val="single" w:sz="4" w:space="0" w:color="auto"/>
              <w:right w:val="nil"/>
            </w:tcBorders>
            <w:shd w:val="clear" w:color="auto" w:fill="auto"/>
            <w:noWrap/>
            <w:vAlign w:val="bottom"/>
            <w:hideMark/>
          </w:tcPr>
          <w:p w14:paraId="320D801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ITO/I-2PACz/AL/PNDIT-F3N/Ag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4AF7BBA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PM6:PM7-Si:BTP-eC9</w:t>
            </w:r>
          </w:p>
        </w:tc>
        <w:tc>
          <w:tcPr>
            <w:tcW w:w="379" w:type="pct"/>
            <w:tcBorders>
              <w:top w:val="single" w:sz="4" w:space="0" w:color="auto"/>
              <w:left w:val="nil"/>
              <w:bottom w:val="single" w:sz="4" w:space="0" w:color="auto"/>
              <w:right w:val="nil"/>
            </w:tcBorders>
            <w:shd w:val="clear" w:color="auto" w:fill="auto"/>
            <w:noWrap/>
            <w:vAlign w:val="bottom"/>
            <w:hideMark/>
          </w:tcPr>
          <w:p w14:paraId="1CE6286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0.858</w:t>
            </w:r>
          </w:p>
        </w:tc>
        <w:tc>
          <w:tcPr>
            <w:tcW w:w="379" w:type="pct"/>
            <w:tcBorders>
              <w:top w:val="single" w:sz="4" w:space="0" w:color="auto"/>
              <w:left w:val="nil"/>
              <w:bottom w:val="single" w:sz="4" w:space="0" w:color="auto"/>
              <w:right w:val="nil"/>
            </w:tcBorders>
            <w:shd w:val="clear" w:color="auto" w:fill="auto"/>
            <w:noWrap/>
            <w:vAlign w:val="bottom"/>
            <w:hideMark/>
          </w:tcPr>
          <w:p w14:paraId="44A9604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26.85</w:t>
            </w:r>
          </w:p>
        </w:tc>
        <w:tc>
          <w:tcPr>
            <w:tcW w:w="378" w:type="pct"/>
            <w:tcBorders>
              <w:top w:val="single" w:sz="4" w:space="0" w:color="auto"/>
              <w:left w:val="nil"/>
              <w:bottom w:val="single" w:sz="4" w:space="0" w:color="auto"/>
              <w:right w:val="nil"/>
            </w:tcBorders>
            <w:shd w:val="clear" w:color="auto" w:fill="auto"/>
            <w:noWrap/>
            <w:vAlign w:val="bottom"/>
            <w:hideMark/>
          </w:tcPr>
          <w:p w14:paraId="30E00BC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78.8</w:t>
            </w:r>
          </w:p>
        </w:tc>
        <w:tc>
          <w:tcPr>
            <w:tcW w:w="381" w:type="pct"/>
            <w:tcBorders>
              <w:top w:val="single" w:sz="4" w:space="0" w:color="auto"/>
              <w:left w:val="nil"/>
              <w:bottom w:val="single" w:sz="4" w:space="0" w:color="auto"/>
              <w:right w:val="nil"/>
            </w:tcBorders>
            <w:shd w:val="clear" w:color="auto" w:fill="auto"/>
            <w:noWrap/>
            <w:vAlign w:val="bottom"/>
            <w:hideMark/>
          </w:tcPr>
          <w:p w14:paraId="1E3034F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18.2</w:t>
            </w:r>
          </w:p>
        </w:tc>
        <w:tc>
          <w:tcPr>
            <w:tcW w:w="378" w:type="pct"/>
            <w:tcBorders>
              <w:top w:val="single" w:sz="4" w:space="0" w:color="auto"/>
              <w:left w:val="nil"/>
              <w:bottom w:val="single" w:sz="4" w:space="0" w:color="auto"/>
              <w:right w:val="nil"/>
            </w:tcBorders>
            <w:shd w:val="clear" w:color="auto" w:fill="auto"/>
            <w:noWrap/>
            <w:vAlign w:val="bottom"/>
            <w:hideMark/>
          </w:tcPr>
          <w:p w14:paraId="3A6CF4F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{"citationID":"uWQqGULw","properties":{"formattedCitation":"[50]","plainCitation":"[50]","noteIndex":0},"citationItems":[{"id":616,"uris":["http://zotero.org/users/12909065/items/C6ZP9AMP"],"itemData":{"id":616,"type":"article-journal","abstract":"The influence of halogen substitutions (F, Cl, Br, and I) on the energy levels of the self-assembled hole-extracting molecule [2-(9H-Carbazol-9-yl)ethyl]phosphonic acid (2PACz), is investigated. It is found that the formation of self-assembled monolayers (SAMs) of [2-(3,6-Difluoro-9H-carbazol-9-yl)ethyl]phosphonic acid (F-2PACz), [2-(3,6-Dichloro-9H-carbazol-9-yl)ethyl]phosphonic acid (Cl-2PACz), [2-(3,6-Dibromo-9H-carbazol-9-yl)ethyl]phosphonic acid (Br-2PACz), and [2-(3,6-Diiodo-9H-carbazol-9-yl)ethyl]phosphonic acid (I-2PACz) directly on indium tin oxide (ITO) increases its work function from 4.73 eV to 5.68, 5.77, 5.82, and 5.73 eV, respectively. Combining these ITO/SAM electrodes with the ternary bulk-heterojunction (BHJ) system PM6:PM7-Si:BTP-eC9 yields organic photovoltaic (OPV) cells with power conversion efficiency (PCE) in the range of 17.7%–18.5%. OPVs featuring Cl-2PACz SAMs yield the highest PCE of 18.5%, compared to cells with F-2PACz (17.7%), Br-2PACz (18.0%), or I-2PACz (18.2%). Data analysis reveals that the enhanced performance of Cl-2PACz-based OPVs relates to the increased hole mobility, decreased interface resistance, reduced carrier recombination, and longer carrier lifetime. Furthermore, OPVs featuring Cl-2PACz show enhanced stability under continuous illumination compared to ITO/PEDOT:PSS-based cells. Remarkably, the introduction of the n-dopant benzyl viologen into the BHJ further boosted the PCE of the ITO/Cl-2PACz cells to a maximum value of 18.9%, a record-breaking value for SAM-based OPVs and on par with the best-performing OPVs reported to date. © 2022 Wiley-VCH GmbH.","archive":"Scopus","container-title":"Advanced Energy Materials","DOI":"10.1002/aenm.202202503","ISSN":"1614-6832","issue":"45","language":"English","source":"Scopus","title":"18.9% Efficient Organic Solar Cells Based on n-Doped Bulk-Heterojunction and Halogen-Substituted Self-Assembled Monolayers as Hole Extracting Interlayers","volume":"12","author":[{"family":"Lin","given":"Y."},{"family":"Zhang","given":"Y."},{"family":"Zhang","given":"J."},{"family":"Marcinskas","given":"M."},{"family":"Malinauskas","given":"T."},{"family":"Magomedov","given":"A."},{"family":"Nugraha","given":"M.I."},{"family":"Kaltsas","given":"D."},{"family":"Naphade","given":"D.R."},{"family":"Harrison","given":"G.T."},{"family":"El-Labban","given":"A."},{"family":"Barlow","given":"S."},{"family":"De Wolf","given":"S."},{"family":"Wang","given":"E."},{"family":"McCulloch","given":"I."},{"family":"Tsetseris","given":"L."},{"family":"Getautis","given":"V."},{"family":"Marder","given":"S.R."},{"family":"Anthopoulos","given":"T.D."}],"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[50]</w:t>
            </w:r>
            <w:r w:rsidRPr="00B55044">
              <w:rPr>
                <w:rFonts w:eastAsia="Times New Roman"/>
                <w:color w:val="0000FF"/>
                <w:sz w:val="16"/>
                <w:szCs w:val="16"/>
              </w:rPr>
              <w:fldChar w:fldCharType="end"/>
            </w:r>
          </w:p>
        </w:tc>
      </w:tr>
      <w:tr w:rsidR="00D47774" w:rsidRPr="00B55044" w14:paraId="6E81DDC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6BF138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86</w:t>
            </w:r>
          </w:p>
        </w:tc>
        <w:tc>
          <w:tcPr>
            <w:tcW w:w="1525" w:type="pct"/>
            <w:tcBorders>
              <w:top w:val="single" w:sz="4" w:space="0" w:color="auto"/>
              <w:left w:val="nil"/>
              <w:bottom w:val="single" w:sz="4" w:space="0" w:color="auto"/>
              <w:right w:val="nil"/>
            </w:tcBorders>
            <w:shd w:val="clear" w:color="auto" w:fill="auto"/>
            <w:noWrap/>
            <w:vAlign w:val="bottom"/>
            <w:hideMark/>
          </w:tcPr>
          <w:p w14:paraId="2B5BFE8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03413F7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PM6:PM7-Si:BTP-eC9</w:t>
            </w:r>
          </w:p>
        </w:tc>
        <w:tc>
          <w:tcPr>
            <w:tcW w:w="379" w:type="pct"/>
            <w:tcBorders>
              <w:top w:val="single" w:sz="4" w:space="0" w:color="auto"/>
              <w:left w:val="nil"/>
              <w:bottom w:val="single" w:sz="4" w:space="0" w:color="auto"/>
              <w:right w:val="nil"/>
            </w:tcBorders>
            <w:shd w:val="clear" w:color="auto" w:fill="auto"/>
            <w:noWrap/>
            <w:vAlign w:val="bottom"/>
            <w:hideMark/>
          </w:tcPr>
          <w:p w14:paraId="792D773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0.862</w:t>
            </w:r>
          </w:p>
        </w:tc>
        <w:tc>
          <w:tcPr>
            <w:tcW w:w="379" w:type="pct"/>
            <w:tcBorders>
              <w:top w:val="single" w:sz="4" w:space="0" w:color="auto"/>
              <w:left w:val="nil"/>
              <w:bottom w:val="single" w:sz="4" w:space="0" w:color="auto"/>
              <w:right w:val="nil"/>
            </w:tcBorders>
            <w:shd w:val="clear" w:color="auto" w:fill="auto"/>
            <w:noWrap/>
            <w:vAlign w:val="bottom"/>
            <w:hideMark/>
          </w:tcPr>
          <w:p w14:paraId="6042C2B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26.39</w:t>
            </w:r>
          </w:p>
        </w:tc>
        <w:tc>
          <w:tcPr>
            <w:tcW w:w="378" w:type="pct"/>
            <w:tcBorders>
              <w:top w:val="single" w:sz="4" w:space="0" w:color="auto"/>
              <w:left w:val="nil"/>
              <w:bottom w:val="single" w:sz="4" w:space="0" w:color="auto"/>
              <w:right w:val="nil"/>
            </w:tcBorders>
            <w:shd w:val="clear" w:color="auto" w:fill="auto"/>
            <w:noWrap/>
            <w:vAlign w:val="bottom"/>
            <w:hideMark/>
          </w:tcPr>
          <w:p w14:paraId="7C3583B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76.8</w:t>
            </w:r>
          </w:p>
        </w:tc>
        <w:tc>
          <w:tcPr>
            <w:tcW w:w="381" w:type="pct"/>
            <w:tcBorders>
              <w:top w:val="single" w:sz="4" w:space="0" w:color="auto"/>
              <w:left w:val="nil"/>
              <w:bottom w:val="single" w:sz="4" w:space="0" w:color="auto"/>
              <w:right w:val="nil"/>
            </w:tcBorders>
            <w:shd w:val="clear" w:color="auto" w:fill="auto"/>
            <w:noWrap/>
            <w:vAlign w:val="bottom"/>
            <w:hideMark/>
          </w:tcPr>
          <w:p w14:paraId="2C0B8A2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17.5</w:t>
            </w:r>
          </w:p>
        </w:tc>
        <w:tc>
          <w:tcPr>
            <w:tcW w:w="378" w:type="pct"/>
            <w:tcBorders>
              <w:top w:val="single" w:sz="4" w:space="0" w:color="auto"/>
              <w:left w:val="nil"/>
              <w:bottom w:val="single" w:sz="4" w:space="0" w:color="auto"/>
              <w:right w:val="nil"/>
            </w:tcBorders>
            <w:shd w:val="clear" w:color="auto" w:fill="auto"/>
            <w:noWrap/>
            <w:vAlign w:val="bottom"/>
            <w:hideMark/>
          </w:tcPr>
          <w:p w14:paraId="51C0DA4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{"citationID":"tmf48a9M","properties":{"formattedCitation":"[50]","plainCitation":"[50]","noteIndex":0},"citationItems":[{"id":616,"uris":["http://zotero.org/users/12909065/items/C6ZP9AMP"],"itemData":{"id":616,"type":"article-journal","abstract":"The influence of halogen substitutions (F, Cl, Br, and I) on the energy levels of the self-assembled hole-extracting molecule [2-(9H-Carbazol-9-yl)ethyl]phosphonic acid (2PACz), is investigated. It is found that the formation of self-assembled monolayers (SAMs) of [2-(3,6-Difluoro-9H-carbazol-9-yl)ethyl]phosphonic acid (F-2PACz), [2-(3,6-Dichloro-9H-carbazol-9-yl)ethyl]phosphonic acid (Cl-2PACz), [2-(3,6-Dibromo-9H-carbazol-9-yl)ethyl]phosphonic acid (Br-2PACz), and [2-(3,6-Diiodo-9H-carbazol-9-yl)ethyl]phosphonic acid (I-2PACz) directly on indium tin oxide (ITO) increases its work function from 4.73 eV to 5.68, 5.77, 5.82, and 5.73 eV, respectively. Combining these ITO/SAM electrodes with the ternary bulk-heterojunction (BHJ) system PM6:PM7-Si:BTP-eC9 yields organic photovoltaic (OPV) cells with power conversion efficiency (PCE) in the range of 17.7%–18.5%. OPVs featuring Cl-2PACz SAMs yield the highest PCE of 18.5%, compared to cells with F-2PACz (17.7%), Br-2PACz (18.0%), or I-2PACz (18.2%). Data analysis reveals that the enhanced performance of Cl-2PACz-based OPVs relates to the increased hole mobility, decreased interface resistance, reduced carrier recombination, and longer carrier lifetime. Furthermore, OPVs featuring Cl-2PACz show enhanced stability under continuous illumination compared to ITO/PEDOT:PSS-based cells. Remarkably, the introduction of the n-dopant benzyl viologen into the BHJ further boosted the PCE of the ITO/Cl-2PACz cells to a maximum value of 18.9%, a record-breaking value for SAM-based OPVs and on par with the best-performing OPVs reported to date. © 2022 Wiley-VCH GmbH.","archive":"Scopus","container-title":"Advanced Energy Materials","DOI":"10.1002/aenm.202202503","ISSN":"1614-6832","issue":"45","language":"English","source":"Scopus","title":"18.9% Efficient Organic Solar Cells Based on n-Doped Bulk-Heterojunction and Halogen-Substituted Self-Assembled Monolayers as Hole Extracting Interlayers","volume":"12","author":[{"family":"Lin","given":"Y."},{"family":"Zhang","given":"Y."},{"family":"Zhang","given":"J."},{"family":"Marcinskas","given":"M."},{"family":"Malinauskas","given":"T."},{"family":"Magomedov","given":"A."},{"family":"Nugraha","given":"M.I."},{"family":"Kaltsas","given":"D."},{"family":"Naphade","given":"D.R."},{"family":"Harrison","given":"G.T."},{"family":"El-Labban","given":"A."},{"family":"Barlow","given":"S."},{"family":"De Wolf","given":"S."},{"family":"Wang","given":"E."},{"family":"McCulloch","given":"I."},{"family":"Tsetseris","given":"L."},{"family":"Getautis","given":"V."},{"family":"Marder","given":"S.R."},{"family":"Anthopoulos","given":"T.D."}],"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[50]</w:t>
            </w:r>
            <w:r w:rsidRPr="00B55044">
              <w:rPr>
                <w:rFonts w:eastAsia="Times New Roman"/>
                <w:color w:val="0000FF"/>
                <w:sz w:val="16"/>
                <w:szCs w:val="16"/>
              </w:rPr>
              <w:fldChar w:fldCharType="end"/>
            </w:r>
          </w:p>
        </w:tc>
      </w:tr>
      <w:tr w:rsidR="00D47774" w:rsidRPr="00B55044" w14:paraId="06D3B41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72535C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87</w:t>
            </w:r>
          </w:p>
        </w:tc>
        <w:tc>
          <w:tcPr>
            <w:tcW w:w="1525" w:type="pct"/>
            <w:tcBorders>
              <w:top w:val="single" w:sz="4" w:space="0" w:color="auto"/>
              <w:left w:val="nil"/>
              <w:bottom w:val="single" w:sz="4" w:space="0" w:color="auto"/>
              <w:right w:val="nil"/>
            </w:tcBorders>
            <w:shd w:val="clear" w:color="auto" w:fill="auto"/>
            <w:noWrap/>
            <w:vAlign w:val="bottom"/>
            <w:hideMark/>
          </w:tcPr>
          <w:p w14:paraId="398C756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5C8091A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PM6:Y7:BTA-4F</w:t>
            </w:r>
          </w:p>
        </w:tc>
        <w:tc>
          <w:tcPr>
            <w:tcW w:w="379" w:type="pct"/>
            <w:tcBorders>
              <w:top w:val="single" w:sz="4" w:space="0" w:color="auto"/>
              <w:left w:val="nil"/>
              <w:bottom w:val="single" w:sz="4" w:space="0" w:color="auto"/>
              <w:right w:val="nil"/>
            </w:tcBorders>
            <w:shd w:val="clear" w:color="auto" w:fill="auto"/>
            <w:noWrap/>
            <w:vAlign w:val="bottom"/>
            <w:hideMark/>
          </w:tcPr>
          <w:p w14:paraId="4B61D94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w:t>
            </w:r>
          </w:p>
        </w:tc>
        <w:tc>
          <w:tcPr>
            <w:tcW w:w="379" w:type="pct"/>
            <w:tcBorders>
              <w:top w:val="single" w:sz="4" w:space="0" w:color="auto"/>
              <w:left w:val="nil"/>
              <w:bottom w:val="single" w:sz="4" w:space="0" w:color="auto"/>
              <w:right w:val="nil"/>
            </w:tcBorders>
            <w:shd w:val="clear" w:color="auto" w:fill="auto"/>
            <w:noWrap/>
            <w:vAlign w:val="bottom"/>
            <w:hideMark/>
          </w:tcPr>
          <w:p w14:paraId="03D9C93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25.72</w:t>
            </w:r>
          </w:p>
        </w:tc>
        <w:tc>
          <w:tcPr>
            <w:tcW w:w="378" w:type="pct"/>
            <w:tcBorders>
              <w:top w:val="single" w:sz="4" w:space="0" w:color="auto"/>
              <w:left w:val="nil"/>
              <w:bottom w:val="single" w:sz="4" w:space="0" w:color="auto"/>
              <w:right w:val="nil"/>
            </w:tcBorders>
            <w:shd w:val="clear" w:color="auto" w:fill="auto"/>
            <w:noWrap/>
            <w:vAlign w:val="bottom"/>
            <w:hideMark/>
          </w:tcPr>
          <w:p w14:paraId="550A35C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68.1</w:t>
            </w:r>
          </w:p>
        </w:tc>
        <w:tc>
          <w:tcPr>
            <w:tcW w:w="381" w:type="pct"/>
            <w:tcBorders>
              <w:top w:val="single" w:sz="4" w:space="0" w:color="auto"/>
              <w:left w:val="nil"/>
              <w:bottom w:val="single" w:sz="4" w:space="0" w:color="auto"/>
              <w:right w:val="nil"/>
            </w:tcBorders>
            <w:shd w:val="clear" w:color="auto" w:fill="auto"/>
            <w:noWrap/>
            <w:vAlign w:val="bottom"/>
            <w:hideMark/>
          </w:tcPr>
          <w:p w14:paraId="03BED0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14.08</w:t>
            </w:r>
          </w:p>
        </w:tc>
        <w:tc>
          <w:tcPr>
            <w:tcW w:w="378" w:type="pct"/>
            <w:tcBorders>
              <w:top w:val="single" w:sz="4" w:space="0" w:color="auto"/>
              <w:left w:val="nil"/>
              <w:bottom w:val="single" w:sz="4" w:space="0" w:color="auto"/>
              <w:right w:val="nil"/>
            </w:tcBorders>
            <w:shd w:val="clear" w:color="auto" w:fill="auto"/>
            <w:noWrap/>
            <w:vAlign w:val="bottom"/>
            <w:hideMark/>
          </w:tcPr>
          <w:p w14:paraId="4A6459B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{"citationID":"4ElKtmWG","properties":{"formattedCitation":"[51]","plainCitation":"[51]","noteIndex":0},"citationItems":[{"id":608,"uris":["http://zotero.org/users/12909065/items/KAMXENHC"],"itemData":{"id":608,"type":"article-journal","abstract":"Chemical modifications of non-fullerene acceptors (NFAs) and halogen-free solvent processes play vital roles in developing organic solar cells (OSCs). This study developed two new, halogen-free solvent-processable NFAs (BTA-UD-4F and BTA-4F) with and without an undecyl chain on the thienothiophene moiety based on the n-hexyl side chain on benzotriazole moiety. Thus, affording high performance OSCs with a halogen-free solvent (o-xylene) processed active layers. BTA-UD-4F (PM6:BTA-UD-4F, efficiency: 14.32%) achieved a higher absorption co-efficient, charge carrier mobility, enhanced solubility, suppressed charge recombination, and good compatibility with the host blend (PM6:Y7, efficiency:15.10%) compared to BTA-4F (PM6:BTA-4F, efficiency:9.41%). Moreover, BTA-UD-4F achieved an impressive power conversion efficiency (PCE) of 17.55% and an open-circuit voltage (Voc), short-circuit current density (Jsc), and fill factor (FF) of 0.85 V, 27.40 mA/cm2, and 75.18%, respectively, by the ternary layer-by-layer (LBL) deposition (PM6/Y7:BTA-UD-4F) OSCs, which is one of the highest PCEs halogen-free solvent processed for LBL-type OSCs. Importantly, the ternary LBL deposition devices accomplished good active layer film morphology, higher excition efficiency with halogen free solvents compared to the bulk heterojunction (BHJ) devices. In contrast, the BHJ ternary OSCs exhibited a PCE of 16.18%. Furthermore, &amp;gt;15% PCEs, up to &amp;gt; 300 nm thickness were achieved, highlighting the potential for large-area device fabrication. These results highlight the huge research potential for the LBL deposition architecture to be used for future OSCs applications. © 2022","archive":"Scopus","container-title":"Chemical Engineering Journal","DOI":"10.1016/j.cej.2022.137621","ISSN":"1385-8947","language":"English","source":"Scopus","title":"Highly efficient layer-by-layer deposition solar cells achieved with halogen-free solvents and molecular engineering of non-fullerene acceptors","volume":"448","author":[{"family":"Gokulnath","given":"T."},{"family":"Durga Gayathri","given":"R."},{"family":"Park","given":"H.-Y."},{"family":"Kim","given":"J."},{"family":"Kim","given":"H."},{"family":"Kim","given":"J."},{"family":"Sudhaker Reddy","given":"S."},{"family":"Yoon","given":"J."},{"family":"Jin","given":"S.-H."}],"issued":{"date-parts":[["2022"]]}}}],"schema":"https://github.com/citation-style-language/schema/raw/master/csl-citation.json"}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[51]</w:t>
            </w:r>
            <w:r w:rsidRPr="00B55044">
              <w:rPr>
                <w:rFonts w:eastAsia="Times New Roman"/>
                <w:color w:val="0000FF"/>
                <w:sz w:val="16"/>
                <w:szCs w:val="16"/>
              </w:rPr>
              <w:fldChar w:fldCharType="end"/>
            </w:r>
          </w:p>
        </w:tc>
      </w:tr>
      <w:tr w:rsidR="00D47774" w:rsidRPr="00B55044" w14:paraId="163D5B4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2B025E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88</w:t>
            </w:r>
          </w:p>
        </w:tc>
        <w:tc>
          <w:tcPr>
            <w:tcW w:w="1525" w:type="pct"/>
            <w:tcBorders>
              <w:top w:val="single" w:sz="4" w:space="0" w:color="auto"/>
              <w:left w:val="nil"/>
              <w:bottom w:val="single" w:sz="4" w:space="0" w:color="auto"/>
              <w:right w:val="nil"/>
            </w:tcBorders>
            <w:shd w:val="clear" w:color="auto" w:fill="auto"/>
            <w:noWrap/>
            <w:vAlign w:val="bottom"/>
            <w:hideMark/>
          </w:tcPr>
          <w:p w14:paraId="3AA9EE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24323BF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PM6:Y7:BTA-UD-4F</w:t>
            </w:r>
          </w:p>
        </w:tc>
        <w:tc>
          <w:tcPr>
            <w:tcW w:w="379" w:type="pct"/>
            <w:tcBorders>
              <w:top w:val="single" w:sz="4" w:space="0" w:color="auto"/>
              <w:left w:val="nil"/>
              <w:bottom w:val="single" w:sz="4" w:space="0" w:color="auto"/>
              <w:right w:val="nil"/>
            </w:tcBorders>
            <w:shd w:val="clear" w:color="auto" w:fill="auto"/>
            <w:noWrap/>
            <w:vAlign w:val="bottom"/>
            <w:hideMark/>
          </w:tcPr>
          <w:p w14:paraId="36337D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w:t>
            </w:r>
          </w:p>
        </w:tc>
        <w:tc>
          <w:tcPr>
            <w:tcW w:w="379" w:type="pct"/>
            <w:tcBorders>
              <w:top w:val="single" w:sz="4" w:space="0" w:color="auto"/>
              <w:left w:val="nil"/>
              <w:bottom w:val="single" w:sz="4" w:space="0" w:color="auto"/>
              <w:right w:val="nil"/>
            </w:tcBorders>
            <w:shd w:val="clear" w:color="auto" w:fill="auto"/>
            <w:noWrap/>
            <w:vAlign w:val="bottom"/>
            <w:hideMark/>
          </w:tcPr>
          <w:p w14:paraId="7059BAA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26.76</w:t>
            </w:r>
          </w:p>
        </w:tc>
        <w:tc>
          <w:tcPr>
            <w:tcW w:w="378" w:type="pct"/>
            <w:tcBorders>
              <w:top w:val="single" w:sz="4" w:space="0" w:color="auto"/>
              <w:left w:val="nil"/>
              <w:bottom w:val="single" w:sz="4" w:space="0" w:color="auto"/>
              <w:right w:val="nil"/>
            </w:tcBorders>
            <w:shd w:val="clear" w:color="auto" w:fill="auto"/>
            <w:noWrap/>
            <w:vAlign w:val="bottom"/>
            <w:hideMark/>
          </w:tcPr>
          <w:p w14:paraId="3D5A527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72.35</w:t>
            </w:r>
          </w:p>
        </w:tc>
        <w:tc>
          <w:tcPr>
            <w:tcW w:w="381" w:type="pct"/>
            <w:tcBorders>
              <w:top w:val="single" w:sz="4" w:space="0" w:color="auto"/>
              <w:left w:val="nil"/>
              <w:bottom w:val="single" w:sz="4" w:space="0" w:color="auto"/>
              <w:right w:val="nil"/>
            </w:tcBorders>
            <w:shd w:val="clear" w:color="auto" w:fill="auto"/>
            <w:noWrap/>
            <w:vAlign w:val="bottom"/>
            <w:hideMark/>
          </w:tcPr>
          <w:p w14:paraId="4D196E5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16.18</w:t>
            </w:r>
          </w:p>
        </w:tc>
        <w:tc>
          <w:tcPr>
            <w:tcW w:w="378" w:type="pct"/>
            <w:tcBorders>
              <w:top w:val="single" w:sz="4" w:space="0" w:color="auto"/>
              <w:left w:val="nil"/>
              <w:bottom w:val="single" w:sz="4" w:space="0" w:color="auto"/>
              <w:right w:val="nil"/>
            </w:tcBorders>
            <w:shd w:val="clear" w:color="auto" w:fill="auto"/>
            <w:noWrap/>
            <w:vAlign w:val="bottom"/>
            <w:hideMark/>
          </w:tcPr>
          <w:p w14:paraId="63AA459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{"citationID":"xIxYv2ks","properties":{"formattedCitation":"[51]","plainCitation":"[51]","noteIndex":0},"citationItems":[{"id":608,"uris":["http://zotero.org/users/12909065/items/KAMXENHC"],"itemData":{"id":608,"type":"article-journal","abstract":"Chemical modifications of non-fullerene acceptors (NFAs) and halogen-free solvent processes play vital roles in developing organic solar cells (OSCs). This study developed two new, halogen-free solvent-processable NFAs (BTA-UD-4F and BTA-4F) with and without an undecyl chain on the thienothiophene moiety based on the n-hexyl side chain on benzotriazole moiety. Thus, affording high performance OSCs with a halogen-free solvent (o-xylene) processed active layers. BTA-UD-4F (PM6:BTA-UD-4F, efficiency: 14.32%) achieved a higher absorption co-efficient, charge carrier mobility, enhanced solubility, suppressed charge recombination, and good compatibility with the host blend (PM6:Y7, efficiency:15.10%) compared to BTA-4F (PM6:BTA-4F, efficiency:9.41%). Moreover, BTA-UD-4F achieved an impressive power conversion efficiency (PCE) of 17.55% and an open-circuit voltage (Voc), short-circuit current density (Jsc), and fill factor (FF) of 0.85 V, 27.40 mA/cm2, and 75.18%, respectively, by the ternary layer-by-layer (LBL) deposition (PM6/Y7:BTA-UD-4F) OSCs, which is one of the highest PCEs halogen-free solvent processed for LBL-type OSCs. Importantly, the ternary LBL deposition devices accomplished good active layer film morphology, higher excition efficiency with halogen free solvents compared to the bulk heterojunction (BHJ) devices. In contrast, the BHJ ternary OSCs exhibited a PCE of 16.18%. Furthermore, &amp;gt;15% PCEs, up to &amp;gt; 300 nm thickness were achieved, highlighting the potential for large-area device fabrication. These results highlight the huge research potential for the LBL deposition architecture to be used for future OSCs applications. © 2022","archive":"Scopus","container-title":"Chemical Engineering Journal","DOI":"10.1016/j.cej.2022.137621","ISSN":"1385-8947","language":"English","source":"Scopus","title":"Highly efficient layer-by-layer deposition solar cells achieved with halogen-free solvents and molecular engineering of non-fullerene acceptors","volume":"448","author":[{"family":"Gokulnath","given":"T."},{"family":"Durga Gayathri","given":"R."},{"family":"Park","given":"H.-Y."},{"family":"Kim","given":"J."},{"family":"Kim","given":"H."},{"family":"Kim","given":"J."},{"family":"Sudhaker Reddy","given":"S."},{"family":"Yoon","given":"J."},{"family":"Jin","given":"S.-H."}],"issued":{"date-parts":[["2022"]]}}}],"schema":"https://github.com/citation-style-language/schema/raw/master/csl-citation.json"}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[51]</w:t>
            </w:r>
            <w:r w:rsidRPr="00B55044">
              <w:rPr>
                <w:rFonts w:eastAsia="Times New Roman"/>
                <w:color w:val="0000FF"/>
                <w:sz w:val="16"/>
                <w:szCs w:val="16"/>
              </w:rPr>
              <w:fldChar w:fldCharType="end"/>
            </w:r>
          </w:p>
        </w:tc>
      </w:tr>
      <w:tr w:rsidR="00D47774" w:rsidRPr="00B55044" w14:paraId="5357215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AE2571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89</w:t>
            </w:r>
          </w:p>
        </w:tc>
        <w:tc>
          <w:tcPr>
            <w:tcW w:w="1525" w:type="pct"/>
            <w:tcBorders>
              <w:top w:val="single" w:sz="4" w:space="0" w:color="auto"/>
              <w:left w:val="nil"/>
              <w:bottom w:val="single" w:sz="4" w:space="0" w:color="auto"/>
              <w:right w:val="nil"/>
            </w:tcBorders>
            <w:shd w:val="clear" w:color="auto" w:fill="auto"/>
            <w:noWrap/>
            <w:vAlign w:val="bottom"/>
            <w:hideMark/>
          </w:tcPr>
          <w:p w14:paraId="68346AC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3DF0D7B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PM6:PM6TPO:PY-IT</w:t>
            </w:r>
          </w:p>
        </w:tc>
        <w:tc>
          <w:tcPr>
            <w:tcW w:w="379" w:type="pct"/>
            <w:tcBorders>
              <w:top w:val="single" w:sz="4" w:space="0" w:color="auto"/>
              <w:left w:val="nil"/>
              <w:bottom w:val="single" w:sz="4" w:space="0" w:color="auto"/>
              <w:right w:val="nil"/>
            </w:tcBorders>
            <w:shd w:val="clear" w:color="auto" w:fill="auto"/>
            <w:noWrap/>
            <w:vAlign w:val="bottom"/>
            <w:hideMark/>
          </w:tcPr>
          <w:p w14:paraId="5B9155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0.945</w:t>
            </w:r>
          </w:p>
        </w:tc>
        <w:tc>
          <w:tcPr>
            <w:tcW w:w="379" w:type="pct"/>
            <w:tcBorders>
              <w:top w:val="single" w:sz="4" w:space="0" w:color="auto"/>
              <w:left w:val="nil"/>
              <w:bottom w:val="single" w:sz="4" w:space="0" w:color="auto"/>
              <w:right w:val="nil"/>
            </w:tcBorders>
            <w:shd w:val="clear" w:color="auto" w:fill="auto"/>
            <w:noWrap/>
            <w:vAlign w:val="bottom"/>
            <w:hideMark/>
          </w:tcPr>
          <w:p w14:paraId="717BF3A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24.8</w:t>
            </w:r>
          </w:p>
        </w:tc>
        <w:tc>
          <w:tcPr>
            <w:tcW w:w="378" w:type="pct"/>
            <w:tcBorders>
              <w:top w:val="single" w:sz="4" w:space="0" w:color="auto"/>
              <w:left w:val="nil"/>
              <w:bottom w:val="single" w:sz="4" w:space="0" w:color="auto"/>
              <w:right w:val="nil"/>
            </w:tcBorders>
            <w:shd w:val="clear" w:color="auto" w:fill="auto"/>
            <w:noWrap/>
            <w:vAlign w:val="bottom"/>
            <w:hideMark/>
          </w:tcPr>
          <w:p w14:paraId="3B3E787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72.52</w:t>
            </w:r>
          </w:p>
        </w:tc>
        <w:tc>
          <w:tcPr>
            <w:tcW w:w="381" w:type="pct"/>
            <w:tcBorders>
              <w:top w:val="single" w:sz="4" w:space="0" w:color="auto"/>
              <w:left w:val="nil"/>
              <w:bottom w:val="single" w:sz="4" w:space="0" w:color="auto"/>
              <w:right w:val="nil"/>
            </w:tcBorders>
            <w:shd w:val="clear" w:color="auto" w:fill="auto"/>
            <w:noWrap/>
            <w:vAlign w:val="bottom"/>
            <w:hideMark/>
          </w:tcPr>
          <w:p w14:paraId="66A0A6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w:t>
            </w:r>
          </w:p>
        </w:tc>
        <w:tc>
          <w:tcPr>
            <w:tcW w:w="378" w:type="pct"/>
            <w:tcBorders>
              <w:top w:val="single" w:sz="4" w:space="0" w:color="auto"/>
              <w:left w:val="nil"/>
              <w:bottom w:val="single" w:sz="4" w:space="0" w:color="auto"/>
              <w:right w:val="nil"/>
            </w:tcBorders>
            <w:shd w:val="clear" w:color="auto" w:fill="auto"/>
            <w:noWrap/>
            <w:vAlign w:val="bottom"/>
            <w:hideMark/>
          </w:tcPr>
          <w:p w14:paraId="3C102B3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{"citationID":"edpR3ky1","properties":{"formattedCitation":"[52]","plainCitation":"[52]","noteIndex":0},"citationItems":[{"id":601,"uris":["http://zotero.org/users/12909065/items/GL84U4RB"],"itemData":{"id":601,"type":"article-journal","abstract":"Recently, all-polymer solar cells (all-PSCs) have received increasing attention and made tremendous progress. However, the power conversion efficiency (PCE) of all-PSCs still lags behind the polymer-donor-small-molecule-acceptor based organic solar cells, owing to the excessive phase separation with poor miscibility between polymer donor and acceptor. In this research, an “end-capped” ternary strategy is proposed by introducing PM6TPO as a third component to fabricate highly efficient all-PSCs. The PM6:PM6TPO:PY-IT based ternary devices exhibit impressive PCE of 17.0% with enhanced light absorption and optimal morphology, and the introduction of PM6TPO significantly reduces the phase separation. The ternary devices also exhibit improved stability, outstanding tolerance of active layer thickness, and high performance of 1 cm2 unit cells. More importantly, the “end-capped” ternary strategy enables efficient and facile improvement of all-PSCs performance without additional selection and complicated synthesis for the third component. © 2022 The Authors. Advanced Science published by Wiley-VCH GmbH.","archive":"Scopus","container-title":"Advanced Science","DOI":"10.1002/advs.202204030","ISSN":"2198-3844","issue":"32","language":"English","source":"Scopus","title":"All-Polymer Solar Cells with 17% Efficiency Enabled by the “End-Capped” Ternary Strategy","volume":"9","author":[{"family":"Yue","given":"Y."},{"family":"Zheng","given":"B."},{"family":"Ni","given":"J."},{"family":"Yang","given":"W."},{"family":"Huo","given":"L."},{"family":"Wang","given":"J."},{"family":"Jiang","given":"L."}],"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[52]</w:t>
            </w:r>
            <w:r w:rsidRPr="00B55044">
              <w:rPr>
                <w:rFonts w:eastAsia="Times New Roman"/>
                <w:color w:val="0000FF"/>
                <w:sz w:val="16"/>
                <w:szCs w:val="16"/>
              </w:rPr>
              <w:fldChar w:fldCharType="end"/>
            </w:r>
          </w:p>
        </w:tc>
      </w:tr>
      <w:tr w:rsidR="00D47774" w:rsidRPr="00B55044" w14:paraId="33B87F4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0A7F00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90</w:t>
            </w:r>
          </w:p>
        </w:tc>
        <w:tc>
          <w:tcPr>
            <w:tcW w:w="1525" w:type="pct"/>
            <w:tcBorders>
              <w:top w:val="single" w:sz="4" w:space="0" w:color="auto"/>
              <w:left w:val="nil"/>
              <w:bottom w:val="single" w:sz="4" w:space="0" w:color="auto"/>
              <w:right w:val="nil"/>
            </w:tcBorders>
            <w:shd w:val="clear" w:color="auto" w:fill="auto"/>
            <w:noWrap/>
            <w:vAlign w:val="bottom"/>
            <w:hideMark/>
          </w:tcPr>
          <w:p w14:paraId="55B1524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0EAE5E0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PM6:BTP-eC9:PC</w:t>
            </w:r>
            <w:r w:rsidRPr="00B55044">
              <w:rPr>
                <w:rFonts w:eastAsia="Times New Roman"/>
                <w:sz w:val="16"/>
                <w:szCs w:val="16"/>
                <w:vertAlign w:val="subscript"/>
              </w:rPr>
              <w:t>71</w:t>
            </w:r>
            <w:r w:rsidRPr="00B55044">
              <w:rPr>
                <w:rFonts w:eastAsia="Times New Roman"/>
                <w:sz w:val="16"/>
                <w:szCs w:val="16"/>
              </w:rPr>
              <w:t>BM/MPFM</w:t>
            </w:r>
          </w:p>
        </w:tc>
        <w:tc>
          <w:tcPr>
            <w:tcW w:w="379" w:type="pct"/>
            <w:tcBorders>
              <w:top w:val="single" w:sz="4" w:space="0" w:color="auto"/>
              <w:left w:val="nil"/>
              <w:bottom w:val="single" w:sz="4" w:space="0" w:color="auto"/>
              <w:right w:val="nil"/>
            </w:tcBorders>
            <w:shd w:val="clear" w:color="auto" w:fill="auto"/>
            <w:noWrap/>
            <w:vAlign w:val="bottom"/>
            <w:hideMark/>
          </w:tcPr>
          <w:p w14:paraId="525A5CD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0.847</w:t>
            </w:r>
          </w:p>
        </w:tc>
        <w:tc>
          <w:tcPr>
            <w:tcW w:w="379" w:type="pct"/>
            <w:tcBorders>
              <w:top w:val="single" w:sz="4" w:space="0" w:color="auto"/>
              <w:left w:val="nil"/>
              <w:bottom w:val="single" w:sz="4" w:space="0" w:color="auto"/>
              <w:right w:val="nil"/>
            </w:tcBorders>
            <w:shd w:val="clear" w:color="auto" w:fill="auto"/>
            <w:noWrap/>
            <w:vAlign w:val="bottom"/>
            <w:hideMark/>
          </w:tcPr>
          <w:p w14:paraId="6FA9126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28</w:t>
            </w:r>
          </w:p>
        </w:tc>
        <w:tc>
          <w:tcPr>
            <w:tcW w:w="378" w:type="pct"/>
            <w:tcBorders>
              <w:top w:val="single" w:sz="4" w:space="0" w:color="auto"/>
              <w:left w:val="nil"/>
              <w:bottom w:val="single" w:sz="4" w:space="0" w:color="auto"/>
              <w:right w:val="nil"/>
            </w:tcBorders>
            <w:shd w:val="clear" w:color="auto" w:fill="auto"/>
            <w:noWrap/>
            <w:vAlign w:val="bottom"/>
            <w:hideMark/>
          </w:tcPr>
          <w:p w14:paraId="4432DE6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78.14</w:t>
            </w:r>
          </w:p>
        </w:tc>
        <w:tc>
          <w:tcPr>
            <w:tcW w:w="381" w:type="pct"/>
            <w:tcBorders>
              <w:top w:val="single" w:sz="4" w:space="0" w:color="auto"/>
              <w:left w:val="nil"/>
              <w:bottom w:val="single" w:sz="4" w:space="0" w:color="auto"/>
              <w:right w:val="nil"/>
            </w:tcBorders>
            <w:shd w:val="clear" w:color="auto" w:fill="auto"/>
            <w:noWrap/>
            <w:vAlign w:val="bottom"/>
            <w:hideMark/>
          </w:tcPr>
          <w:p w14:paraId="6E8A835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18.53</w:t>
            </w:r>
          </w:p>
        </w:tc>
        <w:tc>
          <w:tcPr>
            <w:tcW w:w="378" w:type="pct"/>
            <w:tcBorders>
              <w:top w:val="single" w:sz="4" w:space="0" w:color="auto"/>
              <w:left w:val="nil"/>
              <w:bottom w:val="single" w:sz="4" w:space="0" w:color="auto"/>
              <w:right w:val="nil"/>
            </w:tcBorders>
            <w:shd w:val="clear" w:color="auto" w:fill="auto"/>
            <w:noWrap/>
            <w:vAlign w:val="bottom"/>
            <w:hideMark/>
          </w:tcPr>
          <w:p w14:paraId="52DE42E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{"citationID":"qWx6Eq7H","properties":{"formattedCitation":"[53]","plainCitation":"[53]","noteIndex":0},"citationItems":[{"id":600,"uris":["http://zotero.org/users/12909065/items/67ASR8L4"],"itemData":{"id":600,"type":"article-journal","abstract":"A ternary solar cell is a typical strategy that can well compensate light absorption and effectively regulate energy levels and the morphology of active layers. However, the commonly used active materials have low relative dielectric constant, which is one of the important limitations for improving the photovoltaic performance of organic solar cells (OSCs). In this work, an insulating polymer MPFM with high relative dielectric constant is introduced into the ternary active layers to improve the performance of OSCs by synergistic effect of macro light utilization and micro interface modulation. The introduction of MPFM not only strengthened the dielectric constant of bulk heterojunctions but also enhanced the degree of crystallinity and adhesivity, promoted the exciton separation, suppressed charge recombination, and significantly accelerated charge transport. As a result with the addition of MPFM, an outstanding efficiencies of 18.21% and 18.53% are achieved for devices based on PM6:Y6:PC71BM and PM6:BTP-eC9:PC71BM, respectively. These results indicated that constructing the micro-PIN junction by using MPFM is an effective strategy to further improve the photovoltaic performance of OSCs. © 2022 Elsevier Ltd","archive":"Scopus","container-title":"Nano Energy","DOI":"10.1016/j.nanoen.2022.107742","ISSN":"2211-2855","language":"English","source":"Scopus","title":"Boosts charge utilization and enables high performance organic solar cells by marco- and micro- synergistic method","volume":"102","author":[{"family":"Zhang","given":"S."},{"family":"Bi","given":"F."},{"family":"Han","given":"J."},{"family":"Shang","given":"C."},{"family":"Kang","given":"X."},{"family":"Bao","given":"X."}],"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[53]</w:t>
            </w:r>
            <w:r w:rsidRPr="00B55044">
              <w:rPr>
                <w:rFonts w:eastAsia="Times New Roman"/>
                <w:color w:val="0000FF"/>
                <w:sz w:val="16"/>
                <w:szCs w:val="16"/>
              </w:rPr>
              <w:fldChar w:fldCharType="end"/>
            </w:r>
          </w:p>
        </w:tc>
      </w:tr>
      <w:tr w:rsidR="00D47774" w:rsidRPr="00B55044" w14:paraId="323FFE7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7F813A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91</w:t>
            </w:r>
          </w:p>
        </w:tc>
        <w:tc>
          <w:tcPr>
            <w:tcW w:w="1525" w:type="pct"/>
            <w:tcBorders>
              <w:top w:val="single" w:sz="4" w:space="0" w:color="auto"/>
              <w:left w:val="nil"/>
              <w:bottom w:val="single" w:sz="4" w:space="0" w:color="auto"/>
              <w:right w:val="nil"/>
            </w:tcBorders>
            <w:shd w:val="clear" w:color="auto" w:fill="auto"/>
            <w:noWrap/>
            <w:vAlign w:val="bottom"/>
            <w:hideMark/>
          </w:tcPr>
          <w:p w14:paraId="1316920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/Au/Ag</w:t>
            </w:r>
          </w:p>
        </w:tc>
        <w:tc>
          <w:tcPr>
            <w:tcW w:w="1288" w:type="pct"/>
            <w:tcBorders>
              <w:top w:val="single" w:sz="4" w:space="0" w:color="auto"/>
              <w:left w:val="nil"/>
              <w:bottom w:val="single" w:sz="4" w:space="0" w:color="auto"/>
              <w:right w:val="nil"/>
            </w:tcBorders>
            <w:shd w:val="clear" w:color="auto" w:fill="auto"/>
            <w:noWrap/>
            <w:vAlign w:val="bottom"/>
            <w:hideMark/>
          </w:tcPr>
          <w:p w14:paraId="63EC34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PM6:Y6-BO:FCS1</w:t>
            </w:r>
          </w:p>
        </w:tc>
        <w:tc>
          <w:tcPr>
            <w:tcW w:w="379" w:type="pct"/>
            <w:tcBorders>
              <w:top w:val="single" w:sz="4" w:space="0" w:color="auto"/>
              <w:left w:val="nil"/>
              <w:bottom w:val="single" w:sz="4" w:space="0" w:color="auto"/>
              <w:right w:val="nil"/>
            </w:tcBorders>
            <w:shd w:val="clear" w:color="auto" w:fill="auto"/>
            <w:noWrap/>
            <w:vAlign w:val="bottom"/>
            <w:hideMark/>
          </w:tcPr>
          <w:p w14:paraId="779CD60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0.851</w:t>
            </w:r>
          </w:p>
        </w:tc>
        <w:tc>
          <w:tcPr>
            <w:tcW w:w="379" w:type="pct"/>
            <w:tcBorders>
              <w:top w:val="single" w:sz="4" w:space="0" w:color="auto"/>
              <w:left w:val="nil"/>
              <w:bottom w:val="single" w:sz="4" w:space="0" w:color="auto"/>
              <w:right w:val="nil"/>
            </w:tcBorders>
            <w:shd w:val="clear" w:color="auto" w:fill="auto"/>
            <w:noWrap/>
            <w:vAlign w:val="bottom"/>
            <w:hideMark/>
          </w:tcPr>
          <w:p w14:paraId="56CB005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11.07</w:t>
            </w:r>
          </w:p>
        </w:tc>
        <w:tc>
          <w:tcPr>
            <w:tcW w:w="378" w:type="pct"/>
            <w:tcBorders>
              <w:top w:val="single" w:sz="4" w:space="0" w:color="auto"/>
              <w:left w:val="nil"/>
              <w:bottom w:val="single" w:sz="4" w:space="0" w:color="auto"/>
              <w:right w:val="nil"/>
            </w:tcBorders>
            <w:shd w:val="clear" w:color="auto" w:fill="auto"/>
            <w:noWrap/>
            <w:vAlign w:val="bottom"/>
            <w:hideMark/>
          </w:tcPr>
          <w:p w14:paraId="44D9D08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63.77</w:t>
            </w:r>
          </w:p>
        </w:tc>
        <w:tc>
          <w:tcPr>
            <w:tcW w:w="381" w:type="pct"/>
            <w:tcBorders>
              <w:top w:val="single" w:sz="4" w:space="0" w:color="auto"/>
              <w:left w:val="nil"/>
              <w:bottom w:val="single" w:sz="4" w:space="0" w:color="auto"/>
              <w:right w:val="nil"/>
            </w:tcBorders>
            <w:shd w:val="clear" w:color="auto" w:fill="auto"/>
            <w:noWrap/>
            <w:vAlign w:val="bottom"/>
            <w:hideMark/>
          </w:tcPr>
          <w:p w14:paraId="732144E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6.01</w:t>
            </w:r>
          </w:p>
        </w:tc>
        <w:tc>
          <w:tcPr>
            <w:tcW w:w="378" w:type="pct"/>
            <w:tcBorders>
              <w:top w:val="single" w:sz="4" w:space="0" w:color="auto"/>
              <w:left w:val="nil"/>
              <w:bottom w:val="single" w:sz="4" w:space="0" w:color="auto"/>
              <w:right w:val="nil"/>
            </w:tcBorders>
            <w:shd w:val="clear" w:color="auto" w:fill="auto"/>
            <w:noWrap/>
            <w:vAlign w:val="bottom"/>
            <w:hideMark/>
          </w:tcPr>
          <w:p w14:paraId="5E5D097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{"citationID":"Fw2bmTqs","properties":{"formattedCitation":"[54]","plainCitation":"[54]","noteIndex":0},"citationItems":[{"id":599,"uris":["http://zotero.org/users/12909065/items/PFJZWYM6"],"itemData":{"id":599,"type":"article-journal","abstract":"Although optical engineering strategy has been utilized to optimize average visible transmittance (AVT) of semi-transparent organic solar cells (ST-OSCs), judicious selection of active layer materials should be more direct and basic. Herein, an efficient ternary active layer is constructed with a wide bandgap (3.0 eV) fluorescent polymer FC-S1 as host donor, a middle bandgap polymer PM6 as guest donor, and a narrow bandgap non-fullerene Y6-BO as acceptor. Using FC-S1 as the host donor can allow more visible photons to penetrate the device. In the absence of optical engineering, the ternary ST-OSC with FC-S1:PM6:Y6-BO = 1:0.3:1.5 active layer of 30 nm thickness displays a much higher AVT of 49.28% than that of 32.34% for a PM6:Y6-BO = 1.3:1.5 based binary ST-OSC. The ternary ST-OSC provides a good power conversion efficiency of 6.01%, only slightly lower than 7.15% for the binary ST-OSC. The ternary ST-OSC also demonstrates a color rendering index (CRI) of 87 and a correlated color temperature (CCT) of 6916 K, all better than CRI of 80 and CCT of 9022 K for the binary ST-OSC. Moreover, the backbone of FC-S1 is mainly composed by fluorene and carbazole, two easily-accessible aromatic rings, which would meet low-cost concern of ST-OSCs. © 2022 Wiley-VCH GmbH.","archive":"Scopus","container-title":"Macromolecular Rapid Communications","DOI":"10.1002/marc.202200199","ISSN":"1022-1336","issue":"22","language":"English","source":"Scopus","title":"Using 3.0 eV Large Bandgap Conjugated Polymer as Host Donor to Construct Ternary Semi-Transparent Polymer Solar Cells: Increased Average Visible Transmittance and Modified Color Temperature","title-short":"Using 3.0 eV Large Bandgap Conjugated Polymer as Host Donor to Construct Ternary Semi-Transparent Polymer Solar Cells","volume":"43","author":[{"family":"Liu","given":"X."},{"family":"Liu","given":"Z."},{"family":"Chen","given":"M."},{"family":"Wang","given":"Q."},{"family":"Pan","given":"F."},{"family":"Liu","given":"H."},{"family":"Zhang","given":"L."},{"family":"Chen","given":"J."}],"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[54]</w:t>
            </w:r>
            <w:r w:rsidRPr="00B55044">
              <w:rPr>
                <w:rFonts w:eastAsia="Times New Roman"/>
                <w:color w:val="0000FF"/>
                <w:sz w:val="16"/>
                <w:szCs w:val="16"/>
              </w:rPr>
              <w:fldChar w:fldCharType="end"/>
            </w:r>
          </w:p>
        </w:tc>
      </w:tr>
      <w:tr w:rsidR="00D47774" w:rsidRPr="00B55044" w14:paraId="1ADB3CD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C11902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92</w:t>
            </w:r>
          </w:p>
        </w:tc>
        <w:tc>
          <w:tcPr>
            <w:tcW w:w="1525" w:type="pct"/>
            <w:tcBorders>
              <w:top w:val="single" w:sz="4" w:space="0" w:color="auto"/>
              <w:left w:val="nil"/>
              <w:bottom w:val="single" w:sz="4" w:space="0" w:color="auto"/>
              <w:right w:val="nil"/>
            </w:tcBorders>
            <w:shd w:val="clear" w:color="auto" w:fill="auto"/>
            <w:noWrap/>
            <w:vAlign w:val="bottom"/>
            <w:hideMark/>
          </w:tcPr>
          <w:p w14:paraId="28D393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ITO/PEDOT:PSS-PA/AL/PNDIT-F3N/Ag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57CB174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PM6:PY-IT:Tech-PCBM</w:t>
            </w:r>
          </w:p>
        </w:tc>
        <w:tc>
          <w:tcPr>
            <w:tcW w:w="379" w:type="pct"/>
            <w:tcBorders>
              <w:top w:val="single" w:sz="4" w:space="0" w:color="auto"/>
              <w:left w:val="nil"/>
              <w:bottom w:val="single" w:sz="4" w:space="0" w:color="auto"/>
              <w:right w:val="nil"/>
            </w:tcBorders>
            <w:shd w:val="clear" w:color="auto" w:fill="auto"/>
            <w:noWrap/>
            <w:vAlign w:val="bottom"/>
            <w:hideMark/>
          </w:tcPr>
          <w:p w14:paraId="254913D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0.956</w:t>
            </w:r>
          </w:p>
        </w:tc>
        <w:tc>
          <w:tcPr>
            <w:tcW w:w="379" w:type="pct"/>
            <w:tcBorders>
              <w:top w:val="single" w:sz="4" w:space="0" w:color="auto"/>
              <w:left w:val="nil"/>
              <w:bottom w:val="single" w:sz="4" w:space="0" w:color="auto"/>
              <w:right w:val="nil"/>
            </w:tcBorders>
            <w:shd w:val="clear" w:color="auto" w:fill="auto"/>
            <w:noWrap/>
            <w:vAlign w:val="bottom"/>
            <w:hideMark/>
          </w:tcPr>
          <w:p w14:paraId="7F8A6A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22.72</w:t>
            </w:r>
          </w:p>
        </w:tc>
        <w:tc>
          <w:tcPr>
            <w:tcW w:w="378" w:type="pct"/>
            <w:tcBorders>
              <w:top w:val="single" w:sz="4" w:space="0" w:color="auto"/>
              <w:left w:val="nil"/>
              <w:bottom w:val="single" w:sz="4" w:space="0" w:color="auto"/>
              <w:right w:val="nil"/>
            </w:tcBorders>
            <w:shd w:val="clear" w:color="auto" w:fill="auto"/>
            <w:noWrap/>
            <w:vAlign w:val="bottom"/>
            <w:hideMark/>
          </w:tcPr>
          <w:p w14:paraId="7C1F03B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79.6</w:t>
            </w:r>
          </w:p>
        </w:tc>
        <w:tc>
          <w:tcPr>
            <w:tcW w:w="381" w:type="pct"/>
            <w:tcBorders>
              <w:top w:val="single" w:sz="4" w:space="0" w:color="auto"/>
              <w:left w:val="nil"/>
              <w:bottom w:val="single" w:sz="4" w:space="0" w:color="auto"/>
              <w:right w:val="nil"/>
            </w:tcBorders>
            <w:shd w:val="clear" w:color="auto" w:fill="auto"/>
            <w:noWrap/>
            <w:vAlign w:val="bottom"/>
            <w:hideMark/>
          </w:tcPr>
          <w:p w14:paraId="4CDD870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16.16</w:t>
            </w:r>
          </w:p>
        </w:tc>
        <w:tc>
          <w:tcPr>
            <w:tcW w:w="378" w:type="pct"/>
            <w:tcBorders>
              <w:top w:val="single" w:sz="4" w:space="0" w:color="auto"/>
              <w:left w:val="nil"/>
              <w:bottom w:val="single" w:sz="4" w:space="0" w:color="auto"/>
              <w:right w:val="nil"/>
            </w:tcBorders>
            <w:shd w:val="clear" w:color="auto" w:fill="auto"/>
            <w:noWrap/>
            <w:vAlign w:val="bottom"/>
            <w:hideMark/>
          </w:tcPr>
          <w:p w14:paraId="6991D66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{"citationID":"3n0Sd9ew","properties":{"formattedCitation":"[55]","plainCitation":"[55]","noteIndex":0},"citationItems":[{"id":598,"uris":["http://zotero.org/users/12909065/items/GNJDAGSV"],"itemData":{"id":598,"type":"article-journal","abstract":"All-polymer solar cells (all-PSCs) are one of the most promising application-oriented organic photovoltaic technologies due to their excellent operational and mechanical stability. However, the power conversion efficiencies (PCEs) are mostly lower than 16%, restricting their core competitiveness. Furthermore, the improvement of mechanical durability is rarely paid attention to cutting-edge all-PSCs. This work deploys a low-cost “technical grade” PCBM (incompletely separated but pure mixtures containing ≥90% [70]PCBM or [60]PCBM), into the efficient PM6:PY-IT all-polymer blend, successfully yielding a high-performance ternary device with 16.16% PCE, among the highest PCE values for all-PSCs. Meanwhile, an excellent mechanical property (i.e., crack onset strain = 11.1%) promoted from 9.5% for the ternary system is also demonstrated. The “technical grade” PCBM slightly disrupts the crystallization of polymers, and disperses well into the amorphous polymer regions of the all-PSC blends, thus facilitating charge transport and improving film ductility simultaneously. All these results confirm introducing low-cost “technical grade” PCBM with high electron mobility into all-polymer blends can improve carrier mobility, reduce charge recombination, and optimize morphology of the amorphous polymer regions, thus yielding more efficient and mechanically durable all-PSCs. © 2022 Wiley-VCH GmbH.","archive":"Scopus","container-title":"Macromolecular Rapid Communications","DOI":"10.1002/marc.202200139","ISSN":"1022-1336","issue":"22","language":"English","source":"Scopus","title":"Simultaneously Enhanced Efficiency and Mechanical Durability in Ternary Solar Cells Enabled by Low-Cost Incompletely Separated Fullerenes","volume":"43","author":[{"family":"Sun","given":"Y."},{"family":"Ma","given":"R."},{"family":"Kan","given":"Y."},{"family":"Liu","given":"T."},{"family":"Zhou","given":"K."},{"family":"Liu","given":"P."},{"family":"Fang","given":"J."},{"family":"Chen","given":"Y."},{"family":"Ye","given":"L."},{"family":"Ma","given":"C."},{"family":"Yan","given":"H."},{"family":"Gao","given":"K."}],"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[55]</w:t>
            </w:r>
            <w:r w:rsidRPr="00B55044">
              <w:rPr>
                <w:rFonts w:eastAsia="Times New Roman"/>
                <w:color w:val="0000FF"/>
                <w:sz w:val="16"/>
                <w:szCs w:val="16"/>
              </w:rPr>
              <w:fldChar w:fldCharType="end"/>
            </w:r>
          </w:p>
        </w:tc>
      </w:tr>
      <w:tr w:rsidR="00D47774" w:rsidRPr="00B55044" w14:paraId="719A27F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7B9842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93</w:t>
            </w:r>
          </w:p>
        </w:tc>
        <w:tc>
          <w:tcPr>
            <w:tcW w:w="1525" w:type="pct"/>
            <w:tcBorders>
              <w:top w:val="single" w:sz="4" w:space="0" w:color="auto"/>
              <w:left w:val="nil"/>
              <w:bottom w:val="single" w:sz="4" w:space="0" w:color="auto"/>
              <w:right w:val="nil"/>
            </w:tcBorders>
            <w:shd w:val="clear" w:color="auto" w:fill="auto"/>
            <w:noWrap/>
            <w:vAlign w:val="bottom"/>
            <w:hideMark/>
          </w:tcPr>
          <w:p w14:paraId="5310B98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43A9F0D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PM6:AC174:Y6</w:t>
            </w:r>
          </w:p>
        </w:tc>
        <w:tc>
          <w:tcPr>
            <w:tcW w:w="379" w:type="pct"/>
            <w:tcBorders>
              <w:top w:val="single" w:sz="4" w:space="0" w:color="auto"/>
              <w:left w:val="nil"/>
              <w:bottom w:val="single" w:sz="4" w:space="0" w:color="auto"/>
              <w:right w:val="nil"/>
            </w:tcBorders>
            <w:shd w:val="clear" w:color="auto" w:fill="auto"/>
            <w:noWrap/>
            <w:vAlign w:val="bottom"/>
            <w:hideMark/>
          </w:tcPr>
          <w:p w14:paraId="698A4E6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0.817</w:t>
            </w:r>
          </w:p>
        </w:tc>
        <w:tc>
          <w:tcPr>
            <w:tcW w:w="379" w:type="pct"/>
            <w:tcBorders>
              <w:top w:val="single" w:sz="4" w:space="0" w:color="auto"/>
              <w:left w:val="nil"/>
              <w:bottom w:val="single" w:sz="4" w:space="0" w:color="auto"/>
              <w:right w:val="nil"/>
            </w:tcBorders>
            <w:shd w:val="clear" w:color="auto" w:fill="auto"/>
            <w:noWrap/>
            <w:vAlign w:val="bottom"/>
            <w:hideMark/>
          </w:tcPr>
          <w:p w14:paraId="79EF033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28.4</w:t>
            </w:r>
          </w:p>
        </w:tc>
        <w:tc>
          <w:tcPr>
            <w:tcW w:w="378" w:type="pct"/>
            <w:tcBorders>
              <w:top w:val="single" w:sz="4" w:space="0" w:color="auto"/>
              <w:left w:val="nil"/>
              <w:bottom w:val="single" w:sz="4" w:space="0" w:color="auto"/>
              <w:right w:val="nil"/>
            </w:tcBorders>
            <w:shd w:val="clear" w:color="auto" w:fill="auto"/>
            <w:noWrap/>
            <w:vAlign w:val="bottom"/>
            <w:hideMark/>
          </w:tcPr>
          <w:p w14:paraId="615B0C2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74.1</w:t>
            </w:r>
          </w:p>
        </w:tc>
        <w:tc>
          <w:tcPr>
            <w:tcW w:w="381" w:type="pct"/>
            <w:tcBorders>
              <w:top w:val="single" w:sz="4" w:space="0" w:color="auto"/>
              <w:left w:val="nil"/>
              <w:bottom w:val="single" w:sz="4" w:space="0" w:color="auto"/>
              <w:right w:val="nil"/>
            </w:tcBorders>
            <w:shd w:val="clear" w:color="auto" w:fill="auto"/>
            <w:noWrap/>
            <w:vAlign w:val="bottom"/>
            <w:hideMark/>
          </w:tcPr>
          <w:p w14:paraId="7CED1BD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17.2</w:t>
            </w:r>
          </w:p>
        </w:tc>
        <w:tc>
          <w:tcPr>
            <w:tcW w:w="378" w:type="pct"/>
            <w:tcBorders>
              <w:top w:val="single" w:sz="4" w:space="0" w:color="auto"/>
              <w:left w:val="nil"/>
              <w:bottom w:val="single" w:sz="4" w:space="0" w:color="auto"/>
              <w:right w:val="nil"/>
            </w:tcBorders>
            <w:shd w:val="clear" w:color="auto" w:fill="auto"/>
            <w:noWrap/>
            <w:vAlign w:val="bottom"/>
            <w:hideMark/>
          </w:tcPr>
          <w:p w14:paraId="2F51D66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{"citationID":"PePT6oxc","properties":{"formattedCitation":"[56]","plainCitation":"[56]","noteIndex":0},"citationItems":[{"id":597,"uris":["http://zotero.org/users/12909065/items/PPZ5NQVS"],"itemData":{"id":597,"type":"article-journal","abstract":"A highly crystalline, highly emissive, and wide-bandgap polymer AC174 with an extremely small Stokes shift is designed and synthesized in water, and is used to reduce system energetic disorder and increase the exciton diffusion length of the classical PM6:Y6 blend system. AC174 is incompatible with PM6 and Y6, improves molecular packing, and reduces system energetic disorder. The long-range Förster resonance energy transfer between the donor and acceptor is enhanced, and the exciton diffusion constant and exciton lifetime are increased, leading to a longer exciton diffusion length and more efficient exciton dissociation and charge generation. The addition of AC174 simultaneously improves the open-circuit voltage, short-circuit current density (JSC) and fill factor of PM6:Y6 devices; especially the highest internal quantum efficiency approaches 100%, and the highest JSC is 28.4 mA cm−2. Ternary devices with 5% AC174 in the donors achieve a power conversion efficiency of 17.2%, higher than those of the parent binary devices based on PM6:Y6 (15.9%) and AC174:Y6 (3.24%). © 2022 The Royal Society of Chemistry.","archive":"Scopus","container-title":"Journal of Materials Chemistry A","DOI":"10.1039/d2ta07113d","ISSN":"2050-7488","issue":"45","language":"English","page":"24073-24083","source":"Scopus","title":"Enhancing exciton diffusion by reducing energy disorder in organic solar cells","volume":"10","author":[{"family":"Xue","given":"P."},{"family":"Calascibetta","given":"A.M."},{"family":"Chen","given":"K."},{"family":"Thorn","given":"K.E."},{"family":"Jiang","given":"Y."},{"family":"Shi","given":"J."},{"family":"Jia","given":"B."},{"family":"Li","given":"M."},{"family":"Xin","given":"J."},{"family":"Cai","given":"G."},{"family":"Yang","given":"R."},{"family":"Lu","given":"H."},{"family":"Mattiello","given":"S."},{"family":"Liu","given":"Y."},{"family":"Tang","given":"Z."},{"family":"Ma","given":"W."},{"family":"Lu","given":"X."},{"family":"Meng","given":"Q."},{"family":"Hodgkiss","given":"J.M."},{"family":"Beverina","given":"L."},{"family":"Han","given":"R.P.S."},{"family":"Zhan","given":"X."}],"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[56]</w:t>
            </w:r>
            <w:r w:rsidRPr="00B55044">
              <w:rPr>
                <w:rFonts w:eastAsia="Times New Roman"/>
                <w:color w:val="0000FF"/>
                <w:sz w:val="16"/>
                <w:szCs w:val="16"/>
              </w:rPr>
              <w:fldChar w:fldCharType="end"/>
            </w:r>
          </w:p>
        </w:tc>
      </w:tr>
      <w:tr w:rsidR="00D47774" w:rsidRPr="00B55044" w14:paraId="51FD310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1FC420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94</w:t>
            </w:r>
          </w:p>
        </w:tc>
        <w:tc>
          <w:tcPr>
            <w:tcW w:w="1525" w:type="pct"/>
            <w:tcBorders>
              <w:top w:val="single" w:sz="4" w:space="0" w:color="auto"/>
              <w:left w:val="nil"/>
              <w:bottom w:val="single" w:sz="4" w:space="0" w:color="auto"/>
              <w:right w:val="nil"/>
            </w:tcBorders>
            <w:shd w:val="clear" w:color="auto" w:fill="auto"/>
            <w:noWrap/>
            <w:vAlign w:val="bottom"/>
            <w:hideMark/>
          </w:tcPr>
          <w:p w14:paraId="057E57A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5AF6136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PM6:L5:Y6</w:t>
            </w:r>
          </w:p>
        </w:tc>
        <w:tc>
          <w:tcPr>
            <w:tcW w:w="379" w:type="pct"/>
            <w:tcBorders>
              <w:top w:val="single" w:sz="4" w:space="0" w:color="auto"/>
              <w:left w:val="nil"/>
              <w:bottom w:val="single" w:sz="4" w:space="0" w:color="auto"/>
              <w:right w:val="nil"/>
            </w:tcBorders>
            <w:shd w:val="clear" w:color="auto" w:fill="auto"/>
            <w:noWrap/>
            <w:vAlign w:val="bottom"/>
            <w:hideMark/>
          </w:tcPr>
          <w:p w14:paraId="2D5295C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5447F05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27.81</w:t>
            </w:r>
          </w:p>
        </w:tc>
        <w:tc>
          <w:tcPr>
            <w:tcW w:w="378" w:type="pct"/>
            <w:tcBorders>
              <w:top w:val="single" w:sz="4" w:space="0" w:color="auto"/>
              <w:left w:val="nil"/>
              <w:bottom w:val="single" w:sz="4" w:space="0" w:color="auto"/>
              <w:right w:val="nil"/>
            </w:tcBorders>
            <w:shd w:val="clear" w:color="auto" w:fill="auto"/>
            <w:noWrap/>
            <w:vAlign w:val="bottom"/>
            <w:hideMark/>
          </w:tcPr>
          <w:p w14:paraId="66DB402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w:t>
            </w:r>
          </w:p>
        </w:tc>
        <w:tc>
          <w:tcPr>
            <w:tcW w:w="381" w:type="pct"/>
            <w:tcBorders>
              <w:top w:val="single" w:sz="4" w:space="0" w:color="auto"/>
              <w:left w:val="nil"/>
              <w:bottom w:val="single" w:sz="4" w:space="0" w:color="auto"/>
              <w:right w:val="nil"/>
            </w:tcBorders>
            <w:shd w:val="clear" w:color="auto" w:fill="auto"/>
            <w:noWrap/>
            <w:vAlign w:val="bottom"/>
            <w:hideMark/>
          </w:tcPr>
          <w:p w14:paraId="0438BAC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17.14</w:t>
            </w:r>
          </w:p>
        </w:tc>
        <w:tc>
          <w:tcPr>
            <w:tcW w:w="378" w:type="pct"/>
            <w:tcBorders>
              <w:top w:val="single" w:sz="4" w:space="0" w:color="auto"/>
              <w:left w:val="nil"/>
              <w:bottom w:val="single" w:sz="4" w:space="0" w:color="auto"/>
              <w:right w:val="nil"/>
            </w:tcBorders>
            <w:shd w:val="clear" w:color="auto" w:fill="auto"/>
            <w:noWrap/>
            <w:vAlign w:val="bottom"/>
            <w:hideMark/>
          </w:tcPr>
          <w:p w14:paraId="0F6287B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{"citationID":"l98tASkJ","properties":{"formattedCitation":"[57]","plainCitation":"[57]","noteIndex":0},"citationItems":[{"id":596,"uris":["http://zotero.org/users/12909065/items/MTE2ZZMU"],"itemData":{"id":596,"type":"article-journal","abstract":"Herein, three nonfullerene acceptors (L4, L5, and L6) are designed and synthesized. Among them, the introduction of thiophene alkoxy units by asymmetric synthesis can endow the acceptor L5 with a slightly twisted molecular conformation in solution but a planar one in the solid state. Such properties facilitate the solution processing of L5 while maintaining a dense molecular packing in a thin film. Thus, asymmetric acceptor L5-based devices display an appropriate phase morphology and favorable charge transport capability. Hence, as-cast devices based on the asymmetric acceptor L5 generate a high PCE of 15.2%, which is significantly better than devices based on symmetric acceptors L4 (2.35%) and L6 (9.48%). Subsequently, we further fabricated PM6:L5:Y6 ternary devices with a higher PCE of 17.14% than the PM6:Y6-based one (15.68%). This work demonstrates that the introduction of appropriate building blocks through asymmetric molecular design and side-chain engineering can play an important role in improving the performance of solar cell devices. © 2022 American Chemical Society. All rights reserved.","archive":"Scopus","container-title":"Chemistry of Materials","DOI":"10.1021/acs.chemmater.2c02146","ISSN":"0897-4756","issue":"19","language":"English","page":"8840-8848","source":"Scopus","title":"High-Efficiency As-Cast Organic Solar Cells Based on an Asymmetric Acceptor","volume":"34","author":[{"family":"Li","given":"D."},{"family":"Lu","given":"H."},{"family":"Chen","given":"Y.-N."},{"family":"Ma","given":"X."},{"family":"Zhang","given":"H."},{"family":"Wang","given":"H."},{"family":"Yu","given":"X."},{"family":"Xu","given":"X."},{"family":"Zhang","given":"Z."},{"family":"Xu","given":"X."},{"family":"Liu","given":"Y."},{"family":"Ma","given":"Z."},{"family":"Zhang","given":"A."},{"family":"Bo","given":"Z."}],"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[57]</w:t>
            </w:r>
            <w:r w:rsidRPr="00B55044">
              <w:rPr>
                <w:rFonts w:eastAsia="Times New Roman"/>
                <w:color w:val="0000FF"/>
                <w:sz w:val="16"/>
                <w:szCs w:val="16"/>
              </w:rPr>
              <w:fldChar w:fldCharType="end"/>
            </w:r>
          </w:p>
        </w:tc>
      </w:tr>
      <w:tr w:rsidR="00D47774" w:rsidRPr="00B55044" w14:paraId="7439F91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94EA03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95</w:t>
            </w:r>
          </w:p>
        </w:tc>
        <w:tc>
          <w:tcPr>
            <w:tcW w:w="1525" w:type="pct"/>
            <w:tcBorders>
              <w:top w:val="single" w:sz="4" w:space="0" w:color="auto"/>
              <w:left w:val="nil"/>
              <w:bottom w:val="single" w:sz="4" w:space="0" w:color="auto"/>
              <w:right w:val="nil"/>
            </w:tcBorders>
            <w:shd w:val="clear" w:color="auto" w:fill="auto"/>
            <w:noWrap/>
            <w:vAlign w:val="bottom"/>
            <w:hideMark/>
          </w:tcPr>
          <w:p w14:paraId="5864A96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ITO/MoOx/AL/PEIE/ZnO/Ag</w:t>
            </w:r>
          </w:p>
        </w:tc>
        <w:tc>
          <w:tcPr>
            <w:tcW w:w="1288" w:type="pct"/>
            <w:tcBorders>
              <w:top w:val="single" w:sz="4" w:space="0" w:color="auto"/>
              <w:left w:val="nil"/>
              <w:bottom w:val="single" w:sz="4" w:space="0" w:color="auto"/>
              <w:right w:val="nil"/>
            </w:tcBorders>
            <w:shd w:val="clear" w:color="auto" w:fill="auto"/>
            <w:noWrap/>
            <w:vAlign w:val="bottom"/>
            <w:hideMark/>
          </w:tcPr>
          <w:p w14:paraId="28C2DAF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PM6:Y6-BO:BT-rho</w:t>
            </w:r>
          </w:p>
        </w:tc>
        <w:tc>
          <w:tcPr>
            <w:tcW w:w="379" w:type="pct"/>
            <w:tcBorders>
              <w:top w:val="single" w:sz="4" w:space="0" w:color="auto"/>
              <w:left w:val="nil"/>
              <w:bottom w:val="single" w:sz="4" w:space="0" w:color="auto"/>
              <w:right w:val="nil"/>
            </w:tcBorders>
            <w:shd w:val="clear" w:color="auto" w:fill="auto"/>
            <w:noWrap/>
            <w:vAlign w:val="bottom"/>
            <w:hideMark/>
          </w:tcPr>
          <w:p w14:paraId="5656D85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5CB6A50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25.29</w:t>
            </w:r>
          </w:p>
        </w:tc>
        <w:tc>
          <w:tcPr>
            <w:tcW w:w="378" w:type="pct"/>
            <w:tcBorders>
              <w:top w:val="single" w:sz="4" w:space="0" w:color="auto"/>
              <w:left w:val="nil"/>
              <w:bottom w:val="single" w:sz="4" w:space="0" w:color="auto"/>
              <w:right w:val="nil"/>
            </w:tcBorders>
            <w:shd w:val="clear" w:color="auto" w:fill="auto"/>
            <w:noWrap/>
            <w:vAlign w:val="bottom"/>
            <w:hideMark/>
          </w:tcPr>
          <w:p w14:paraId="65E5B71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76.13</w:t>
            </w:r>
          </w:p>
        </w:tc>
        <w:tc>
          <w:tcPr>
            <w:tcW w:w="381" w:type="pct"/>
            <w:tcBorders>
              <w:top w:val="single" w:sz="4" w:space="0" w:color="auto"/>
              <w:left w:val="nil"/>
              <w:bottom w:val="single" w:sz="4" w:space="0" w:color="auto"/>
              <w:right w:val="nil"/>
            </w:tcBorders>
            <w:shd w:val="clear" w:color="auto" w:fill="auto"/>
            <w:noWrap/>
            <w:vAlign w:val="bottom"/>
            <w:hideMark/>
          </w:tcPr>
          <w:p w14:paraId="38ADB40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16.17</w:t>
            </w:r>
          </w:p>
        </w:tc>
        <w:tc>
          <w:tcPr>
            <w:tcW w:w="378" w:type="pct"/>
            <w:tcBorders>
              <w:top w:val="single" w:sz="4" w:space="0" w:color="auto"/>
              <w:left w:val="nil"/>
              <w:bottom w:val="single" w:sz="4" w:space="0" w:color="auto"/>
              <w:right w:val="nil"/>
            </w:tcBorders>
            <w:shd w:val="clear" w:color="auto" w:fill="auto"/>
            <w:noWrap/>
            <w:vAlign w:val="bottom"/>
            <w:hideMark/>
          </w:tcPr>
          <w:p w14:paraId="7ADFBBF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{"citationID":"JRVgF5T2","properties":{"formattedCitation":"[58]","plainCitation":"[58]","noteIndex":0},"citationItems":[{"id":595,"uris":["http://zotero.org/users/12909065/items/8U7K34AF"],"itemData":{"id":595,"type":"article-journal","abstract":"A series of benzothiadiazole (BT)–rhodanine-based nonfullerene acceptors (NFAs) were designed and synthesized. These BT–rhodanine-based NFAs were composed of BT as a central core with a 3-octylthienothiohene π-bridge and two different rhodanine end groups (BT-rho for octylrhodanine and BT-rhoCN for dicyano-octylrhodanine end groups). The highest occupied molecular orbital (HOMO)/lowest unoccupied molecular orbital (LUMO) levels were −5.53/−3.78 eV for a BT-rho film and −5.63/−3.90 eV for a BT-rhoCN film. The strong electron-withdrawing dicyano-octylrhodanine end group of BT-rhoCN downshifted the HOMO and LUMO levels by </w:instrText>
            </w:r>
            <w:r w:rsidR="001F36B1" w:rsidRPr="00B55044">
              <w:rPr>
                <w:rFonts w:ascii="Cambria Math" w:eastAsia="Times New Roman" w:hAnsi="Cambria Math" w:cs="Cambria Math"/>
                <w:color w:val="0000FF"/>
                <w:sz w:val="16"/>
                <w:szCs w:val="16"/>
              </w:rPr>
              <w:instrText>∼</w:instrText>
            </w:r>
            <w:r w:rsidR="001F36B1" w:rsidRPr="00B55044">
              <w:rPr>
                <w:rFonts w:eastAsia="Times New Roman"/>
                <w:color w:val="0000FF"/>
                <w:sz w:val="16"/>
                <w:szCs w:val="16"/>
              </w:rPr>
              <w:instrText xml:space="preserve">0.1 eV compared with those of BT-rho. The 10% BT-rho in a PM6:Y6-BO ternary organic solar cell exhibit a maximum power conversion efficiency (PCE) of 16.17% with a short-circuit current density (JSC) of 25.29 mA cm−2, open-circuit voltage (VOC) of 0.84 V, and fill factor (FF) of 76.13%. The hole/electron mobilities of the PM6:Y6-BO, 10% BT-rho, and 10% BT-rhoCN ternary devices were 2.20 × 10−4/1.85 × 10−4 cm2 V−1 s−1, 3.66 × 10−4/3.77 × 10−4 cm2 V−1 s−1, and 1.34 × 10−4/0.94 × 10−4 cm2 V−1 s−1, respectively. The crystal coherence lengths (LCs) of the (010) peaks for the PM6:Y6-BO, 10% BT-rho, and 10% BT-rhoCN ternary films are 43.2, 60.8, and 33.7 Å, respectively. The superior PCE of the 10% BT-rho ternary devices compared with that of the PM6:Y6-BO binary device is attributed to the enhanced hole and electron mobilities and the high crystallinity of the blend films, which contribute to the enhancement of the JSC and PCE. © 2022 Elsevier Ltd","archive":"Scopus","container-title":"Polymer","DOI":"10.1016/j.polymer.2022.125267","ISSN":"0032-3861","language":"English","source":"Scopus","title":"Efficient ternary organic solar cells with BT-rhodanine-based nonfullerene acceptors in a PM6:Y6-BO blend","title-short":"Efficient ternary organic solar cells with BT-rhodanine-based nonfullerene acceptors in a PM6","volume":"257","author":[{"family":"Park","given":"S."},{"family":"Song","given":"C.E."},{"family":"Ryu","given":"D.H."},{"family":"Oh","given":"D."},{"family":"Kim","given":"J."},{"family":"Kang","given":"I.-N."}],"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[58]</w:t>
            </w:r>
            <w:r w:rsidRPr="00B55044">
              <w:rPr>
                <w:rFonts w:eastAsia="Times New Roman"/>
                <w:color w:val="0000FF"/>
                <w:sz w:val="16"/>
                <w:szCs w:val="16"/>
              </w:rPr>
              <w:fldChar w:fldCharType="end"/>
            </w:r>
          </w:p>
        </w:tc>
      </w:tr>
      <w:tr w:rsidR="00D47774" w:rsidRPr="00B55044" w14:paraId="27A5151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F16FBB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96</w:t>
            </w:r>
          </w:p>
        </w:tc>
        <w:tc>
          <w:tcPr>
            <w:tcW w:w="1525" w:type="pct"/>
            <w:tcBorders>
              <w:top w:val="single" w:sz="4" w:space="0" w:color="auto"/>
              <w:left w:val="nil"/>
              <w:bottom w:val="single" w:sz="4" w:space="0" w:color="auto"/>
              <w:right w:val="nil"/>
            </w:tcBorders>
            <w:shd w:val="clear" w:color="auto" w:fill="auto"/>
            <w:noWrap/>
            <w:vAlign w:val="bottom"/>
            <w:hideMark/>
          </w:tcPr>
          <w:p w14:paraId="5FC48E0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ITO/MoOx/AL/PEIE/ZnO/Ag</w:t>
            </w:r>
          </w:p>
        </w:tc>
        <w:tc>
          <w:tcPr>
            <w:tcW w:w="1288" w:type="pct"/>
            <w:tcBorders>
              <w:top w:val="single" w:sz="4" w:space="0" w:color="auto"/>
              <w:left w:val="nil"/>
              <w:bottom w:val="single" w:sz="4" w:space="0" w:color="auto"/>
              <w:right w:val="nil"/>
            </w:tcBorders>
            <w:shd w:val="clear" w:color="auto" w:fill="auto"/>
            <w:noWrap/>
            <w:vAlign w:val="bottom"/>
            <w:hideMark/>
          </w:tcPr>
          <w:p w14:paraId="1288781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PM6:Y6-BO:BT-rhoCN</w:t>
            </w:r>
          </w:p>
        </w:tc>
        <w:tc>
          <w:tcPr>
            <w:tcW w:w="379" w:type="pct"/>
            <w:tcBorders>
              <w:top w:val="single" w:sz="4" w:space="0" w:color="auto"/>
              <w:left w:val="nil"/>
              <w:bottom w:val="single" w:sz="4" w:space="0" w:color="auto"/>
              <w:right w:val="nil"/>
            </w:tcBorders>
            <w:shd w:val="clear" w:color="auto" w:fill="auto"/>
            <w:noWrap/>
            <w:vAlign w:val="bottom"/>
            <w:hideMark/>
          </w:tcPr>
          <w:p w14:paraId="18738E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0.82</w:t>
            </w:r>
          </w:p>
        </w:tc>
        <w:tc>
          <w:tcPr>
            <w:tcW w:w="379" w:type="pct"/>
            <w:tcBorders>
              <w:top w:val="single" w:sz="4" w:space="0" w:color="auto"/>
              <w:left w:val="nil"/>
              <w:bottom w:val="single" w:sz="4" w:space="0" w:color="auto"/>
              <w:right w:val="nil"/>
            </w:tcBorders>
            <w:shd w:val="clear" w:color="auto" w:fill="auto"/>
            <w:noWrap/>
            <w:vAlign w:val="bottom"/>
            <w:hideMark/>
          </w:tcPr>
          <w:p w14:paraId="243097A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21.87</w:t>
            </w:r>
          </w:p>
        </w:tc>
        <w:tc>
          <w:tcPr>
            <w:tcW w:w="378" w:type="pct"/>
            <w:tcBorders>
              <w:top w:val="single" w:sz="4" w:space="0" w:color="auto"/>
              <w:left w:val="nil"/>
              <w:bottom w:val="single" w:sz="4" w:space="0" w:color="auto"/>
              <w:right w:val="nil"/>
            </w:tcBorders>
            <w:shd w:val="clear" w:color="auto" w:fill="auto"/>
            <w:noWrap/>
            <w:vAlign w:val="bottom"/>
            <w:hideMark/>
          </w:tcPr>
          <w:p w14:paraId="7736D91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70.82</w:t>
            </w:r>
          </w:p>
        </w:tc>
        <w:tc>
          <w:tcPr>
            <w:tcW w:w="381" w:type="pct"/>
            <w:tcBorders>
              <w:top w:val="single" w:sz="4" w:space="0" w:color="auto"/>
              <w:left w:val="nil"/>
              <w:bottom w:val="single" w:sz="4" w:space="0" w:color="auto"/>
              <w:right w:val="nil"/>
            </w:tcBorders>
            <w:shd w:val="clear" w:color="auto" w:fill="auto"/>
            <w:noWrap/>
            <w:vAlign w:val="bottom"/>
            <w:hideMark/>
          </w:tcPr>
          <w:p w14:paraId="0E33A8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12.75</w:t>
            </w:r>
          </w:p>
        </w:tc>
        <w:tc>
          <w:tcPr>
            <w:tcW w:w="378" w:type="pct"/>
            <w:tcBorders>
              <w:top w:val="single" w:sz="4" w:space="0" w:color="auto"/>
              <w:left w:val="nil"/>
              <w:bottom w:val="single" w:sz="4" w:space="0" w:color="auto"/>
              <w:right w:val="nil"/>
            </w:tcBorders>
            <w:shd w:val="clear" w:color="auto" w:fill="auto"/>
            <w:noWrap/>
            <w:vAlign w:val="bottom"/>
            <w:hideMark/>
          </w:tcPr>
          <w:p w14:paraId="6EE022D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{"citationID":"2fhbLgkX","properties":{"formattedCitation":"[58]","plainCitation":"[58]","noteIndex":0},"citationItems":[{"id":595,"uris":["http://zotero.org/users/12909065/items/8U7K34AF"],"itemData":{"id":595,"type":"article-journal","abstract":"A series of benzothiadiazole (BT)–rhodanine-based nonfullerene acceptors (NFAs) were designed and synthesized. These BT–rhodanine-based NFAs were composed of BT as a central core with a 3-octylthienothiohene π-bridge and two different rhodanine end groups (BT-rho for octylrhodanine and BT-rhoCN for dicyano-octylrhodanine end groups). The highest occupied molecular orbital (HOMO)/lowest unoccupied molecular orbital (LUMO) levels were −5.53/−3.78 eV for a BT-rho film and −5.63/−3.90 eV for a BT-rhoCN film. The strong electron-withdrawing dicyano-octylrhodanine end group of BT-rhoCN downshifted the HOMO and LUMO levels by </w:instrText>
            </w:r>
            <w:r w:rsidR="001F36B1" w:rsidRPr="00B55044">
              <w:rPr>
                <w:rFonts w:ascii="Cambria Math" w:eastAsia="Times New Roman" w:hAnsi="Cambria Math" w:cs="Cambria Math"/>
                <w:color w:val="0000FF"/>
                <w:sz w:val="16"/>
                <w:szCs w:val="16"/>
              </w:rPr>
              <w:instrText>∼</w:instrText>
            </w:r>
            <w:r w:rsidR="001F36B1" w:rsidRPr="00B55044">
              <w:rPr>
                <w:rFonts w:eastAsia="Times New Roman"/>
                <w:color w:val="0000FF"/>
                <w:sz w:val="16"/>
                <w:szCs w:val="16"/>
              </w:rPr>
              <w:instrText xml:space="preserve">0.1 eV compared with those of BT-rho. The 10% BT-rho in a PM6:Y6-BO ternary organic solar cell exhibit a maximum power conversion efficiency (PCE) of 16.17% with a short-circuit current density (JSC) of 25.29 mA cm−2, open-circuit voltage (VOC) of 0.84 V, and fill factor (FF) of 76.13%. The hole/electron mobilities of the PM6:Y6-BO, 10% BT-rho, and 10% BT-rhoCN ternary devices were 2.20 × 10−4/1.85 × 10−4 cm2 V−1 s−1, 3.66 × 10−4/3.77 × 10−4 cm2 V−1 s−1, and 1.34 × 10−4/0.94 × 10−4 cm2 V−1 s−1, respectively. The crystal coherence lengths (LCs) of the (010) peaks for the PM6:Y6-BO, 10% BT-rho, and 10% BT-rhoCN ternary films are 43.2, 60.8, and 33.7 Å, respectively. The superior PCE of the 10% BT-rho ternary devices compared with that of the PM6:Y6-BO binary device is attributed to the enhanced hole and electron mobilities and the high crystallinity of the blend films, which contribute to the enhancement of the JSC and PCE. © 2022 Elsevier Ltd","archive":"Scopus","container-title":"Polymer","DOI":"10.1016/j.polymer.2022.125267","ISSN":"0032-3861","language":"English","source":"Scopus","title":"Efficient ternary organic solar cells with BT-rhodanine-based nonfullerene acceptors in a PM6:Y6-BO blend","title-short":"Efficient ternary organic solar cells with BT-rhodanine-based nonfullerene acceptors in a PM6","volume":"257","author":[{"family":"Park","given":"S."},{"family":"Song","given":"C.E."},{"family":"Ryu","given":"D.H."},{"family":"Oh","given":"D."},{"family":"Kim","given":"J."},{"family":"Kang","given":"I.-N."}],"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[58]</w:t>
            </w:r>
            <w:r w:rsidRPr="00B55044">
              <w:rPr>
                <w:rFonts w:eastAsia="Times New Roman"/>
                <w:color w:val="0000FF"/>
                <w:sz w:val="16"/>
                <w:szCs w:val="16"/>
              </w:rPr>
              <w:fldChar w:fldCharType="end"/>
            </w:r>
          </w:p>
        </w:tc>
      </w:tr>
      <w:tr w:rsidR="00D47774" w:rsidRPr="00B55044" w14:paraId="37693B1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3276A7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97</w:t>
            </w:r>
          </w:p>
        </w:tc>
        <w:tc>
          <w:tcPr>
            <w:tcW w:w="1525" w:type="pct"/>
            <w:tcBorders>
              <w:top w:val="single" w:sz="4" w:space="0" w:color="auto"/>
              <w:left w:val="nil"/>
              <w:bottom w:val="single" w:sz="4" w:space="0" w:color="auto"/>
              <w:right w:val="nil"/>
            </w:tcBorders>
            <w:shd w:val="clear" w:color="auto" w:fill="auto"/>
            <w:noWrap/>
            <w:vAlign w:val="bottom"/>
            <w:hideMark/>
          </w:tcPr>
          <w:p w14:paraId="1A2C909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3AB44C5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PM6:BTC:Y6</w:t>
            </w:r>
          </w:p>
        </w:tc>
        <w:tc>
          <w:tcPr>
            <w:tcW w:w="379" w:type="pct"/>
            <w:tcBorders>
              <w:top w:val="single" w:sz="4" w:space="0" w:color="auto"/>
              <w:left w:val="nil"/>
              <w:bottom w:val="single" w:sz="4" w:space="0" w:color="auto"/>
              <w:right w:val="nil"/>
            </w:tcBorders>
            <w:shd w:val="clear" w:color="auto" w:fill="auto"/>
            <w:noWrap/>
            <w:vAlign w:val="bottom"/>
            <w:hideMark/>
          </w:tcPr>
          <w:p w14:paraId="31E0D79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0.834</w:t>
            </w:r>
          </w:p>
        </w:tc>
        <w:tc>
          <w:tcPr>
            <w:tcW w:w="379" w:type="pct"/>
            <w:tcBorders>
              <w:top w:val="single" w:sz="4" w:space="0" w:color="auto"/>
              <w:left w:val="nil"/>
              <w:bottom w:val="single" w:sz="4" w:space="0" w:color="auto"/>
              <w:right w:val="nil"/>
            </w:tcBorders>
            <w:shd w:val="clear" w:color="auto" w:fill="auto"/>
            <w:noWrap/>
            <w:vAlign w:val="bottom"/>
            <w:hideMark/>
          </w:tcPr>
          <w:p w14:paraId="19BC2BC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28</w:t>
            </w:r>
          </w:p>
        </w:tc>
        <w:tc>
          <w:tcPr>
            <w:tcW w:w="378" w:type="pct"/>
            <w:tcBorders>
              <w:top w:val="single" w:sz="4" w:space="0" w:color="auto"/>
              <w:left w:val="nil"/>
              <w:bottom w:val="single" w:sz="4" w:space="0" w:color="auto"/>
              <w:right w:val="nil"/>
            </w:tcBorders>
            <w:shd w:val="clear" w:color="auto" w:fill="auto"/>
            <w:noWrap/>
            <w:vAlign w:val="bottom"/>
            <w:hideMark/>
          </w:tcPr>
          <w:p w14:paraId="62E83C4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73.35</w:t>
            </w:r>
          </w:p>
        </w:tc>
        <w:tc>
          <w:tcPr>
            <w:tcW w:w="381" w:type="pct"/>
            <w:tcBorders>
              <w:top w:val="single" w:sz="4" w:space="0" w:color="auto"/>
              <w:left w:val="nil"/>
              <w:bottom w:val="single" w:sz="4" w:space="0" w:color="auto"/>
              <w:right w:val="nil"/>
            </w:tcBorders>
            <w:shd w:val="clear" w:color="auto" w:fill="auto"/>
            <w:noWrap/>
            <w:vAlign w:val="bottom"/>
            <w:hideMark/>
          </w:tcPr>
          <w:p w14:paraId="025E02A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17.32</w:t>
            </w:r>
          </w:p>
        </w:tc>
        <w:tc>
          <w:tcPr>
            <w:tcW w:w="378" w:type="pct"/>
            <w:tcBorders>
              <w:top w:val="single" w:sz="4" w:space="0" w:color="auto"/>
              <w:left w:val="nil"/>
              <w:bottom w:val="single" w:sz="4" w:space="0" w:color="auto"/>
              <w:right w:val="nil"/>
            </w:tcBorders>
            <w:shd w:val="clear" w:color="auto" w:fill="auto"/>
            <w:noWrap/>
            <w:vAlign w:val="bottom"/>
            <w:hideMark/>
          </w:tcPr>
          <w:p w14:paraId="6B97BE3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{"citationID":"mmGKez4R","properties":{"formattedCitation":"[59]","plainCitation":"[59]","noteIndex":0},"citationItems":[{"id":594,"uris":["http://zotero.org/users/12909065/items/R4D2PX3L"],"itemData":{"id":594,"type":"article-journal","abstract":"Ternary organic solar cells (OSCs) have attracted increasing attention because they are a feasible and efficient strategy to improve the power conversion efficiency (PCE) of OSCs. However, the rational molecular design of guest materials with a suitable absorption spectrum, energy level and molecular packing is still challenging. Herein, a large-bandgap small-molecule (SM) donor, BTC, incorporated with meta-alkylthio-phenyl-substituted benzo[1,2-b : 4,5-b′]dithiophene (BDT) as the core, was designed and synthesized for high-performance ternary OSCs. It possesses a deeper HOMO (highest occupied molecular orbital) level compared to PM6, which leads to a higher open-circuit voltage (VOC). Moreover, BTC exhibits good miscibility and complementary absorption with PM6 in the near-ultraviolet region, favoring the photovoltaic performance of OSCs by enhancing the short-circuit current density (JSC). Additionally, the ternary blend film with 15 wt% BTC achieved an optimized morphology with a nanofibrous network and strong face-on molecular stack, resulting in higher and more balanced charge mobilities, lower charge recombination and more efficient exciton dissociation compared to the binary blend. Therefore, we have successfully demonstrated a PCE of 17.32% for the ternary OSCs with 15 wt% BTC, with simultaneously improved VOC, JSC and FF compared to the PM6 : Y6 binary OSCs (15.51%). Moreover, the replacement of the acceptor with L8-BO further improves the PCE of ternary OSCs by up to 18.41%. This study provides a promising building block and effective design to fulfill the prerequisites of the absorption spectrum, molecular packing, energetics, and miscibility of small-molecule donors to achieve high-performance ternary OSCs. © 2022 The Royal Society of Chemistry.","archive":"Scopus","container-title":"Journal of Materials Chemistry A","DOI":"10.1039/d2ta06706d","ISSN":"2050-7488","issue":"42","language":"English","page":"22812-22818","source":"Scopus","title":"A meta-alkylthio-phenyl chain-substituted small-molecule donor as the third component for high-efficiency organic solar cells","volume":"10","author":[{"family":"Zhang","given":"C."},{"family":"Li","given":"J."},{"family":"Ji","given":"L."},{"family":"Hu","given":"H."},{"family":"Li","given":"G."},{"family":"Wang","given":"K."}],"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[59]</w:t>
            </w:r>
            <w:r w:rsidRPr="00B55044">
              <w:rPr>
                <w:rFonts w:eastAsia="Times New Roman"/>
                <w:color w:val="0000FF"/>
                <w:sz w:val="16"/>
                <w:szCs w:val="16"/>
              </w:rPr>
              <w:fldChar w:fldCharType="end"/>
            </w:r>
          </w:p>
        </w:tc>
      </w:tr>
      <w:tr w:rsidR="00D47774" w:rsidRPr="00B55044" w14:paraId="243A23E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B0DD77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98</w:t>
            </w:r>
          </w:p>
        </w:tc>
        <w:tc>
          <w:tcPr>
            <w:tcW w:w="1525" w:type="pct"/>
            <w:tcBorders>
              <w:top w:val="single" w:sz="4" w:space="0" w:color="auto"/>
              <w:left w:val="nil"/>
              <w:bottom w:val="single" w:sz="4" w:space="0" w:color="auto"/>
              <w:right w:val="nil"/>
            </w:tcBorders>
            <w:shd w:val="clear" w:color="auto" w:fill="auto"/>
            <w:noWrap/>
            <w:vAlign w:val="bottom"/>
            <w:hideMark/>
          </w:tcPr>
          <w:p w14:paraId="3D1014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ITO/PEDOT:PSS/AL/PDIN/Ag</w:t>
            </w:r>
          </w:p>
        </w:tc>
        <w:tc>
          <w:tcPr>
            <w:tcW w:w="1288" w:type="pct"/>
            <w:tcBorders>
              <w:top w:val="single" w:sz="4" w:space="0" w:color="auto"/>
              <w:left w:val="nil"/>
              <w:bottom w:val="single" w:sz="4" w:space="0" w:color="auto"/>
              <w:right w:val="nil"/>
            </w:tcBorders>
            <w:shd w:val="clear" w:color="auto" w:fill="auto"/>
            <w:noWrap/>
            <w:vAlign w:val="bottom"/>
            <w:hideMark/>
          </w:tcPr>
          <w:p w14:paraId="2CE2C64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12DE94E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0.854</w:t>
            </w:r>
          </w:p>
        </w:tc>
        <w:tc>
          <w:tcPr>
            <w:tcW w:w="379" w:type="pct"/>
            <w:tcBorders>
              <w:top w:val="single" w:sz="4" w:space="0" w:color="auto"/>
              <w:left w:val="nil"/>
              <w:bottom w:val="single" w:sz="4" w:space="0" w:color="auto"/>
              <w:right w:val="nil"/>
            </w:tcBorders>
            <w:shd w:val="clear" w:color="auto" w:fill="auto"/>
            <w:noWrap/>
            <w:vAlign w:val="bottom"/>
            <w:hideMark/>
          </w:tcPr>
          <w:p w14:paraId="0002167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26.79</w:t>
            </w:r>
          </w:p>
        </w:tc>
        <w:tc>
          <w:tcPr>
            <w:tcW w:w="378" w:type="pct"/>
            <w:tcBorders>
              <w:top w:val="single" w:sz="4" w:space="0" w:color="auto"/>
              <w:left w:val="nil"/>
              <w:bottom w:val="single" w:sz="4" w:space="0" w:color="auto"/>
              <w:right w:val="nil"/>
            </w:tcBorders>
            <w:shd w:val="clear" w:color="auto" w:fill="auto"/>
            <w:noWrap/>
            <w:vAlign w:val="bottom"/>
            <w:hideMark/>
          </w:tcPr>
          <w:p w14:paraId="6B258D5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74.68</w:t>
            </w:r>
          </w:p>
        </w:tc>
        <w:tc>
          <w:tcPr>
            <w:tcW w:w="381" w:type="pct"/>
            <w:tcBorders>
              <w:top w:val="single" w:sz="4" w:space="0" w:color="auto"/>
              <w:left w:val="nil"/>
              <w:bottom w:val="single" w:sz="4" w:space="0" w:color="auto"/>
              <w:right w:val="nil"/>
            </w:tcBorders>
            <w:shd w:val="clear" w:color="auto" w:fill="auto"/>
            <w:noWrap/>
            <w:vAlign w:val="bottom"/>
            <w:hideMark/>
          </w:tcPr>
          <w:p w14:paraId="1AABBA2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17.09</w:t>
            </w:r>
          </w:p>
        </w:tc>
        <w:tc>
          <w:tcPr>
            <w:tcW w:w="378" w:type="pct"/>
            <w:tcBorders>
              <w:top w:val="single" w:sz="4" w:space="0" w:color="auto"/>
              <w:left w:val="nil"/>
              <w:bottom w:val="single" w:sz="4" w:space="0" w:color="auto"/>
              <w:right w:val="nil"/>
            </w:tcBorders>
            <w:shd w:val="clear" w:color="auto" w:fill="auto"/>
            <w:noWrap/>
            <w:vAlign w:val="bottom"/>
            <w:hideMark/>
          </w:tcPr>
          <w:p w14:paraId="4910CA9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{"citationID":"GQeOdQrQ","properties":{"formattedCitation":"[60]","plainCitation":"[60]","noteIndex":0},"citationItems":[{"id":593,"uris":["http://zotero.org/users/12909065/items/4SWVBSUG"],"itemData":{"id":593,"type":"article-journal","abstract":"Optimizing active layer morphology and broadening spectrum utilization range are important methods to improve the performance of organic solar cells. In this study, PM6/Y6:PC71BM pseudo-bilayer ternary organic solar cells were prepared with a layer-by-layer sequential deposition method. The introduction of the fullerene derivative PC71BM as the third component into the PM6/Y6 binary system improves light absorption and boosts the open-circuit voltage. PC71BM works as a morphology regulator to facilitate Y6 diffusion into the PM6 layer and increase the contact interface between the PM6 layer and Y6 layer, which enhances exciton dissociation probability and provides a cascade energy level alignment for efficient charge transport. The independent carrier transport channels provided by the pseudo-bilayer planar heterojunction improve charge transport performance and inhibit carrier recombination. The comprehensive utilization of fullerene and non-fullerene acceptors, the combination of the pseudo-bilayer planar heterojunction and the ternary strategy synergistically boost the power conversion efficiency from 16.44% for the PM6/Y6 binary device to 17.82% for the PM6/Y6:PC71BM device, and the PM6/Y6:PC71BM pseudo-bilayer ternary device exhibits better stability. Pseudo-bilayer ternary planar heterojunction is a promising device structure to achieve high performance organic solar cells for potential commercial applications. © 2022 The Royal Society of Chemistry.","archive":"Scopus","container-title":"Journal of Materials Chemistry A","DOI":"10.1039/d2ta04784e","ISSN":"2050-7488","issue":"43","language":"English","page":"23124-23133","source":"Scopus","title":"High-performance pseudo-bilayer ternary organic solar cells with PC71BM as the third component","volume":"10","author":[{"family":"Yan","given":"Y."},{"family":"Zhou","given":"X."},{"family":"Zhang","given":"F."},{"family":"Zhou","given":"J."},{"family":"lin","given":"T."},{"family":"Zhu","given":"Y."},{"family":"Xu","given":"D."},{"family":"Ma","given":"X."},{"family":"Zou","given":"Y."},{"family":"Li","given":"X."}],"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[60]</w:t>
            </w:r>
            <w:r w:rsidRPr="00B55044">
              <w:rPr>
                <w:rFonts w:eastAsia="Times New Roman"/>
                <w:color w:val="0000FF"/>
                <w:sz w:val="16"/>
                <w:szCs w:val="16"/>
              </w:rPr>
              <w:fldChar w:fldCharType="end"/>
            </w:r>
          </w:p>
        </w:tc>
      </w:tr>
      <w:tr w:rsidR="00D47774" w:rsidRPr="00B55044" w14:paraId="03C894D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580559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99</w:t>
            </w:r>
          </w:p>
        </w:tc>
        <w:tc>
          <w:tcPr>
            <w:tcW w:w="1525" w:type="pct"/>
            <w:tcBorders>
              <w:top w:val="single" w:sz="4" w:space="0" w:color="auto"/>
              <w:left w:val="nil"/>
              <w:bottom w:val="single" w:sz="4" w:space="0" w:color="auto"/>
              <w:right w:val="nil"/>
            </w:tcBorders>
            <w:shd w:val="clear" w:color="auto" w:fill="auto"/>
            <w:noWrap/>
            <w:vAlign w:val="bottom"/>
            <w:hideMark/>
          </w:tcPr>
          <w:p w14:paraId="075F972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7936C0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PM6:Y6:PAEN</w:t>
            </w:r>
          </w:p>
        </w:tc>
        <w:tc>
          <w:tcPr>
            <w:tcW w:w="379" w:type="pct"/>
            <w:tcBorders>
              <w:top w:val="single" w:sz="4" w:space="0" w:color="auto"/>
              <w:left w:val="nil"/>
              <w:bottom w:val="single" w:sz="4" w:space="0" w:color="auto"/>
              <w:right w:val="nil"/>
            </w:tcBorders>
            <w:shd w:val="clear" w:color="auto" w:fill="auto"/>
            <w:noWrap/>
            <w:vAlign w:val="bottom"/>
            <w:hideMark/>
          </w:tcPr>
          <w:p w14:paraId="4485FE6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637E525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25.9</w:t>
            </w:r>
          </w:p>
        </w:tc>
        <w:tc>
          <w:tcPr>
            <w:tcW w:w="378" w:type="pct"/>
            <w:tcBorders>
              <w:top w:val="single" w:sz="4" w:space="0" w:color="auto"/>
              <w:left w:val="nil"/>
              <w:bottom w:val="single" w:sz="4" w:space="0" w:color="auto"/>
              <w:right w:val="nil"/>
            </w:tcBorders>
            <w:shd w:val="clear" w:color="auto" w:fill="auto"/>
            <w:noWrap/>
            <w:vAlign w:val="bottom"/>
            <w:hideMark/>
          </w:tcPr>
          <w:p w14:paraId="002AD7E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72.3</w:t>
            </w:r>
          </w:p>
        </w:tc>
        <w:tc>
          <w:tcPr>
            <w:tcW w:w="381" w:type="pct"/>
            <w:tcBorders>
              <w:top w:val="single" w:sz="4" w:space="0" w:color="auto"/>
              <w:left w:val="nil"/>
              <w:bottom w:val="single" w:sz="4" w:space="0" w:color="auto"/>
              <w:right w:val="nil"/>
            </w:tcBorders>
            <w:shd w:val="clear" w:color="auto" w:fill="auto"/>
            <w:noWrap/>
            <w:vAlign w:val="bottom"/>
            <w:hideMark/>
          </w:tcPr>
          <w:p w14:paraId="06A8DCF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15.7</w:t>
            </w:r>
          </w:p>
        </w:tc>
        <w:tc>
          <w:tcPr>
            <w:tcW w:w="378" w:type="pct"/>
            <w:tcBorders>
              <w:top w:val="single" w:sz="4" w:space="0" w:color="auto"/>
              <w:left w:val="nil"/>
              <w:bottom w:val="single" w:sz="4" w:space="0" w:color="auto"/>
              <w:right w:val="nil"/>
            </w:tcBorders>
            <w:shd w:val="clear" w:color="auto" w:fill="auto"/>
            <w:noWrap/>
            <w:vAlign w:val="bottom"/>
            <w:hideMark/>
          </w:tcPr>
          <w:p w14:paraId="173267E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{"citationID":"Bu1CSCdQ","properties":{"formattedCitation":"[61]","plainCitation":"[61]","noteIndex":0},"citationItems":[{"id":592,"uris":["http://zotero.org/users/12909065/items/29EQ3NEZ"],"itemData":{"id":592,"type":"article-journal","abstract":"Control of the preferred vertical phase distribution of the components in the photoactive layer is of vital importance to improve the device performance and stability of organic photovoltaics (OPVs). Herein, a universal sequential-deposition strategy is demonstrated to realize optimal vertical phase distribution by employing orthogonal solvents and synergistically integrating ternary/quaternary compositions consisting of insulating heat-resistant poly(aryl ether)s as the third/fourth component in a photoactive layer. The selective segregation of poly(aryl ether)s in the middle of the active layer enhances molecular packing of the photovoltaic materials and improves the charge transport and extraction properties. A maximum efficiency of 18.6% is achieved for PM6:BTP-eC9:PC71BM:poly(aryl ether)-based quaternary solar cells, with photo/thermal stability that is better than that of devices without poly(aryl ether). This work provides an effective approach for achieving stable and efficient OPVs with expected topology by tuning molecular packing behaviors and the vertical segregation of multicomponents in photovoltaic layers. © 2022 American Chemical Society.","archive":"Scopus","container-title":"ACS Energy Letters","DOI":"10.1021/acsenergylett.2c01586","ISSN":"2380-8195","language":"English","page":"2927-2936","source":"Scopus","title":"Vertical Stratification Engineering of Insulating Poly(aryl ether)s Enables 18.6% Organic Solar Cells with Improved Stability","author":[{"family":"Han","given":"J."},{"family":"Xu","given":"H."},{"family":"Paleti","given":"S.H.K."},{"family":"Wen","given":"Y."},{"family":"Wang","given":"J."},{"family":"Wu","given":"Y."},{"family":"Bao","given":"F."},{"family":"Yang","given":"C."},{"family":"Li","given":"X."},{"family":"Jian","given":"X."},{"family":"Wang","given":"J."},{"family":"Karuthedath","given":"S."},{"family":"Gorenflot","given":"J."},{"family":"Laquai","given":"F."},{"family":"Baran","given":"D."},{"family":"Bao","given":"X."}],"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[61]</w:t>
            </w:r>
            <w:r w:rsidRPr="00B55044">
              <w:rPr>
                <w:rFonts w:eastAsia="Times New Roman"/>
                <w:color w:val="0000FF"/>
                <w:sz w:val="16"/>
                <w:szCs w:val="16"/>
              </w:rPr>
              <w:fldChar w:fldCharType="end"/>
            </w:r>
          </w:p>
        </w:tc>
      </w:tr>
      <w:tr w:rsidR="00D47774" w:rsidRPr="00B55044" w14:paraId="24F62A3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101FAA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100</w:t>
            </w:r>
          </w:p>
        </w:tc>
        <w:tc>
          <w:tcPr>
            <w:tcW w:w="1525" w:type="pct"/>
            <w:tcBorders>
              <w:top w:val="single" w:sz="4" w:space="0" w:color="auto"/>
              <w:left w:val="nil"/>
              <w:bottom w:val="single" w:sz="4" w:space="0" w:color="auto"/>
              <w:right w:val="nil"/>
            </w:tcBorders>
            <w:shd w:val="clear" w:color="auto" w:fill="auto"/>
            <w:noWrap/>
            <w:vAlign w:val="bottom"/>
            <w:hideMark/>
          </w:tcPr>
          <w:p w14:paraId="03FA411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329EB0D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PM6:Y6:β-S1</w:t>
            </w:r>
          </w:p>
        </w:tc>
        <w:tc>
          <w:tcPr>
            <w:tcW w:w="379" w:type="pct"/>
            <w:tcBorders>
              <w:top w:val="single" w:sz="4" w:space="0" w:color="auto"/>
              <w:left w:val="nil"/>
              <w:bottom w:val="single" w:sz="4" w:space="0" w:color="auto"/>
              <w:right w:val="nil"/>
            </w:tcBorders>
            <w:shd w:val="clear" w:color="auto" w:fill="auto"/>
            <w:noWrap/>
            <w:vAlign w:val="bottom"/>
            <w:hideMark/>
          </w:tcPr>
          <w:p w14:paraId="0CF2300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42281CF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25.9</w:t>
            </w:r>
          </w:p>
        </w:tc>
        <w:tc>
          <w:tcPr>
            <w:tcW w:w="378" w:type="pct"/>
            <w:tcBorders>
              <w:top w:val="single" w:sz="4" w:space="0" w:color="auto"/>
              <w:left w:val="nil"/>
              <w:bottom w:val="single" w:sz="4" w:space="0" w:color="auto"/>
              <w:right w:val="nil"/>
            </w:tcBorders>
            <w:shd w:val="clear" w:color="auto" w:fill="auto"/>
            <w:noWrap/>
            <w:vAlign w:val="bottom"/>
            <w:hideMark/>
          </w:tcPr>
          <w:p w14:paraId="17EBBC3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77.79</w:t>
            </w:r>
          </w:p>
        </w:tc>
        <w:tc>
          <w:tcPr>
            <w:tcW w:w="381" w:type="pct"/>
            <w:tcBorders>
              <w:top w:val="single" w:sz="4" w:space="0" w:color="auto"/>
              <w:left w:val="nil"/>
              <w:bottom w:val="single" w:sz="4" w:space="0" w:color="auto"/>
              <w:right w:val="nil"/>
            </w:tcBorders>
            <w:shd w:val="clear" w:color="auto" w:fill="auto"/>
            <w:noWrap/>
            <w:vAlign w:val="bottom"/>
            <w:hideMark/>
          </w:tcPr>
          <w:p w14:paraId="49A17D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17.1</w:t>
            </w:r>
          </w:p>
        </w:tc>
        <w:tc>
          <w:tcPr>
            <w:tcW w:w="378" w:type="pct"/>
            <w:tcBorders>
              <w:top w:val="single" w:sz="4" w:space="0" w:color="auto"/>
              <w:left w:val="nil"/>
              <w:bottom w:val="single" w:sz="4" w:space="0" w:color="auto"/>
              <w:right w:val="nil"/>
            </w:tcBorders>
            <w:shd w:val="clear" w:color="auto" w:fill="auto"/>
            <w:noWrap/>
            <w:vAlign w:val="bottom"/>
            <w:hideMark/>
          </w:tcPr>
          <w:p w14:paraId="534BFB5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{"citationID":"IQOoXQbL","properties":{"formattedCitation":"[62]","plainCitation":"[62]","noteIndex":0},"citationItems":[{"id":591,"uris":["http://zotero.org/users/12909065/items/UL2P7KDU"],"itemData":{"id":591,"type":"article-journal","abstract":"Adding a small-molecule donor (SMD) to state-of-the-art nonfullerene organic solar cells (OSCs) is demonstrated as a useful strategy to construct ternary organic solar cells, as SMDs typically have high crystallinity and can tune charge transport properties of OSCs. However, the absorption of most SMDs overlaps with typical donor polymers (e.g., PM6), which is against the general guidelines of adopting materials with complementary absorption in ternary OSCs. Herein, the absorption of state-of-art SMDs (BTR-Cl) by linking the beta position of the outer thiophene to the alpha position of the inner thiophene unit is intentionally blueshifted. The resulting molecule β-S1 shows a maximum absorption peak at 505 nm in the film state, which exhibits wider bandgap and shows complementary absorption with the host system (PM6:Y6). The corresponding ternary OSCs with 20%wt β-S1 show significantly enhanced efficiency from 16.2% to 17.1% due to the increased short-circuit current (J SC) and improved fill factor (FF). Herein, an effective strategy to design SMDs with both wider bandgaps and higher crystallinity for high-performance ternary OSCs is presented. © 2022 Wiley-VCH GmbH.","archive":"Scopus","container-title":"Solar RRL","DOI":"10.1002/solr.202200386","ISSN":"2367-198X","language":"English","source":"Scopus","title":"Blueshifting the Absorption of a Small-Molecule Donor and Using it as the Third Component to Achieve High-Efficiency Ternary Organic Solar Cells","author":[{"family":"Qi","given":"Z."},{"family":"Yu","given":"H."},{"family":"Yu","given":"J."},{"family":"Zhao","given":"H."},{"family":"Zhao","given":"C."},{"family":"Chen","given":"L."},{"family":"Li","given":"C."},{"family":"Ma","given":"W."},{"family":"Gao","given":"F."},{"family":"Zhang","given":"G."},{"family":"Yan","given":"H."}],"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[62]</w:t>
            </w:r>
            <w:r w:rsidRPr="00B55044">
              <w:rPr>
                <w:rFonts w:eastAsia="Times New Roman"/>
                <w:color w:val="0000FF"/>
                <w:sz w:val="16"/>
                <w:szCs w:val="16"/>
              </w:rPr>
              <w:fldChar w:fldCharType="end"/>
            </w:r>
          </w:p>
        </w:tc>
      </w:tr>
      <w:tr w:rsidR="00D47774" w:rsidRPr="00B55044" w14:paraId="1B580CD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2BDA81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101</w:t>
            </w:r>
          </w:p>
        </w:tc>
        <w:tc>
          <w:tcPr>
            <w:tcW w:w="1525" w:type="pct"/>
            <w:tcBorders>
              <w:top w:val="single" w:sz="4" w:space="0" w:color="auto"/>
              <w:left w:val="nil"/>
              <w:bottom w:val="single" w:sz="4" w:space="0" w:color="auto"/>
              <w:right w:val="nil"/>
            </w:tcBorders>
            <w:shd w:val="clear" w:color="auto" w:fill="auto"/>
            <w:noWrap/>
            <w:vAlign w:val="bottom"/>
            <w:hideMark/>
          </w:tcPr>
          <w:p w14:paraId="10E651B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6ED9F81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PM6:Y6:BTP-CC</w:t>
            </w:r>
          </w:p>
        </w:tc>
        <w:tc>
          <w:tcPr>
            <w:tcW w:w="379" w:type="pct"/>
            <w:tcBorders>
              <w:top w:val="single" w:sz="4" w:space="0" w:color="auto"/>
              <w:left w:val="nil"/>
              <w:bottom w:val="single" w:sz="4" w:space="0" w:color="auto"/>
              <w:right w:val="nil"/>
            </w:tcBorders>
            <w:shd w:val="clear" w:color="auto" w:fill="auto"/>
            <w:noWrap/>
            <w:vAlign w:val="bottom"/>
            <w:hideMark/>
          </w:tcPr>
          <w:p w14:paraId="3B0FEBB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0.845</w:t>
            </w:r>
          </w:p>
        </w:tc>
        <w:tc>
          <w:tcPr>
            <w:tcW w:w="379" w:type="pct"/>
            <w:tcBorders>
              <w:top w:val="single" w:sz="4" w:space="0" w:color="auto"/>
              <w:left w:val="nil"/>
              <w:bottom w:val="single" w:sz="4" w:space="0" w:color="auto"/>
              <w:right w:val="nil"/>
            </w:tcBorders>
            <w:shd w:val="clear" w:color="auto" w:fill="auto"/>
            <w:noWrap/>
            <w:vAlign w:val="bottom"/>
            <w:hideMark/>
          </w:tcPr>
          <w:p w14:paraId="6CD399E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26.98</w:t>
            </w:r>
          </w:p>
        </w:tc>
        <w:tc>
          <w:tcPr>
            <w:tcW w:w="378" w:type="pct"/>
            <w:tcBorders>
              <w:top w:val="single" w:sz="4" w:space="0" w:color="auto"/>
              <w:left w:val="nil"/>
              <w:bottom w:val="single" w:sz="4" w:space="0" w:color="auto"/>
              <w:right w:val="nil"/>
            </w:tcBorders>
            <w:shd w:val="clear" w:color="auto" w:fill="auto"/>
            <w:noWrap/>
            <w:vAlign w:val="bottom"/>
            <w:hideMark/>
          </w:tcPr>
          <w:p w14:paraId="0CC3665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76.98</w:t>
            </w:r>
          </w:p>
        </w:tc>
        <w:tc>
          <w:tcPr>
            <w:tcW w:w="381" w:type="pct"/>
            <w:tcBorders>
              <w:top w:val="single" w:sz="4" w:space="0" w:color="auto"/>
              <w:left w:val="nil"/>
              <w:bottom w:val="single" w:sz="4" w:space="0" w:color="auto"/>
              <w:right w:val="nil"/>
            </w:tcBorders>
            <w:shd w:val="clear" w:color="auto" w:fill="auto"/>
            <w:noWrap/>
            <w:vAlign w:val="bottom"/>
            <w:hideMark/>
          </w:tcPr>
          <w:p w14:paraId="3F39FF8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17.55</w:t>
            </w:r>
          </w:p>
        </w:tc>
        <w:tc>
          <w:tcPr>
            <w:tcW w:w="378" w:type="pct"/>
            <w:tcBorders>
              <w:top w:val="single" w:sz="4" w:space="0" w:color="auto"/>
              <w:left w:val="nil"/>
              <w:bottom w:val="single" w:sz="4" w:space="0" w:color="auto"/>
              <w:right w:val="nil"/>
            </w:tcBorders>
            <w:shd w:val="clear" w:color="auto" w:fill="auto"/>
            <w:noWrap/>
            <w:vAlign w:val="bottom"/>
            <w:hideMark/>
          </w:tcPr>
          <w:p w14:paraId="2F0CDBC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{"citationID":"78lGUMU5","properties":{"formattedCitation":"[63]","plainCitation":"[63]","noteIndex":0},"citationItems":[{"id":590,"uris":["http://zotero.org/users/12909065/items/QGN2MBXK"],"itemData":{"id":590,"type":"article-journal","abstract":"A ternary strategy is viable to minimize the trade-off between short-circuit current density (Jsc) and open-circuit voltage (Voc) in organic solar cells. Generally, the ternary OSCs can achieve a higher PCE than the binary counterparts by subtly utilizing the particular photoelectric properties of the third material. In this regard, we choose BTP-CC with a higher-lying LUMO level based on a fused TPBT (dithienothiophen[3.2-b]-pyrrolobenzothiadiazole) central framework and CC (2-(6-oxo-5,6-dihydro-4H-cyclopenta [b]thiophen-4-ylidene) malononitrile) flanking groups as the third component to broaden the light-absorption spectrum, regulate the bulk heterojunction (BHJ) morphology, improve the Voc, and reduce the charge recombination in OSCs. In addition, BTP-CC demonstrates intense intermolecular energy transfer to Y6 by fluorescence resonance energy transfer (FRET) pathway, which is due to the photoluminescence (PL) spectrum of BTP-CC covering the absorption region of Y6. The PM6:Y6:BTP-CC based ternary OSC achieves a champion PCE of 17.55%. Further investigation indicates that introduction of BTP-CC could reduce the trap states in OSCs, leading to an increased charge carrier density. Moreover, the incorporation of BTP-CC could improve the device stability. These results demonstrated that BTP-CC is important in improving the photovoltaic performance of ternary OSCs, and this work also provides a guideline for constructing ideal ternary OSCs in the future. © 2022 American Chemical Society.","archive":"Scopus","container-title":"ACS Applied Materials and Interfaces","DOI":"10.1021/acsami.2c07883","ISSN":"1944-8244","issue":"32","language":"English","page":"36582-36591","source":"Scopus","title":"High-Performance Ternary Organic Solar Cells Enabled by Introducing a New A-DA′D-A Guest Acceptor with Higher-Lying LUMO Level","volume":"14","author":[{"family":"Xu","given":"X."},{"family":"Sun","given":"C."},{"family":"Jing","given":"J."},{"family":"Niu","given":"T."},{"family":"Wu","given":"X."},{"family":"Zhang","given":"K."},{"family":"Huang","given":"F."},{"family":"Xu","given":"Q."},{"family":"Yuan","given":"J."},{"family":"Lu","given":"X."},{"family":"Zhou","given":"Y."},{"family":"Zou","given":"Y."}],"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[63]</w:t>
            </w:r>
            <w:r w:rsidRPr="00B55044">
              <w:rPr>
                <w:rFonts w:eastAsia="Times New Roman"/>
                <w:color w:val="0000FF"/>
                <w:sz w:val="16"/>
                <w:szCs w:val="16"/>
              </w:rPr>
              <w:fldChar w:fldCharType="end"/>
            </w:r>
          </w:p>
        </w:tc>
      </w:tr>
      <w:tr w:rsidR="00D47774" w:rsidRPr="00B55044" w14:paraId="50A9C67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BF0E8F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102</w:t>
            </w:r>
          </w:p>
        </w:tc>
        <w:tc>
          <w:tcPr>
            <w:tcW w:w="1525" w:type="pct"/>
            <w:tcBorders>
              <w:top w:val="single" w:sz="4" w:space="0" w:color="auto"/>
              <w:left w:val="nil"/>
              <w:bottom w:val="single" w:sz="4" w:space="0" w:color="auto"/>
              <w:right w:val="nil"/>
            </w:tcBorders>
            <w:shd w:val="clear" w:color="auto" w:fill="auto"/>
            <w:noWrap/>
            <w:vAlign w:val="bottom"/>
            <w:hideMark/>
          </w:tcPr>
          <w:p w14:paraId="0425742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2BE555F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PM6:BTP-BO-4F:BTA1</w:t>
            </w:r>
          </w:p>
        </w:tc>
        <w:tc>
          <w:tcPr>
            <w:tcW w:w="379" w:type="pct"/>
            <w:tcBorders>
              <w:top w:val="single" w:sz="4" w:space="0" w:color="auto"/>
              <w:left w:val="nil"/>
              <w:bottom w:val="single" w:sz="4" w:space="0" w:color="auto"/>
              <w:right w:val="nil"/>
            </w:tcBorders>
            <w:shd w:val="clear" w:color="auto" w:fill="auto"/>
            <w:noWrap/>
            <w:vAlign w:val="bottom"/>
            <w:hideMark/>
          </w:tcPr>
          <w:p w14:paraId="181F596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0.869</w:t>
            </w:r>
          </w:p>
        </w:tc>
        <w:tc>
          <w:tcPr>
            <w:tcW w:w="379" w:type="pct"/>
            <w:tcBorders>
              <w:top w:val="single" w:sz="4" w:space="0" w:color="auto"/>
              <w:left w:val="nil"/>
              <w:bottom w:val="single" w:sz="4" w:space="0" w:color="auto"/>
              <w:right w:val="nil"/>
            </w:tcBorders>
            <w:shd w:val="clear" w:color="auto" w:fill="auto"/>
            <w:noWrap/>
            <w:vAlign w:val="bottom"/>
            <w:hideMark/>
          </w:tcPr>
          <w:p w14:paraId="05B6274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26.76</w:t>
            </w:r>
          </w:p>
        </w:tc>
        <w:tc>
          <w:tcPr>
            <w:tcW w:w="378" w:type="pct"/>
            <w:tcBorders>
              <w:top w:val="single" w:sz="4" w:space="0" w:color="auto"/>
              <w:left w:val="nil"/>
              <w:bottom w:val="single" w:sz="4" w:space="0" w:color="auto"/>
              <w:right w:val="nil"/>
            </w:tcBorders>
            <w:shd w:val="clear" w:color="auto" w:fill="auto"/>
            <w:noWrap/>
            <w:vAlign w:val="bottom"/>
            <w:hideMark/>
          </w:tcPr>
          <w:p w14:paraId="380E8F1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78.55</w:t>
            </w:r>
          </w:p>
        </w:tc>
        <w:tc>
          <w:tcPr>
            <w:tcW w:w="381" w:type="pct"/>
            <w:tcBorders>
              <w:top w:val="single" w:sz="4" w:space="0" w:color="auto"/>
              <w:left w:val="nil"/>
              <w:bottom w:val="single" w:sz="4" w:space="0" w:color="auto"/>
              <w:right w:val="nil"/>
            </w:tcBorders>
            <w:shd w:val="clear" w:color="auto" w:fill="auto"/>
            <w:noWrap/>
            <w:vAlign w:val="bottom"/>
            <w:hideMark/>
          </w:tcPr>
          <w:p w14:paraId="219512B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18.27</w:t>
            </w:r>
          </w:p>
        </w:tc>
        <w:tc>
          <w:tcPr>
            <w:tcW w:w="378" w:type="pct"/>
            <w:tcBorders>
              <w:top w:val="single" w:sz="4" w:space="0" w:color="auto"/>
              <w:left w:val="nil"/>
              <w:bottom w:val="single" w:sz="4" w:space="0" w:color="auto"/>
              <w:right w:val="nil"/>
            </w:tcBorders>
            <w:shd w:val="clear" w:color="auto" w:fill="auto"/>
            <w:noWrap/>
            <w:vAlign w:val="bottom"/>
            <w:hideMark/>
          </w:tcPr>
          <w:p w14:paraId="6EFBE5B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{"citationID":"huoMfHOT","properties":{"formattedCitation":"[64]","plainCitation":"[64]","noteIndex":0},"citationItems":[{"id":589,"uris":["http://zotero.org/users/12909065/items/CDCHBCVW"],"itemData":{"id":589,"type":"article-journal","abstract":"A ternary strategy has been considered to be a simple and efficient method to further improve the performance of organic solar cells (OSCs). Here, three benzotriazole-based nonfullerene acceptors (NFAs) with similar A2-A1-D-A1-A2 backbones except for different terminal groups, are utilized as guest components to a classic PM6:BTP-BO-4F binary host. Excitingly, BTA1-3 all realize much better photovoltaic performance in ternary devices with a minimized energy loss (Eloss) and improved open-circuit voltage (VOC), suggesting that it is the bridge A1 unit that plays the decisive role. Additionally, the short-circuit current density (JSC) and fill factor (FF) of BTA2-/BTA3-incorporated devices can be enhanced simultaneously, resulting from more efficient photon harvesting, increased exciton dissociation, improved charge transport, and reduced charge recombination. The highest efficiency of 18.27% is obtained in the BTA2 device, one of the top values for PM6-based OSCs. This work suggests that A2-A1-D-A1-A2 type NFAs are effective in further improving the performance of ternary OSCs. © 2022 American Chemical Society.","archive":"Scopus","container-title":"ACS Energy Letters","DOI":"10.1021/acsenergylett.2c01438","ISSN":"2380-8195","issue":"8","language":"English","page":"2845-2855","source":"Scopus","title":"High-Performance Ternary Organic Solar Cells through Incorporation of a Series of A2-A1-D-A1-A2Type Nonfullerene Acceptors with Different Terminal Groups","volume":"7","author":[{"family":"Lan","given":"A."},{"family":"Lv","given":"Y."},{"family":"Zhu","given":"J."},{"family":"Lu","given":"H."},{"family":"Do","given":"H."},{"family":"Chen","given":"Z.-K."},{"family":"Zhou","given":"J."},{"family":"Wang","given":"H."},{"family":"Chen","given":"F."},{"family":"Zhou","given":"E."}],"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[64]</w:t>
            </w:r>
            <w:r w:rsidRPr="00B55044">
              <w:rPr>
                <w:rFonts w:eastAsia="Times New Roman"/>
                <w:color w:val="0000FF"/>
                <w:sz w:val="16"/>
                <w:szCs w:val="16"/>
              </w:rPr>
              <w:fldChar w:fldCharType="end"/>
            </w:r>
          </w:p>
        </w:tc>
      </w:tr>
      <w:tr w:rsidR="00D47774" w:rsidRPr="00B55044" w14:paraId="4B1D452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C2FF3F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103</w:t>
            </w:r>
          </w:p>
        </w:tc>
        <w:tc>
          <w:tcPr>
            <w:tcW w:w="1525" w:type="pct"/>
            <w:tcBorders>
              <w:top w:val="single" w:sz="4" w:space="0" w:color="auto"/>
              <w:left w:val="nil"/>
              <w:bottom w:val="single" w:sz="4" w:space="0" w:color="auto"/>
              <w:right w:val="nil"/>
            </w:tcBorders>
            <w:shd w:val="clear" w:color="auto" w:fill="auto"/>
            <w:noWrap/>
            <w:vAlign w:val="bottom"/>
            <w:hideMark/>
          </w:tcPr>
          <w:p w14:paraId="76AFF73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57AAFB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PM6:BTP-BO-4F:BTA2</w:t>
            </w:r>
          </w:p>
        </w:tc>
        <w:tc>
          <w:tcPr>
            <w:tcW w:w="379" w:type="pct"/>
            <w:tcBorders>
              <w:top w:val="single" w:sz="4" w:space="0" w:color="auto"/>
              <w:left w:val="nil"/>
              <w:bottom w:val="single" w:sz="4" w:space="0" w:color="auto"/>
              <w:right w:val="nil"/>
            </w:tcBorders>
            <w:shd w:val="clear" w:color="auto" w:fill="auto"/>
            <w:noWrap/>
            <w:vAlign w:val="bottom"/>
            <w:hideMark/>
          </w:tcPr>
          <w:p w14:paraId="5572C8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0.869</w:t>
            </w:r>
          </w:p>
        </w:tc>
        <w:tc>
          <w:tcPr>
            <w:tcW w:w="379" w:type="pct"/>
            <w:tcBorders>
              <w:top w:val="single" w:sz="4" w:space="0" w:color="auto"/>
              <w:left w:val="nil"/>
              <w:bottom w:val="single" w:sz="4" w:space="0" w:color="auto"/>
              <w:right w:val="nil"/>
            </w:tcBorders>
            <w:shd w:val="clear" w:color="auto" w:fill="auto"/>
            <w:noWrap/>
            <w:vAlign w:val="bottom"/>
            <w:hideMark/>
          </w:tcPr>
          <w:p w14:paraId="2F788C4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26.76</w:t>
            </w:r>
          </w:p>
        </w:tc>
        <w:tc>
          <w:tcPr>
            <w:tcW w:w="378" w:type="pct"/>
            <w:tcBorders>
              <w:top w:val="single" w:sz="4" w:space="0" w:color="auto"/>
              <w:left w:val="nil"/>
              <w:bottom w:val="single" w:sz="4" w:space="0" w:color="auto"/>
              <w:right w:val="nil"/>
            </w:tcBorders>
            <w:shd w:val="clear" w:color="auto" w:fill="auto"/>
            <w:noWrap/>
            <w:vAlign w:val="bottom"/>
            <w:hideMark/>
          </w:tcPr>
          <w:p w14:paraId="3EAB2C0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78.55</w:t>
            </w:r>
          </w:p>
        </w:tc>
        <w:tc>
          <w:tcPr>
            <w:tcW w:w="381" w:type="pct"/>
            <w:tcBorders>
              <w:top w:val="single" w:sz="4" w:space="0" w:color="auto"/>
              <w:left w:val="nil"/>
              <w:bottom w:val="single" w:sz="4" w:space="0" w:color="auto"/>
              <w:right w:val="nil"/>
            </w:tcBorders>
            <w:shd w:val="clear" w:color="auto" w:fill="auto"/>
            <w:noWrap/>
            <w:vAlign w:val="bottom"/>
            <w:hideMark/>
          </w:tcPr>
          <w:p w14:paraId="47C5026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18.27</w:t>
            </w:r>
          </w:p>
        </w:tc>
        <w:tc>
          <w:tcPr>
            <w:tcW w:w="378" w:type="pct"/>
            <w:tcBorders>
              <w:top w:val="single" w:sz="4" w:space="0" w:color="auto"/>
              <w:left w:val="nil"/>
              <w:bottom w:val="single" w:sz="4" w:space="0" w:color="auto"/>
              <w:right w:val="nil"/>
            </w:tcBorders>
            <w:shd w:val="clear" w:color="auto" w:fill="auto"/>
            <w:noWrap/>
            <w:vAlign w:val="bottom"/>
            <w:hideMark/>
          </w:tcPr>
          <w:p w14:paraId="6BF9040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{"citationID":"jXaheMoe","properties":{"formattedCitation":"[64]","plainCitation":"[64]","noteIndex":0},"citationItems":[{"id":589,"uris":["http://zotero.org/users/12909065/items/CDCHBCVW"],"itemData":{"id":589,"type":"article-journal","abstract":"A ternary strategy has been considered to be a simple and efficient method to further improve the performance of organic solar cells (OSCs). Here, three benzotriazole-based nonfullerene acceptors (NFAs) with similar A2-A1-D-A1-A2 backbones except for different terminal groups, are utilized as guest components to a classic PM6:BTP-BO-4F binary host. Excitingly, BTA1-3 all realize much better photovoltaic performance in ternary devices with a minimized energy loss (Eloss) and improved open-circuit voltage (VOC), suggesting that it is the bridge A1 unit that plays the decisive role. Additionally, the short-circuit current density (JSC) and fill factor (FF) of BTA2-/BTA3-incorporated devices can be enhanced simultaneously, resulting from more efficient photon harvesting, increased exciton dissociation, improved charge transport, and reduced charge recombination. The highest efficiency of 18.27% is obtained in the BTA2 device, one of the top values for PM6-based OSCs. This work suggests that A2-A1-D-A1-A2 type NFAs are effective in further improving the performance of ternary OSCs. © 2022 American Chemical Society.","archive":"Scopus","container-title":"ACS Energy Letters","DOI":"10.1021/acsenergylett.2c01438","ISSN":"2380-8195","issue":"8","language":"English","page":"2845-2855","source":"Scopus","title":"High-Performance Ternary Organic Solar Cells through Incorporation of a Series of A2-A1-D-A1-A2Type Nonfullerene Acceptors with Different Terminal Groups","volume":"7","author":[{"family":"Lan","given":"A."},{"family":"Lv","given":"Y."},{"family":"Zhu","given":"J."},{"family":"Lu","given":"H."},{"family":"Do","given":"H."},{"family":"Chen","given":"Z.-K."},{"family":"Zhou","given":"J."},{"family":"Wang","given":"H."},{"family":"Chen","given":"F."},{"family":"Zhou","given":"E."}],"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[64]</w:t>
            </w:r>
            <w:r w:rsidRPr="00B55044">
              <w:rPr>
                <w:rFonts w:eastAsia="Times New Roman"/>
                <w:color w:val="0000FF"/>
                <w:sz w:val="16"/>
                <w:szCs w:val="16"/>
              </w:rPr>
              <w:fldChar w:fldCharType="end"/>
            </w:r>
          </w:p>
        </w:tc>
      </w:tr>
      <w:tr w:rsidR="00D47774" w:rsidRPr="00B55044" w14:paraId="074C13F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CF1FE1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104</w:t>
            </w:r>
          </w:p>
        </w:tc>
        <w:tc>
          <w:tcPr>
            <w:tcW w:w="1525" w:type="pct"/>
            <w:tcBorders>
              <w:top w:val="single" w:sz="4" w:space="0" w:color="auto"/>
              <w:left w:val="nil"/>
              <w:bottom w:val="single" w:sz="4" w:space="0" w:color="auto"/>
              <w:right w:val="nil"/>
            </w:tcBorders>
            <w:shd w:val="clear" w:color="auto" w:fill="auto"/>
            <w:noWrap/>
            <w:vAlign w:val="bottom"/>
            <w:hideMark/>
          </w:tcPr>
          <w:p w14:paraId="2AADC94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680F1AC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PM6:BTP-BO-4F:BTA3</w:t>
            </w:r>
          </w:p>
        </w:tc>
        <w:tc>
          <w:tcPr>
            <w:tcW w:w="379" w:type="pct"/>
            <w:tcBorders>
              <w:top w:val="single" w:sz="4" w:space="0" w:color="auto"/>
              <w:left w:val="nil"/>
              <w:bottom w:val="single" w:sz="4" w:space="0" w:color="auto"/>
              <w:right w:val="nil"/>
            </w:tcBorders>
            <w:shd w:val="clear" w:color="auto" w:fill="auto"/>
            <w:noWrap/>
            <w:vAlign w:val="bottom"/>
            <w:hideMark/>
          </w:tcPr>
          <w:p w14:paraId="268345C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0.869</w:t>
            </w:r>
          </w:p>
        </w:tc>
        <w:tc>
          <w:tcPr>
            <w:tcW w:w="379" w:type="pct"/>
            <w:tcBorders>
              <w:top w:val="single" w:sz="4" w:space="0" w:color="auto"/>
              <w:left w:val="nil"/>
              <w:bottom w:val="single" w:sz="4" w:space="0" w:color="auto"/>
              <w:right w:val="nil"/>
            </w:tcBorders>
            <w:shd w:val="clear" w:color="auto" w:fill="auto"/>
            <w:noWrap/>
            <w:vAlign w:val="bottom"/>
            <w:hideMark/>
          </w:tcPr>
          <w:p w14:paraId="15186B9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26.76</w:t>
            </w:r>
          </w:p>
        </w:tc>
        <w:tc>
          <w:tcPr>
            <w:tcW w:w="378" w:type="pct"/>
            <w:tcBorders>
              <w:top w:val="single" w:sz="4" w:space="0" w:color="auto"/>
              <w:left w:val="nil"/>
              <w:bottom w:val="single" w:sz="4" w:space="0" w:color="auto"/>
              <w:right w:val="nil"/>
            </w:tcBorders>
            <w:shd w:val="clear" w:color="auto" w:fill="auto"/>
            <w:noWrap/>
            <w:vAlign w:val="bottom"/>
            <w:hideMark/>
          </w:tcPr>
          <w:p w14:paraId="64E51FB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78.55</w:t>
            </w:r>
          </w:p>
        </w:tc>
        <w:tc>
          <w:tcPr>
            <w:tcW w:w="381" w:type="pct"/>
            <w:tcBorders>
              <w:top w:val="single" w:sz="4" w:space="0" w:color="auto"/>
              <w:left w:val="nil"/>
              <w:bottom w:val="single" w:sz="4" w:space="0" w:color="auto"/>
              <w:right w:val="nil"/>
            </w:tcBorders>
            <w:shd w:val="clear" w:color="auto" w:fill="auto"/>
            <w:noWrap/>
            <w:vAlign w:val="bottom"/>
            <w:hideMark/>
          </w:tcPr>
          <w:p w14:paraId="44FF1D8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18.27</w:t>
            </w:r>
          </w:p>
        </w:tc>
        <w:tc>
          <w:tcPr>
            <w:tcW w:w="378" w:type="pct"/>
            <w:tcBorders>
              <w:top w:val="single" w:sz="4" w:space="0" w:color="auto"/>
              <w:left w:val="nil"/>
              <w:bottom w:val="single" w:sz="4" w:space="0" w:color="auto"/>
              <w:right w:val="nil"/>
            </w:tcBorders>
            <w:shd w:val="clear" w:color="auto" w:fill="auto"/>
            <w:noWrap/>
            <w:vAlign w:val="bottom"/>
            <w:hideMark/>
          </w:tcPr>
          <w:p w14:paraId="0A1CA0A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{"citationID":"CdUTu12s","properties":{"formattedCitation":"[64]","plainCitation":"[64]","noteIndex":0},"citationItems":[{"id":589,"uris":["http://zotero.org/users/12909065/items/CDCHBCVW"],"itemData":{"id":589,"type":"article-journal","abstract":"A ternary strategy has been considered to be a simple and efficient method to further improve the performance of organic solar cells (OSCs). Here, three benzotriazole-based nonfullerene acceptors (NFAs) with similar A2-A1-D-A1-A2 backbones except for different terminal groups, are utilized as guest components to a classic PM6:BTP-BO-4F binary host. Excitingly, BTA1-3 all realize much better photovoltaic performance in ternary devices with a minimized energy loss (Eloss) and improved open-circuit voltage (VOC), suggesting that it is the bridge A1 unit that plays the decisive role. Additionally, the short-circuit current density (JSC) and fill factor (FF) of BTA2-/BTA3-incorporated devices can be enhanced simultaneously, resulting from more efficient photon harvesting, increased exciton dissociation, improved charge transport, and reduced charge recombination. The highest efficiency of 18.27% is obtained in the BTA2 device, one of the top values for PM6-based OSCs. This work suggests that A2-A1-D-A1-A2 type NFAs are effective in further improving the performance of ternary OSCs. © 2022 American Chemical Society.","archive":"Scopus","container-title":"ACS Energy Letters","DOI":"10.1021/acsenergylett.2c01438","ISSN":"2380-8195","issue":"8","language":"English","page":"2845-2855","source":"Scopus","title":"High-Performance Ternary Organic Solar Cells through Incorporation of a Series of A2-A1-D-A1-A2Type Nonfullerene Acceptors with Different Terminal Groups","volume":"7","author":[{"family":"Lan","given":"A."},{"family":"Lv","given":"Y."},{"family":"Zhu","given":"J."},{"family":"Lu","given":"H."},{"family":"Do","given":"H."},{"family":"Chen","given":"Z.-K."},{"family":"Zhou","given":"J."},{"family":"Wang","given":"H."},{"family":"Chen","given":"F."},{"family":"Zhou","given":"E."}],"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[64]</w:t>
            </w:r>
            <w:r w:rsidRPr="00B55044">
              <w:rPr>
                <w:rFonts w:eastAsia="Times New Roman"/>
                <w:color w:val="0000FF"/>
                <w:sz w:val="16"/>
                <w:szCs w:val="16"/>
              </w:rPr>
              <w:fldChar w:fldCharType="end"/>
            </w:r>
          </w:p>
        </w:tc>
      </w:tr>
      <w:tr w:rsidR="00D47774" w:rsidRPr="00B55044" w14:paraId="22D96FC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CA7AB4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105</w:t>
            </w:r>
          </w:p>
        </w:tc>
        <w:tc>
          <w:tcPr>
            <w:tcW w:w="1525" w:type="pct"/>
            <w:tcBorders>
              <w:top w:val="single" w:sz="4" w:space="0" w:color="auto"/>
              <w:left w:val="nil"/>
              <w:bottom w:val="single" w:sz="4" w:space="0" w:color="auto"/>
              <w:right w:val="nil"/>
            </w:tcBorders>
            <w:shd w:val="clear" w:color="auto" w:fill="auto"/>
            <w:noWrap/>
            <w:vAlign w:val="bottom"/>
            <w:hideMark/>
          </w:tcPr>
          <w:p w14:paraId="1762788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37B642D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PM6:Y6:WA1</w:t>
            </w:r>
          </w:p>
        </w:tc>
        <w:tc>
          <w:tcPr>
            <w:tcW w:w="379" w:type="pct"/>
            <w:tcBorders>
              <w:top w:val="single" w:sz="4" w:space="0" w:color="auto"/>
              <w:left w:val="nil"/>
              <w:bottom w:val="single" w:sz="4" w:space="0" w:color="auto"/>
              <w:right w:val="nil"/>
            </w:tcBorders>
            <w:shd w:val="clear" w:color="auto" w:fill="auto"/>
            <w:noWrap/>
            <w:vAlign w:val="bottom"/>
            <w:hideMark/>
          </w:tcPr>
          <w:p w14:paraId="662FC2C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514FD90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22.65</w:t>
            </w:r>
          </w:p>
        </w:tc>
        <w:tc>
          <w:tcPr>
            <w:tcW w:w="378" w:type="pct"/>
            <w:tcBorders>
              <w:top w:val="single" w:sz="4" w:space="0" w:color="auto"/>
              <w:left w:val="nil"/>
              <w:bottom w:val="single" w:sz="4" w:space="0" w:color="auto"/>
              <w:right w:val="nil"/>
            </w:tcBorders>
            <w:shd w:val="clear" w:color="auto" w:fill="auto"/>
            <w:noWrap/>
            <w:vAlign w:val="bottom"/>
            <w:hideMark/>
          </w:tcPr>
          <w:p w14:paraId="7F45DD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79.31</w:t>
            </w:r>
          </w:p>
        </w:tc>
        <w:tc>
          <w:tcPr>
            <w:tcW w:w="381" w:type="pct"/>
            <w:tcBorders>
              <w:top w:val="single" w:sz="4" w:space="0" w:color="auto"/>
              <w:left w:val="nil"/>
              <w:bottom w:val="single" w:sz="4" w:space="0" w:color="auto"/>
              <w:right w:val="nil"/>
            </w:tcBorders>
            <w:shd w:val="clear" w:color="auto" w:fill="auto"/>
            <w:noWrap/>
            <w:vAlign w:val="bottom"/>
            <w:hideMark/>
          </w:tcPr>
          <w:p w14:paraId="363FF6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15.45</w:t>
            </w:r>
          </w:p>
        </w:tc>
        <w:tc>
          <w:tcPr>
            <w:tcW w:w="378" w:type="pct"/>
            <w:tcBorders>
              <w:top w:val="single" w:sz="4" w:space="0" w:color="auto"/>
              <w:left w:val="nil"/>
              <w:bottom w:val="single" w:sz="4" w:space="0" w:color="auto"/>
              <w:right w:val="nil"/>
            </w:tcBorders>
            <w:shd w:val="clear" w:color="auto" w:fill="auto"/>
            <w:noWrap/>
            <w:vAlign w:val="bottom"/>
            <w:hideMark/>
          </w:tcPr>
          <w:p w14:paraId="4ED0299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{"citationID":"hql4RyN1","properties":{"formattedCitation":"[65]","plainCitation":"[65]","noteIndex":0},"citationItems":[{"id":588,"uris":["http://zotero.org/users/12909065/items/PR7YGLGP"],"itemData":{"id":588,"type":"article-journal","abstract":"Nonfullerene acceptors have boosted the power conversion efficiencies (PCE) of organic solar cells (OSCs). Rigid fused-ring molecular skeletons enable decent molecular planarity and stacking orientations, but suffer from tedious synthesis procedures for those with large π-backbones. Promisingly, the π-bridge strategy provides an alternative to readily manipulate the light utilization, but sometimes increases the conformation complexity. To rationally regulate the performance of π-bridged acceptors, herein, we report two new acceptors WA1 and WA2, functionalized with single or dual π-bridges flanking the phenylalkyl modified indacenodithiophene (IDT) backbone. The unilateral π-bridge endows WA1 with an asymmetric electron cloud distribution, affording a greater dipole moment and well-organized molecular orientation. In contrast, the bilateral π-bridges endow WA2 with two disparate molecular dipoles and disordered stacking orientations, generating inferior PCEs below 10%. Notably, the PM6:WA1 device shows a remarkable PCE of up to 15.45% with an impressive fill factor (FF) of up to 79.31%, both of which rank among the highest values of OSCs with π-bridged acceptors. More importantly, the PM6:Y6:WA1 ternary organic solar cell (TOSC) affords a high PCE of up to 18.15%, which is the best efficiency among Y6-based bulk-heterojunction TOSCs and the first example of an efficient ternary cell featuring a π-bridged guest acceptor. © 2022 The Royal Society of Chemistry.","archive":"Scopus","container-title":"Journal of Materials Chemistry A","DOI":"10.1039/d2ta05157e","ISSN":"2050-7488","language":"English","source":"Scopus","title":"Rationally regulating the π-bridge of small molecule acceptors for efficient organic solar cells","author":[{"family":"Wang","given":"P."},{"family":"Li","given":"Y."},{"family":"Han","given":"C."},{"family":"Wang","given":"J."},{"family":"Bi","given":"F."},{"family":"Zheng","given":"N."},{"family":"Yang","given":"J."},{"family":"Wang","given":"J."},{"family":"Bao","given":"X."}],"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[65]</w:t>
            </w:r>
            <w:r w:rsidRPr="00B55044">
              <w:rPr>
                <w:rFonts w:eastAsia="Times New Roman"/>
                <w:color w:val="0000FF"/>
                <w:sz w:val="16"/>
                <w:szCs w:val="16"/>
              </w:rPr>
              <w:fldChar w:fldCharType="end"/>
            </w:r>
          </w:p>
        </w:tc>
      </w:tr>
      <w:tr w:rsidR="00D47774" w:rsidRPr="00B55044" w14:paraId="4945F0F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AA14BC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106</w:t>
            </w:r>
          </w:p>
        </w:tc>
        <w:tc>
          <w:tcPr>
            <w:tcW w:w="1525" w:type="pct"/>
            <w:tcBorders>
              <w:top w:val="single" w:sz="4" w:space="0" w:color="auto"/>
              <w:left w:val="nil"/>
              <w:bottom w:val="single" w:sz="4" w:space="0" w:color="auto"/>
              <w:right w:val="nil"/>
            </w:tcBorders>
            <w:shd w:val="clear" w:color="auto" w:fill="auto"/>
            <w:noWrap/>
            <w:vAlign w:val="bottom"/>
            <w:hideMark/>
          </w:tcPr>
          <w:p w14:paraId="68E402A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0E45BA5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PM6:PBB1-F:BTP-eC9 (PAE)</w:t>
            </w:r>
          </w:p>
        </w:tc>
        <w:tc>
          <w:tcPr>
            <w:tcW w:w="379" w:type="pct"/>
            <w:tcBorders>
              <w:top w:val="single" w:sz="4" w:space="0" w:color="auto"/>
              <w:left w:val="nil"/>
              <w:bottom w:val="single" w:sz="4" w:space="0" w:color="auto"/>
              <w:right w:val="nil"/>
            </w:tcBorders>
            <w:shd w:val="clear" w:color="auto" w:fill="auto"/>
            <w:noWrap/>
            <w:vAlign w:val="bottom"/>
            <w:hideMark/>
          </w:tcPr>
          <w:p w14:paraId="2409C1D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0.859</w:t>
            </w:r>
          </w:p>
        </w:tc>
        <w:tc>
          <w:tcPr>
            <w:tcW w:w="379" w:type="pct"/>
            <w:tcBorders>
              <w:top w:val="single" w:sz="4" w:space="0" w:color="auto"/>
              <w:left w:val="nil"/>
              <w:bottom w:val="single" w:sz="4" w:space="0" w:color="auto"/>
              <w:right w:val="nil"/>
            </w:tcBorders>
            <w:shd w:val="clear" w:color="auto" w:fill="auto"/>
            <w:noWrap/>
            <w:vAlign w:val="bottom"/>
            <w:hideMark/>
          </w:tcPr>
          <w:p w14:paraId="255E3E1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27.44</w:t>
            </w:r>
          </w:p>
        </w:tc>
        <w:tc>
          <w:tcPr>
            <w:tcW w:w="378" w:type="pct"/>
            <w:tcBorders>
              <w:top w:val="single" w:sz="4" w:space="0" w:color="auto"/>
              <w:left w:val="nil"/>
              <w:bottom w:val="single" w:sz="4" w:space="0" w:color="auto"/>
              <w:right w:val="nil"/>
            </w:tcBorders>
            <w:shd w:val="clear" w:color="auto" w:fill="auto"/>
            <w:noWrap/>
            <w:vAlign w:val="bottom"/>
            <w:hideMark/>
          </w:tcPr>
          <w:p w14:paraId="2B80717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78.51</w:t>
            </w:r>
          </w:p>
        </w:tc>
        <w:tc>
          <w:tcPr>
            <w:tcW w:w="381" w:type="pct"/>
            <w:tcBorders>
              <w:top w:val="single" w:sz="4" w:space="0" w:color="auto"/>
              <w:left w:val="nil"/>
              <w:bottom w:val="single" w:sz="4" w:space="0" w:color="auto"/>
              <w:right w:val="nil"/>
            </w:tcBorders>
            <w:shd w:val="clear" w:color="auto" w:fill="auto"/>
            <w:noWrap/>
            <w:vAlign w:val="bottom"/>
            <w:hideMark/>
          </w:tcPr>
          <w:p w14:paraId="798DA0C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18.51</w:t>
            </w:r>
          </w:p>
        </w:tc>
        <w:tc>
          <w:tcPr>
            <w:tcW w:w="378" w:type="pct"/>
            <w:tcBorders>
              <w:top w:val="single" w:sz="4" w:space="0" w:color="auto"/>
              <w:left w:val="nil"/>
              <w:bottom w:val="single" w:sz="4" w:space="0" w:color="auto"/>
              <w:right w:val="nil"/>
            </w:tcBorders>
            <w:shd w:val="clear" w:color="auto" w:fill="auto"/>
            <w:noWrap/>
            <w:vAlign w:val="bottom"/>
            <w:hideMark/>
          </w:tcPr>
          <w:p w14:paraId="495E7F4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{"citationID":"Gx4DIUVk","properties":{"formattedCitation":"[66]","plainCitation":"[66]","noteIndex":0},"citationItems":[{"id":587,"uris":["http://zotero.org/users/12909065/items/BU2C7LFR"],"itemData":{"id":587,"type":"article-journal","abstract":"Efficient organic solar cells (OSCs) equipped with thick-film active layers and high flexibility are of great significance for industrial preparation and practical applications. Herein, a ternary strategy coupled with a functional additive is employed to obtain efficient thick-film flexible OSCs. A novel polymer donor PBB1-F with good planarity is synthesized as a third component to optimize photon capture and molecular stacking. Meanwhile, a high dielectric constant polyarene ether (PAE) functional additive with strong adhesion not only greatly improves exciton dissociation efficiency, but also acts as locking cage-like for effective enhancement of the mechanical stability of active layer. As a result, the PM6:PBB1-F:Y6-BO-4Cl and PM6:PBB1-F:BTP-eC9 based ternary OSCs with PAE exhibit an efficiency of 17.91% and 18.51% under rigid thin-film state, and perform better under thick-film state of rigid (16.40% and 16.84%) and flexible (14.78% and 14.95%). Under the protection of the polymers, tight entanglement and cage-like PAE adhesion, the elongation at break of the active layer increases by more than fourfold (27.3%), and gives a super flexible thick-film OSCs that maintains more than 90% performance after 1000 bending cycles with a diameter of 10 mm. Overall, this work provides a new feasible scheme to effectively solve thickness sensitivity and flexibility issues in the context organic photovoltaic applications. © 2022 Wiley-VCH GmbH.","archive":"Scopus","container-title":"Advanced Energy Materials","DOI":"10.1002/aenm.202201614","ISSN":"1614-6832","issue":"31","language":"English","source":"Scopus","title":"Synergetic Strategy for Highly Efficient and Super Flexible Thick-film Organic Solar Cells","volume":"12","author":[{"family":"Wang","given":"J."},{"family":"Han","given":"C."},{"family":"Han","given":"J."},{"family":"Bi","given":"F."},{"family":"Sun","given":"X."},{"family":"Wen","given":"S."},{"family":"Yang","given":"C."},{"family":"Yang","given":"C."},{"family":"Bao","given":"X."},{"family":"Chu","given":"J."}],"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[66]</w:t>
            </w:r>
            <w:r w:rsidRPr="00B55044">
              <w:rPr>
                <w:rFonts w:eastAsia="Times New Roman"/>
                <w:color w:val="0000FF"/>
                <w:sz w:val="16"/>
                <w:szCs w:val="16"/>
              </w:rPr>
              <w:fldChar w:fldCharType="end"/>
            </w:r>
          </w:p>
        </w:tc>
      </w:tr>
      <w:tr w:rsidR="00D47774" w:rsidRPr="00B55044" w14:paraId="6DFD08C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B39ADE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107</w:t>
            </w:r>
          </w:p>
        </w:tc>
        <w:tc>
          <w:tcPr>
            <w:tcW w:w="1525" w:type="pct"/>
            <w:tcBorders>
              <w:top w:val="single" w:sz="4" w:space="0" w:color="auto"/>
              <w:left w:val="nil"/>
              <w:bottom w:val="single" w:sz="4" w:space="0" w:color="auto"/>
              <w:right w:val="nil"/>
            </w:tcBorders>
            <w:shd w:val="clear" w:color="auto" w:fill="auto"/>
            <w:noWrap/>
            <w:vAlign w:val="bottom"/>
            <w:hideMark/>
          </w:tcPr>
          <w:p w14:paraId="0ED0B0D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771DC82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PM6:PBB1-F:BTP-eC9</w:t>
            </w:r>
          </w:p>
        </w:tc>
        <w:tc>
          <w:tcPr>
            <w:tcW w:w="379" w:type="pct"/>
            <w:tcBorders>
              <w:top w:val="single" w:sz="4" w:space="0" w:color="auto"/>
              <w:left w:val="nil"/>
              <w:bottom w:val="single" w:sz="4" w:space="0" w:color="auto"/>
              <w:right w:val="nil"/>
            </w:tcBorders>
            <w:shd w:val="clear" w:color="auto" w:fill="auto"/>
            <w:noWrap/>
            <w:vAlign w:val="bottom"/>
            <w:hideMark/>
          </w:tcPr>
          <w:p w14:paraId="4C937C8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0.861</w:t>
            </w:r>
          </w:p>
        </w:tc>
        <w:tc>
          <w:tcPr>
            <w:tcW w:w="379" w:type="pct"/>
            <w:tcBorders>
              <w:top w:val="single" w:sz="4" w:space="0" w:color="auto"/>
              <w:left w:val="nil"/>
              <w:bottom w:val="single" w:sz="4" w:space="0" w:color="auto"/>
              <w:right w:val="nil"/>
            </w:tcBorders>
            <w:shd w:val="clear" w:color="auto" w:fill="auto"/>
            <w:noWrap/>
            <w:vAlign w:val="bottom"/>
            <w:hideMark/>
          </w:tcPr>
          <w:p w14:paraId="511CCEC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25.9</w:t>
            </w:r>
          </w:p>
        </w:tc>
        <w:tc>
          <w:tcPr>
            <w:tcW w:w="378" w:type="pct"/>
            <w:tcBorders>
              <w:top w:val="single" w:sz="4" w:space="0" w:color="auto"/>
              <w:left w:val="nil"/>
              <w:bottom w:val="single" w:sz="4" w:space="0" w:color="auto"/>
              <w:right w:val="nil"/>
            </w:tcBorders>
            <w:shd w:val="clear" w:color="auto" w:fill="auto"/>
            <w:noWrap/>
            <w:vAlign w:val="bottom"/>
            <w:hideMark/>
          </w:tcPr>
          <w:p w14:paraId="5934DD8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78.28</w:t>
            </w:r>
          </w:p>
        </w:tc>
        <w:tc>
          <w:tcPr>
            <w:tcW w:w="381" w:type="pct"/>
            <w:tcBorders>
              <w:top w:val="single" w:sz="4" w:space="0" w:color="auto"/>
              <w:left w:val="nil"/>
              <w:bottom w:val="single" w:sz="4" w:space="0" w:color="auto"/>
              <w:right w:val="nil"/>
            </w:tcBorders>
            <w:shd w:val="clear" w:color="auto" w:fill="auto"/>
            <w:noWrap/>
            <w:vAlign w:val="bottom"/>
            <w:hideMark/>
          </w:tcPr>
          <w:p w14:paraId="5C22E02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18.16</w:t>
            </w:r>
          </w:p>
        </w:tc>
        <w:tc>
          <w:tcPr>
            <w:tcW w:w="378" w:type="pct"/>
            <w:tcBorders>
              <w:top w:val="single" w:sz="4" w:space="0" w:color="auto"/>
              <w:left w:val="nil"/>
              <w:bottom w:val="single" w:sz="4" w:space="0" w:color="auto"/>
              <w:right w:val="nil"/>
            </w:tcBorders>
            <w:shd w:val="clear" w:color="auto" w:fill="auto"/>
            <w:noWrap/>
            <w:vAlign w:val="bottom"/>
            <w:hideMark/>
          </w:tcPr>
          <w:p w14:paraId="40FE11C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{"citationID":"26snbKn8","properties":{"formattedCitation":"[66]","plainCitation":"[66]","noteIndex":0},"citationItems":[{"id":587,"uris":["http://zotero.org/users/12909065/items/BU2C7LFR"],"itemData":{"id":587,"type":"article-journal","abstract":"Efficient organic solar cells (OSCs) equipped with thick-film active layers and high flexibility are of great significance for industrial preparation and practical applications. Herein, a ternary strategy coupled with a functional additive is employed to obtain efficient thick-film flexible OSCs. A novel polymer donor PBB1-F with good planarity is synthesized as a third component to optimize photon capture and molecular stacking. Meanwhile, a high dielectric constant polyarene ether (PAE) functional additive with strong adhesion not only greatly improves exciton dissociation efficiency, but also acts as locking cage-like for effective enhancement of the mechanical stability of active layer. As a result, the PM6:PBB1-F:Y6-BO-4Cl and PM6:PBB1-F:BTP-eC9 based ternary OSCs with PAE exhibit an efficiency of 17.91% and 18.51% under rigid thin-film state, and perform better under thick-film state of rigid (16.40% and 16.84%) and flexible (14.78% and 14.95%). Under the protection of the polymers, tight entanglement and cage-like PAE adhesion, the elongation at break of the active layer increases by more than fourfold (27.3%), and gives a super flexible thick-film OSCs that maintains more than 90% performance after 1000 bending cycles with a diameter of 10 mm. Overall, this work provides a new feasible scheme to effectively solve thickness sensitivity and flexibility issues in the context organic photovoltaic applications. © 2022 Wiley-VCH GmbH.","archive":"Scopus","container-title":"Advanced Energy Materials","DOI":"10.1002/aenm.202201614","ISSN":"1614-6832","issue":"31","language":"English","source":"Scopus","title":"Synergetic Strategy for Highly Efficient and Super Flexible Thick-film Organic Solar Cells","volume":"12","author":[{"family":"Wang","given":"J."},{"family":"Han","given":"C."},{"family":"Han","given":"J."},{"family":"Bi","given":"F."},{"family":"Sun","given":"X."},{"family":"Wen","given":"S."},{"family":"Yang","given":"C."},{"family":"Yang","given":"C."},{"family":"Bao","given":"X."},{"family":"Chu","given":"J."}],"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[66]</w:t>
            </w:r>
            <w:r w:rsidRPr="00B55044">
              <w:rPr>
                <w:rFonts w:eastAsia="Times New Roman"/>
                <w:color w:val="0000FF"/>
                <w:sz w:val="16"/>
                <w:szCs w:val="16"/>
              </w:rPr>
              <w:fldChar w:fldCharType="end"/>
            </w:r>
          </w:p>
        </w:tc>
      </w:tr>
      <w:tr w:rsidR="00D47774" w:rsidRPr="00B55044" w14:paraId="6EBBB22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F46ECC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lastRenderedPageBreak/>
              <w:t>108</w:t>
            </w:r>
          </w:p>
        </w:tc>
        <w:tc>
          <w:tcPr>
            <w:tcW w:w="1525" w:type="pct"/>
            <w:tcBorders>
              <w:top w:val="single" w:sz="4" w:space="0" w:color="auto"/>
              <w:left w:val="nil"/>
              <w:bottom w:val="single" w:sz="4" w:space="0" w:color="auto"/>
              <w:right w:val="nil"/>
            </w:tcBorders>
            <w:shd w:val="clear" w:color="auto" w:fill="auto"/>
            <w:noWrap/>
            <w:vAlign w:val="bottom"/>
            <w:hideMark/>
          </w:tcPr>
          <w:p w14:paraId="7EF635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466309F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PM6:PBB1-F:Y6-BO-4Cl (PAE)</w:t>
            </w:r>
          </w:p>
        </w:tc>
        <w:tc>
          <w:tcPr>
            <w:tcW w:w="379" w:type="pct"/>
            <w:tcBorders>
              <w:top w:val="single" w:sz="4" w:space="0" w:color="auto"/>
              <w:left w:val="nil"/>
              <w:bottom w:val="single" w:sz="4" w:space="0" w:color="auto"/>
              <w:right w:val="nil"/>
            </w:tcBorders>
            <w:shd w:val="clear" w:color="auto" w:fill="auto"/>
            <w:noWrap/>
            <w:vAlign w:val="bottom"/>
            <w:hideMark/>
          </w:tcPr>
          <w:p w14:paraId="6082241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7BAE8A1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27.14</w:t>
            </w:r>
          </w:p>
        </w:tc>
        <w:tc>
          <w:tcPr>
            <w:tcW w:w="378" w:type="pct"/>
            <w:tcBorders>
              <w:top w:val="single" w:sz="4" w:space="0" w:color="auto"/>
              <w:left w:val="nil"/>
              <w:bottom w:val="single" w:sz="4" w:space="0" w:color="auto"/>
              <w:right w:val="nil"/>
            </w:tcBorders>
            <w:shd w:val="clear" w:color="auto" w:fill="auto"/>
            <w:noWrap/>
            <w:vAlign w:val="bottom"/>
            <w:hideMark/>
          </w:tcPr>
          <w:p w14:paraId="71F5C15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76.68</w:t>
            </w:r>
          </w:p>
        </w:tc>
        <w:tc>
          <w:tcPr>
            <w:tcW w:w="381" w:type="pct"/>
            <w:tcBorders>
              <w:top w:val="single" w:sz="4" w:space="0" w:color="auto"/>
              <w:left w:val="nil"/>
              <w:bottom w:val="single" w:sz="4" w:space="0" w:color="auto"/>
              <w:right w:val="nil"/>
            </w:tcBorders>
            <w:shd w:val="clear" w:color="auto" w:fill="auto"/>
            <w:noWrap/>
            <w:vAlign w:val="bottom"/>
            <w:hideMark/>
          </w:tcPr>
          <w:p w14:paraId="7C063C9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17.91</w:t>
            </w:r>
          </w:p>
        </w:tc>
        <w:tc>
          <w:tcPr>
            <w:tcW w:w="378" w:type="pct"/>
            <w:tcBorders>
              <w:top w:val="single" w:sz="4" w:space="0" w:color="auto"/>
              <w:left w:val="nil"/>
              <w:bottom w:val="single" w:sz="4" w:space="0" w:color="auto"/>
              <w:right w:val="nil"/>
            </w:tcBorders>
            <w:shd w:val="clear" w:color="auto" w:fill="auto"/>
            <w:noWrap/>
            <w:vAlign w:val="bottom"/>
            <w:hideMark/>
          </w:tcPr>
          <w:p w14:paraId="164EF93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{"citationID":"uzkV5OOv","properties":{"formattedCitation":"[66]","plainCitation":"[66]","noteIndex":0},"citationItems":[{"id":587,"uris":["http://zotero.org/users/12909065/items/BU2C7LFR"],"itemData":{"id":587,"type":"article-journal","abstract":"Efficient organic solar cells (OSCs) equipped with thick-film active layers and high flexibility are of great significance for industrial preparation and practical applications. Herein, a ternary strategy coupled with a functional additive is employed to obtain efficient thick-film flexible OSCs. A novel polymer donor PBB1-F with good planarity is synthesized as a third component to optimize photon capture and molecular stacking. Meanwhile, a high dielectric constant polyarene ether (PAE) functional additive with strong adhesion not only greatly improves exciton dissociation efficiency, but also acts as locking cage-like for effective enhancement of the mechanical stability of active layer. As a result, the PM6:PBB1-F:Y6-BO-4Cl and PM6:PBB1-F:BTP-eC9 based ternary OSCs with PAE exhibit an efficiency of 17.91% and 18.51% under rigid thin-film state, and perform better under thick-film state of rigid (16.40% and 16.84%) and flexible (14.78% and 14.95%). Under the protection of the polymers, tight entanglement and cage-like PAE adhesion, the elongation at break of the active layer increases by more than fourfold (27.3%), and gives a super flexible thick-film OSCs that maintains more than 90% performance after 1000 bending cycles with a diameter of 10 mm. Overall, this work provides a new feasible scheme to effectively solve thickness sensitivity and flexibility issues in the context organic photovoltaic applications. © 2022 Wiley-VCH GmbH.","archive":"Scopus","container-title":"Advanced Energy Materials","DOI":"10.1002/aenm.202201614","ISSN":"1614-6832","issue":"31","language":"English","source":"Scopus","title":"Synergetic Strategy for Highly Efficient and Super Flexible Thick-film Organic Solar Cells","volume":"12","author":[{"family":"Wang","given":"J."},{"family":"Han","given":"C."},{"family":"Han","given":"J."},{"family":"Bi","given":"F."},{"family":"Sun","given":"X."},{"family":"Wen","given":"S."},{"family":"Yang","given":"C."},{"family":"Yang","given":"C."},{"family":"Bao","given":"X."},{"family":"Chu","given":"J."}],"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[66]</w:t>
            </w:r>
            <w:r w:rsidRPr="00B55044">
              <w:rPr>
                <w:rFonts w:eastAsia="Times New Roman"/>
                <w:color w:val="0000FF"/>
                <w:sz w:val="16"/>
                <w:szCs w:val="16"/>
              </w:rPr>
              <w:fldChar w:fldCharType="end"/>
            </w:r>
          </w:p>
        </w:tc>
      </w:tr>
      <w:tr w:rsidR="00D47774" w:rsidRPr="00B55044" w14:paraId="487B7BA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1ADA58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109</w:t>
            </w:r>
          </w:p>
        </w:tc>
        <w:tc>
          <w:tcPr>
            <w:tcW w:w="1525" w:type="pct"/>
            <w:tcBorders>
              <w:top w:val="single" w:sz="4" w:space="0" w:color="auto"/>
              <w:left w:val="nil"/>
              <w:bottom w:val="single" w:sz="4" w:space="0" w:color="auto"/>
              <w:right w:val="nil"/>
            </w:tcBorders>
            <w:shd w:val="clear" w:color="auto" w:fill="auto"/>
            <w:noWrap/>
            <w:vAlign w:val="bottom"/>
            <w:hideMark/>
          </w:tcPr>
          <w:p w14:paraId="6DB5254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596510A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PM6:PBB1-F:Y6-BO-4Cl</w:t>
            </w:r>
          </w:p>
        </w:tc>
        <w:tc>
          <w:tcPr>
            <w:tcW w:w="379" w:type="pct"/>
            <w:tcBorders>
              <w:top w:val="single" w:sz="4" w:space="0" w:color="auto"/>
              <w:left w:val="nil"/>
              <w:bottom w:val="single" w:sz="4" w:space="0" w:color="auto"/>
              <w:right w:val="nil"/>
            </w:tcBorders>
            <w:shd w:val="clear" w:color="auto" w:fill="auto"/>
            <w:noWrap/>
            <w:vAlign w:val="bottom"/>
            <w:hideMark/>
          </w:tcPr>
          <w:p w14:paraId="153DBA0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0.862</w:t>
            </w:r>
          </w:p>
        </w:tc>
        <w:tc>
          <w:tcPr>
            <w:tcW w:w="379" w:type="pct"/>
            <w:tcBorders>
              <w:top w:val="single" w:sz="4" w:space="0" w:color="auto"/>
              <w:left w:val="nil"/>
              <w:bottom w:val="single" w:sz="4" w:space="0" w:color="auto"/>
              <w:right w:val="nil"/>
            </w:tcBorders>
            <w:shd w:val="clear" w:color="auto" w:fill="auto"/>
            <w:noWrap/>
            <w:vAlign w:val="bottom"/>
            <w:hideMark/>
          </w:tcPr>
          <w:p w14:paraId="7C17729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26.68</w:t>
            </w:r>
          </w:p>
        </w:tc>
        <w:tc>
          <w:tcPr>
            <w:tcW w:w="378" w:type="pct"/>
            <w:tcBorders>
              <w:top w:val="single" w:sz="4" w:space="0" w:color="auto"/>
              <w:left w:val="nil"/>
              <w:bottom w:val="single" w:sz="4" w:space="0" w:color="auto"/>
              <w:right w:val="nil"/>
            </w:tcBorders>
            <w:shd w:val="clear" w:color="auto" w:fill="auto"/>
            <w:noWrap/>
            <w:vAlign w:val="bottom"/>
            <w:hideMark/>
          </w:tcPr>
          <w:p w14:paraId="2A93097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76.59</w:t>
            </w:r>
          </w:p>
        </w:tc>
        <w:tc>
          <w:tcPr>
            <w:tcW w:w="381" w:type="pct"/>
            <w:tcBorders>
              <w:top w:val="single" w:sz="4" w:space="0" w:color="auto"/>
              <w:left w:val="nil"/>
              <w:bottom w:val="single" w:sz="4" w:space="0" w:color="auto"/>
              <w:right w:val="nil"/>
            </w:tcBorders>
            <w:shd w:val="clear" w:color="auto" w:fill="auto"/>
            <w:noWrap/>
            <w:vAlign w:val="bottom"/>
            <w:hideMark/>
          </w:tcPr>
          <w:p w14:paraId="65DE8C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17.61</w:t>
            </w:r>
          </w:p>
        </w:tc>
        <w:tc>
          <w:tcPr>
            <w:tcW w:w="378" w:type="pct"/>
            <w:tcBorders>
              <w:top w:val="single" w:sz="4" w:space="0" w:color="auto"/>
              <w:left w:val="nil"/>
              <w:bottom w:val="single" w:sz="4" w:space="0" w:color="auto"/>
              <w:right w:val="nil"/>
            </w:tcBorders>
            <w:shd w:val="clear" w:color="auto" w:fill="auto"/>
            <w:noWrap/>
            <w:vAlign w:val="bottom"/>
            <w:hideMark/>
          </w:tcPr>
          <w:p w14:paraId="25CD1A6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{"citationID":"BbJ0uu5A","properties":{"formattedCitation":"[66]","plainCitation":"[66]","noteIndex":0},"citationItems":[{"id":587,"uris":["http://zotero.org/users/12909065/items/BU2C7LFR"],"itemData":{"id":587,"type":"article-journal","abstract":"Efficient organic solar cells (OSCs) equipped with thick-film active layers and high flexibility are of great significance for industrial preparation and practical applications. Herein, a ternary strategy coupled with a functional additive is employed to obtain efficient thick-film flexible OSCs. A novel polymer donor PBB1-F with good planarity is synthesized as a third component to optimize photon capture and molecular stacking. Meanwhile, a high dielectric constant polyarene ether (PAE) functional additive with strong adhesion not only greatly improves exciton dissociation efficiency, but also acts as locking cage-like for effective enhancement of the mechanical stability of active layer. As a result, the PM6:PBB1-F:Y6-BO-4Cl and PM6:PBB1-F:BTP-eC9 based ternary OSCs with PAE exhibit an efficiency of 17.91% and 18.51% under rigid thin-film state, and perform better under thick-film state of rigid (16.40% and 16.84%) and flexible (14.78% and 14.95%). Under the protection of the polymers, tight entanglement and cage-like PAE adhesion, the elongation at break of the active layer increases by more than fourfold (27.3%), and gives a super flexible thick-film OSCs that maintains more than 90% performance after 1000 bending cycles with a diameter of 10 mm. Overall, this work provides a new feasible scheme to effectively solve thickness sensitivity and flexibility issues in the context organic photovoltaic applications. © 2022 Wiley-VCH GmbH.","archive":"Scopus","container-title":"Advanced Energy Materials","DOI":"10.1002/aenm.202201614","ISSN":"1614-6832","issue":"31","language":"English","source":"Scopus","title":"Synergetic Strategy for Highly Efficient and Super Flexible Thick-film Organic Solar Cells","volume":"12","author":[{"family":"Wang","given":"J."},{"family":"Han","given":"C."},{"family":"Han","given":"J."},{"family":"Bi","given":"F."},{"family":"Sun","given":"X."},{"family":"Wen","given":"S."},{"family":"Yang","given":"C."},{"family":"Yang","given":"C."},{"family":"Bao","given":"X."},{"family":"Chu","given":"J."}],"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[66]</w:t>
            </w:r>
            <w:r w:rsidRPr="00B55044">
              <w:rPr>
                <w:rFonts w:eastAsia="Times New Roman"/>
                <w:color w:val="0000FF"/>
                <w:sz w:val="16"/>
                <w:szCs w:val="16"/>
              </w:rPr>
              <w:fldChar w:fldCharType="end"/>
            </w:r>
          </w:p>
        </w:tc>
      </w:tr>
      <w:tr w:rsidR="00D47774" w:rsidRPr="00B55044" w14:paraId="556C243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444588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110</w:t>
            </w:r>
          </w:p>
        </w:tc>
        <w:tc>
          <w:tcPr>
            <w:tcW w:w="1525" w:type="pct"/>
            <w:tcBorders>
              <w:top w:val="single" w:sz="4" w:space="0" w:color="auto"/>
              <w:left w:val="nil"/>
              <w:bottom w:val="single" w:sz="4" w:space="0" w:color="auto"/>
              <w:right w:val="nil"/>
            </w:tcBorders>
            <w:shd w:val="clear" w:color="auto" w:fill="auto"/>
            <w:noWrap/>
            <w:vAlign w:val="bottom"/>
            <w:hideMark/>
          </w:tcPr>
          <w:p w14:paraId="0D0584E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27C8FC9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PM6:Y6:iY6</w:t>
            </w:r>
          </w:p>
        </w:tc>
        <w:tc>
          <w:tcPr>
            <w:tcW w:w="379" w:type="pct"/>
            <w:tcBorders>
              <w:top w:val="single" w:sz="4" w:space="0" w:color="auto"/>
              <w:left w:val="nil"/>
              <w:bottom w:val="single" w:sz="4" w:space="0" w:color="auto"/>
              <w:right w:val="nil"/>
            </w:tcBorders>
            <w:shd w:val="clear" w:color="auto" w:fill="auto"/>
            <w:noWrap/>
            <w:vAlign w:val="bottom"/>
            <w:hideMark/>
          </w:tcPr>
          <w:p w14:paraId="648F292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0.871</w:t>
            </w:r>
          </w:p>
        </w:tc>
        <w:tc>
          <w:tcPr>
            <w:tcW w:w="379" w:type="pct"/>
            <w:tcBorders>
              <w:top w:val="single" w:sz="4" w:space="0" w:color="auto"/>
              <w:left w:val="nil"/>
              <w:bottom w:val="single" w:sz="4" w:space="0" w:color="auto"/>
              <w:right w:val="nil"/>
            </w:tcBorders>
            <w:shd w:val="clear" w:color="auto" w:fill="auto"/>
            <w:noWrap/>
            <w:vAlign w:val="bottom"/>
            <w:hideMark/>
          </w:tcPr>
          <w:p w14:paraId="632AF0D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w:t>
            </w:r>
          </w:p>
        </w:tc>
        <w:tc>
          <w:tcPr>
            <w:tcW w:w="378" w:type="pct"/>
            <w:tcBorders>
              <w:top w:val="single" w:sz="4" w:space="0" w:color="auto"/>
              <w:left w:val="nil"/>
              <w:bottom w:val="single" w:sz="4" w:space="0" w:color="auto"/>
              <w:right w:val="nil"/>
            </w:tcBorders>
            <w:shd w:val="clear" w:color="auto" w:fill="auto"/>
            <w:noWrap/>
            <w:vAlign w:val="bottom"/>
            <w:hideMark/>
          </w:tcPr>
          <w:p w14:paraId="01667E5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77.85</w:t>
            </w:r>
          </w:p>
        </w:tc>
        <w:tc>
          <w:tcPr>
            <w:tcW w:w="381" w:type="pct"/>
            <w:tcBorders>
              <w:top w:val="single" w:sz="4" w:space="0" w:color="auto"/>
              <w:left w:val="nil"/>
              <w:bottom w:val="single" w:sz="4" w:space="0" w:color="auto"/>
              <w:right w:val="nil"/>
            </w:tcBorders>
            <w:shd w:val="clear" w:color="auto" w:fill="auto"/>
            <w:noWrap/>
            <w:vAlign w:val="bottom"/>
            <w:hideMark/>
          </w:tcPr>
          <w:p w14:paraId="54098A5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17.43</w:t>
            </w:r>
          </w:p>
        </w:tc>
        <w:tc>
          <w:tcPr>
            <w:tcW w:w="378" w:type="pct"/>
            <w:tcBorders>
              <w:top w:val="single" w:sz="4" w:space="0" w:color="auto"/>
              <w:left w:val="nil"/>
              <w:bottom w:val="single" w:sz="4" w:space="0" w:color="auto"/>
              <w:right w:val="nil"/>
            </w:tcBorders>
            <w:shd w:val="clear" w:color="auto" w:fill="auto"/>
            <w:noWrap/>
            <w:vAlign w:val="bottom"/>
            <w:hideMark/>
          </w:tcPr>
          <w:p w14:paraId="0D0D61C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{"citationID":"n64AhjfF","properties":{"formattedCitation":"[67]","plainCitation":"[67]","noteIndex":0},"citationItems":[{"id":586,"uris":["http://zotero.org/users/12909065/items/NW8E9BWJ"],"itemData":{"id":586,"type":"article-journal","abstract":"The current top-performing polymer solar cell (PSC) systems are mostly based on PM6:Y6 host blend. To date, numerous materials have been explored as the third component for these systems to form ternary blends or as additives. Vitrification agents are a group of additives proved to be useful in affecting the morphology of organic semiconductors. To design a suitable vitrification agent for non-fullerene electron acceptor Y6, an isomer strategy was explored where the thienothiophene wings of the Y6 molecule were inversed to form a W-shaped Y6 isomer of i-Y6. It was found that i-Y6 crystallized poorly with a different packing style than Y6 and could blend well in amorphous phase of Y6. These properties enabled i-Y6 to finely tune the morphology of PM6:Y6 blend at low additive dosages. The power conversion efficiency (PCE) of PM6:Y6 based PSC was raised from 16.827% to 17.433% at a dosage of Y6:i-Y6 ratio of 24:1. This work demonstrated isomerization as a viable strategy for developing solid additives for high performance PSC blends and vitrification agents as effective additives for tuning morphology and improving performances of PSCs. © 2022 Elsevier B.V.","archive":"Scopus","container-title":"Chemical Engineering Journal","DOI":"10.1016/j.cej.2022.135975","ISSN":"1385-8947","language":"English","source":"Scopus","title":"Unique W-Shape Y6 isomer as effective solid additive for High-Performance PM6:Y6 polymer solar cells","title-short":"Unique W-Shape Y6 isomer as effective solid additive for High-Performance PM6","volume":"440","author":[{"family":"Deng","given":"M."},{"family":"Meng","given":"H."},{"family":"Xu","given":"X."},{"family":"Tang","given":"J."},{"family":"Yu","given":"L."},{"family":"Li","given":"R."},{"family":"Peng","given":"Q."}],"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[67]</w:t>
            </w:r>
            <w:r w:rsidRPr="00B55044">
              <w:rPr>
                <w:rFonts w:eastAsia="Times New Roman"/>
                <w:color w:val="0000FF"/>
                <w:sz w:val="16"/>
                <w:szCs w:val="16"/>
              </w:rPr>
              <w:fldChar w:fldCharType="end"/>
            </w:r>
          </w:p>
        </w:tc>
      </w:tr>
      <w:tr w:rsidR="00D47774" w:rsidRPr="00B55044" w14:paraId="68F0204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0B662E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111</w:t>
            </w:r>
          </w:p>
        </w:tc>
        <w:tc>
          <w:tcPr>
            <w:tcW w:w="1525" w:type="pct"/>
            <w:tcBorders>
              <w:top w:val="single" w:sz="4" w:space="0" w:color="auto"/>
              <w:left w:val="nil"/>
              <w:bottom w:val="single" w:sz="4" w:space="0" w:color="auto"/>
              <w:right w:val="nil"/>
            </w:tcBorders>
            <w:shd w:val="clear" w:color="auto" w:fill="auto"/>
            <w:noWrap/>
            <w:vAlign w:val="bottom"/>
            <w:hideMark/>
          </w:tcPr>
          <w:p w14:paraId="5FFCA9E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ITO/PEDOT:PSS/AL/PFN-Br/Al</w:t>
            </w:r>
          </w:p>
        </w:tc>
        <w:tc>
          <w:tcPr>
            <w:tcW w:w="1288" w:type="pct"/>
            <w:tcBorders>
              <w:top w:val="single" w:sz="4" w:space="0" w:color="auto"/>
              <w:left w:val="nil"/>
              <w:bottom w:val="single" w:sz="4" w:space="0" w:color="auto"/>
              <w:right w:val="nil"/>
            </w:tcBorders>
            <w:shd w:val="clear" w:color="auto" w:fill="auto"/>
            <w:noWrap/>
            <w:vAlign w:val="bottom"/>
            <w:hideMark/>
          </w:tcPr>
          <w:p w14:paraId="7B0F046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PM6:IT-M:BTP-eC9</w:t>
            </w:r>
          </w:p>
        </w:tc>
        <w:tc>
          <w:tcPr>
            <w:tcW w:w="379" w:type="pct"/>
            <w:tcBorders>
              <w:top w:val="single" w:sz="4" w:space="0" w:color="auto"/>
              <w:left w:val="nil"/>
              <w:bottom w:val="single" w:sz="4" w:space="0" w:color="auto"/>
              <w:right w:val="nil"/>
            </w:tcBorders>
            <w:shd w:val="clear" w:color="auto" w:fill="auto"/>
            <w:noWrap/>
            <w:vAlign w:val="bottom"/>
            <w:hideMark/>
          </w:tcPr>
          <w:p w14:paraId="0A286BB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0.866</w:t>
            </w:r>
          </w:p>
        </w:tc>
        <w:tc>
          <w:tcPr>
            <w:tcW w:w="379" w:type="pct"/>
            <w:tcBorders>
              <w:top w:val="single" w:sz="4" w:space="0" w:color="auto"/>
              <w:left w:val="nil"/>
              <w:bottom w:val="single" w:sz="4" w:space="0" w:color="auto"/>
              <w:right w:val="nil"/>
            </w:tcBorders>
            <w:shd w:val="clear" w:color="auto" w:fill="auto"/>
            <w:noWrap/>
            <w:vAlign w:val="bottom"/>
            <w:hideMark/>
          </w:tcPr>
          <w:p w14:paraId="4BB9EB6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25.22</w:t>
            </w:r>
          </w:p>
        </w:tc>
        <w:tc>
          <w:tcPr>
            <w:tcW w:w="378" w:type="pct"/>
            <w:tcBorders>
              <w:top w:val="single" w:sz="4" w:space="0" w:color="auto"/>
              <w:left w:val="nil"/>
              <w:bottom w:val="single" w:sz="4" w:space="0" w:color="auto"/>
              <w:right w:val="nil"/>
            </w:tcBorders>
            <w:shd w:val="clear" w:color="auto" w:fill="auto"/>
            <w:noWrap/>
            <w:vAlign w:val="bottom"/>
            <w:hideMark/>
          </w:tcPr>
          <w:p w14:paraId="3689B68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74.69</w:t>
            </w:r>
          </w:p>
        </w:tc>
        <w:tc>
          <w:tcPr>
            <w:tcW w:w="381" w:type="pct"/>
            <w:tcBorders>
              <w:top w:val="single" w:sz="4" w:space="0" w:color="auto"/>
              <w:left w:val="nil"/>
              <w:bottom w:val="single" w:sz="4" w:space="0" w:color="auto"/>
              <w:right w:val="nil"/>
            </w:tcBorders>
            <w:shd w:val="clear" w:color="auto" w:fill="auto"/>
            <w:noWrap/>
            <w:vAlign w:val="bottom"/>
            <w:hideMark/>
          </w:tcPr>
          <w:p w14:paraId="5C2C0B2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15.66</w:t>
            </w:r>
          </w:p>
        </w:tc>
        <w:tc>
          <w:tcPr>
            <w:tcW w:w="378" w:type="pct"/>
            <w:tcBorders>
              <w:top w:val="single" w:sz="4" w:space="0" w:color="auto"/>
              <w:left w:val="nil"/>
              <w:bottom w:val="single" w:sz="4" w:space="0" w:color="auto"/>
              <w:right w:val="nil"/>
            </w:tcBorders>
            <w:shd w:val="clear" w:color="auto" w:fill="auto"/>
            <w:noWrap/>
            <w:vAlign w:val="bottom"/>
            <w:hideMark/>
          </w:tcPr>
          <w:p w14:paraId="20B55E5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{"citationID":"O27q6txc","properties":{"formattedCitation":"[68]","plainCitation":"[68]","noteIndex":0},"citationItems":[{"id":585,"uris":["http://zotero.org/users/12909065/items/L22D74VQ"],"itemData":{"id":585,"type":"article-journal","abstract":"The power conversion efficiency (PCE) of halogenated solvent spin-coated organic solar cells (OSCs) has been boosted to a high level (&gt;18%) by developing efficient photovoltaic materials and precise morphological control. However, the PCE of OSCs prepared from non-halogenated solvents and with a scalable printing process is far behind, limited by tough morphology manipulation. Herein, we have fabricated ternary OSCs by using layer-by-layer (LBL) blade-coating and a non-halogenated solvent. The ternary OSCs based on the PM6:IT-M(1:0.2)/BTP-eC9 active layer are processed with the hydrocarbon solvent 1,2,4-trimethylbenzene with no need of any additives and post-treatment. The vertical donor/acceptor distribution is optimized by LBL blade-coating within the PM6:IT-M(1:0.2)/BTP-eC9 active layer. The cascade acceptor IT-M blended in PM6 not only attenuates the damage of BTP-eC9 to the PM6 crystallization, leading to a dense nanofiber-like morphology, but also prefers to reside between PM6 and BTP-eC9 to form a cascade energy level alignment for a fast charge-transfer process. Finally, the improved morphology and crystallization lead to a reduced molecular recombination, low energy loss, and high open-circuit voltage. The prepared non-halogenated solvent and LBL blade-coated OSCs achieve a PCE of 17.16%. The work provides an approach to fabricate hydrocarbon solvent-processed high-performance OSCs by employing LBL blade-coating and a ternary strategy. © 2022 American Chemical Society. All rights reserved.","archive":"Scopus","container-title":"ACS Applied Materials and Interfaces","DOI":"10.1021/acsami.2c05504","ISSN":"1944-8244","issue":"27","language":"English","page":"31054-31065","source":"Scopus","title":"Non-Halogenated Solvents and Layer-by-Layer Blade-Coated Ternary Organic Solar Cells via Cascade Acceptor Adjusting Morphology and Crystallization to Reduce Energy Loss","volume":"14","author":[{"family":"Li","given":"Y."},{"family":"Wu","given":"J."},{"family":"Tang","given":"H."},{"family":"Yi","given":"X."},{"family":"Liu","given":"Z."},{"family":"Yang","given":"Q."},{"family":"Fu","given":"Y."},{"family":"Liu","given":"J."},{"family":"Xie","given":"Z."}],"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[68]</w:t>
            </w:r>
            <w:r w:rsidRPr="00B55044">
              <w:rPr>
                <w:rFonts w:eastAsia="Times New Roman"/>
                <w:color w:val="0000FF"/>
                <w:sz w:val="16"/>
                <w:szCs w:val="16"/>
              </w:rPr>
              <w:fldChar w:fldCharType="end"/>
            </w:r>
          </w:p>
        </w:tc>
      </w:tr>
      <w:tr w:rsidR="00D47774" w:rsidRPr="00B55044" w14:paraId="00E3F9D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F12BE8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112</w:t>
            </w:r>
          </w:p>
        </w:tc>
        <w:tc>
          <w:tcPr>
            <w:tcW w:w="1525" w:type="pct"/>
            <w:tcBorders>
              <w:top w:val="single" w:sz="4" w:space="0" w:color="auto"/>
              <w:left w:val="nil"/>
              <w:bottom w:val="single" w:sz="4" w:space="0" w:color="auto"/>
              <w:right w:val="nil"/>
            </w:tcBorders>
            <w:shd w:val="clear" w:color="auto" w:fill="auto"/>
            <w:noWrap/>
            <w:vAlign w:val="bottom"/>
            <w:hideMark/>
          </w:tcPr>
          <w:p w14:paraId="6D24E5A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3B8A83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PM6:Y6:TPIIC</w:t>
            </w:r>
          </w:p>
        </w:tc>
        <w:tc>
          <w:tcPr>
            <w:tcW w:w="379" w:type="pct"/>
            <w:tcBorders>
              <w:top w:val="single" w:sz="4" w:space="0" w:color="auto"/>
              <w:left w:val="nil"/>
              <w:bottom w:val="single" w:sz="4" w:space="0" w:color="auto"/>
              <w:right w:val="nil"/>
            </w:tcBorders>
            <w:shd w:val="clear" w:color="auto" w:fill="auto"/>
            <w:noWrap/>
            <w:vAlign w:val="bottom"/>
            <w:hideMark/>
          </w:tcPr>
          <w:p w14:paraId="4BEFCE7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0.861</w:t>
            </w:r>
          </w:p>
        </w:tc>
        <w:tc>
          <w:tcPr>
            <w:tcW w:w="379" w:type="pct"/>
            <w:tcBorders>
              <w:top w:val="single" w:sz="4" w:space="0" w:color="auto"/>
              <w:left w:val="nil"/>
              <w:bottom w:val="single" w:sz="4" w:space="0" w:color="auto"/>
              <w:right w:val="nil"/>
            </w:tcBorders>
            <w:shd w:val="clear" w:color="auto" w:fill="auto"/>
            <w:noWrap/>
            <w:vAlign w:val="bottom"/>
            <w:hideMark/>
          </w:tcPr>
          <w:p w14:paraId="49D016B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27.5</w:t>
            </w:r>
          </w:p>
        </w:tc>
        <w:tc>
          <w:tcPr>
            <w:tcW w:w="378" w:type="pct"/>
            <w:tcBorders>
              <w:top w:val="single" w:sz="4" w:space="0" w:color="auto"/>
              <w:left w:val="nil"/>
              <w:bottom w:val="single" w:sz="4" w:space="0" w:color="auto"/>
              <w:right w:val="nil"/>
            </w:tcBorders>
            <w:shd w:val="clear" w:color="auto" w:fill="auto"/>
            <w:noWrap/>
            <w:vAlign w:val="bottom"/>
            <w:hideMark/>
          </w:tcPr>
          <w:p w14:paraId="4F03B3B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74.4</w:t>
            </w:r>
          </w:p>
        </w:tc>
        <w:tc>
          <w:tcPr>
            <w:tcW w:w="381" w:type="pct"/>
            <w:tcBorders>
              <w:top w:val="single" w:sz="4" w:space="0" w:color="auto"/>
              <w:left w:val="nil"/>
              <w:bottom w:val="single" w:sz="4" w:space="0" w:color="auto"/>
              <w:right w:val="nil"/>
            </w:tcBorders>
            <w:shd w:val="clear" w:color="auto" w:fill="auto"/>
            <w:noWrap/>
            <w:vAlign w:val="bottom"/>
            <w:hideMark/>
          </w:tcPr>
          <w:p w14:paraId="5C12090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17.7</w:t>
            </w:r>
          </w:p>
        </w:tc>
        <w:tc>
          <w:tcPr>
            <w:tcW w:w="378" w:type="pct"/>
            <w:tcBorders>
              <w:top w:val="single" w:sz="4" w:space="0" w:color="auto"/>
              <w:left w:val="nil"/>
              <w:bottom w:val="single" w:sz="4" w:space="0" w:color="auto"/>
              <w:right w:val="nil"/>
            </w:tcBorders>
            <w:shd w:val="clear" w:color="auto" w:fill="auto"/>
            <w:noWrap/>
            <w:vAlign w:val="bottom"/>
            <w:hideMark/>
          </w:tcPr>
          <w:p w14:paraId="3AF26A4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{"citationID":"CY2A82oU","properties":{"formattedCitation":"[69]","plainCitation":"[69]","noteIndex":0},"citationItems":[{"id":584,"uris":["http://zotero.org/users/12909065/items/MDMCADQP"],"itemData":{"id":584,"type":"article-journal","abstract":"Owing to the relentless march of technology of non-fullerene acceptors (NFAs), ternary organic solar cells (TOSCs) are demonstrating impressive power conversion efficiencies (PCEs). More efficient boosting needs to be achieved in reducing the energy loss (Eloss) and enhancing the operational lifespan of TOSCs. Herein, we introduced a medium bandgap NFA, TPIIC, as the third component into PM6:Y6 host devices and found that the highly crystalline guest acceptor TPIIC with a relatively low lowest unoccupied molecular orbital, is miscible with the Y6 phase. Moreover, compared with the Y6 neat film, the Y6:TPIIC blend films show higher photoluminescence quantum yield, demonstrating the reduced energy disorder in ternary devices. Consequently, ternary devices exhibit reduced non-radiative recombination loss and delivered distinct improvements in the open-circuit voltage (VOC, 0.861 V) and PCE (17.7%) with a reduced Eloss of 0.535 eV, in comparison to the PM6:Y6 host devices (VOC = 0.840 V, PCE = 15.8% and Eloss = 0.547 eV). Importantly, the role of TPIIC in increasing the glass transition temperature of the ternary blend is illustrated and its applicability for improving relevant stability issues of the host devices is verified. Overall, this study developed an effective means to simultaneously reduce the Eloss and improve operation stability of OSCs. © 2022 The Royal Society of Chemistry.","archive":"Scopus","container-title":"Journal of Materials Chemistry A","DOI":"10.1039/d2ta04463c","ISSN":"2050-7488","issue":"33","language":"English","page":"17122-17131","source":"Scopus","title":"High-performance ternary solar cells by introducing a medium bandgap acceptor with complementary absorption, reducing energy disorder and enhancing glass transition temperature","volume":"10","author":[{"family":"Wan","given":"J."},{"family":"Dyadishchev","given":"I."},{"family":"Sun","given":"R."},{"family":"Wu","given":"Q."},{"family":"Wu","given":"Y."},{"family":"Zhang","given":"M."},{"family":"Peregudova","given":"S."},{"family":"Ponomarenko","given":"S."},{"family":"Luponosov","given":"Y."},{"family":"Min","given":"J."}],"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[69]</w:t>
            </w:r>
            <w:r w:rsidRPr="00B55044">
              <w:rPr>
                <w:rFonts w:eastAsia="Times New Roman"/>
                <w:color w:val="0000FF"/>
                <w:sz w:val="16"/>
                <w:szCs w:val="16"/>
              </w:rPr>
              <w:fldChar w:fldCharType="end"/>
            </w:r>
          </w:p>
        </w:tc>
      </w:tr>
      <w:tr w:rsidR="00D47774" w:rsidRPr="00B55044" w14:paraId="0AFAADE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4F5657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113</w:t>
            </w:r>
          </w:p>
        </w:tc>
        <w:tc>
          <w:tcPr>
            <w:tcW w:w="1525" w:type="pct"/>
            <w:tcBorders>
              <w:top w:val="single" w:sz="4" w:space="0" w:color="auto"/>
              <w:left w:val="nil"/>
              <w:bottom w:val="single" w:sz="4" w:space="0" w:color="auto"/>
              <w:right w:val="nil"/>
            </w:tcBorders>
            <w:shd w:val="clear" w:color="auto" w:fill="auto"/>
            <w:noWrap/>
            <w:vAlign w:val="bottom"/>
            <w:hideMark/>
          </w:tcPr>
          <w:p w14:paraId="1543037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46E9B59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PM6:CH-4Cl:F-2F</w:t>
            </w:r>
          </w:p>
        </w:tc>
        <w:tc>
          <w:tcPr>
            <w:tcW w:w="379" w:type="pct"/>
            <w:tcBorders>
              <w:top w:val="single" w:sz="4" w:space="0" w:color="auto"/>
              <w:left w:val="nil"/>
              <w:bottom w:val="single" w:sz="4" w:space="0" w:color="auto"/>
              <w:right w:val="nil"/>
            </w:tcBorders>
            <w:shd w:val="clear" w:color="auto" w:fill="auto"/>
            <w:noWrap/>
            <w:vAlign w:val="bottom"/>
            <w:hideMark/>
          </w:tcPr>
          <w:p w14:paraId="0EE934C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0.896</w:t>
            </w:r>
          </w:p>
        </w:tc>
        <w:tc>
          <w:tcPr>
            <w:tcW w:w="379" w:type="pct"/>
            <w:tcBorders>
              <w:top w:val="single" w:sz="4" w:space="0" w:color="auto"/>
              <w:left w:val="nil"/>
              <w:bottom w:val="single" w:sz="4" w:space="0" w:color="auto"/>
              <w:right w:val="nil"/>
            </w:tcBorders>
            <w:shd w:val="clear" w:color="auto" w:fill="auto"/>
            <w:noWrap/>
            <w:vAlign w:val="bottom"/>
            <w:hideMark/>
          </w:tcPr>
          <w:p w14:paraId="2399BF7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26.69</w:t>
            </w:r>
          </w:p>
        </w:tc>
        <w:tc>
          <w:tcPr>
            <w:tcW w:w="378" w:type="pct"/>
            <w:tcBorders>
              <w:top w:val="single" w:sz="4" w:space="0" w:color="auto"/>
              <w:left w:val="nil"/>
              <w:bottom w:val="single" w:sz="4" w:space="0" w:color="auto"/>
              <w:right w:val="nil"/>
            </w:tcBorders>
            <w:shd w:val="clear" w:color="auto" w:fill="auto"/>
            <w:noWrap/>
            <w:vAlign w:val="bottom"/>
            <w:hideMark/>
          </w:tcPr>
          <w:p w14:paraId="5C52C23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76.17</w:t>
            </w:r>
          </w:p>
        </w:tc>
        <w:tc>
          <w:tcPr>
            <w:tcW w:w="381" w:type="pct"/>
            <w:tcBorders>
              <w:top w:val="single" w:sz="4" w:space="0" w:color="auto"/>
              <w:left w:val="nil"/>
              <w:bottom w:val="single" w:sz="4" w:space="0" w:color="auto"/>
              <w:right w:val="nil"/>
            </w:tcBorders>
            <w:shd w:val="clear" w:color="auto" w:fill="auto"/>
            <w:noWrap/>
            <w:vAlign w:val="bottom"/>
            <w:hideMark/>
          </w:tcPr>
          <w:p w14:paraId="6DF0D81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18.22</w:t>
            </w:r>
          </w:p>
        </w:tc>
        <w:tc>
          <w:tcPr>
            <w:tcW w:w="378" w:type="pct"/>
            <w:tcBorders>
              <w:top w:val="single" w:sz="4" w:space="0" w:color="auto"/>
              <w:left w:val="nil"/>
              <w:bottom w:val="single" w:sz="4" w:space="0" w:color="auto"/>
              <w:right w:val="nil"/>
            </w:tcBorders>
            <w:shd w:val="clear" w:color="auto" w:fill="auto"/>
            <w:noWrap/>
            <w:vAlign w:val="bottom"/>
            <w:hideMark/>
          </w:tcPr>
          <w:p w14:paraId="4B9E178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{"citationID":"sE7FUQAD","properties":{"formattedCitation":"[70]","plainCitation":"[70]","noteIndex":0},"citationItems":[{"id":583,"uris":["http://zotero.org/users/12909065/items/3N7RVSSB"],"itemData":{"id":583,"type":"article-journal","abstract":"The diverse molecular stacking tuned by peripheral halogens in non-fullerene acceptors (NFAs) significantly affects the molecular physicochemical properties, the film morphologies and thus the power conversion efficiencies (PCEs) of organic solar cells (OSCs). Despite the crucial role of peripheral halogens, few explorations have been performed to bridge peripheral halogenation with molecular stackings and device performances, especially for the state-of-the-art Y-series. Herein, a series of high-efficient NFAs, CH-6F, CH-4Cl and CH-6Cl, are constructed with the same backbone but different peripheral halogenations in both conjugate extended central units and end groups. Single-crystal analysis indicates that CH-6F possesses similar molecular packings to Y6; however, CH-4Cl and CH-6Cl with chloro-substitutions demonstrate several quite unique packing modes of end unit to central unit, etc. Compared with CH-6F and Y6, CH-4Cl and CH-6Cl possess greatly reduced electron reorganization energies and shorter intermolecular packing distances, and exhibit more balanced charge mobilities, better phase separation, and lower energy disorders when blended with the PM6 donor. Furthermore, the reduced energy offsets between charge transfer and local exciton states for CH-4Cl and CH-6Cl result in an enhanced hybridization of these two states and thus suppress the non-radiative recombination losses in OSCs. Consequently, high-efficient OSCs are afforded by utilizing CH-series NFAs with a champion PCE of 18.22% and a markedly reduced ΔVnr of 0.203 V in CH-4Cl-based ternary devices. Our study reveals that such a slight modification of peripheral halogens could cause quite different but superior intermolecular packings, rendering peripheral halogenation engineering as an effective strategy to further boost PCEs of high-performance OSCs through delicate molecular stacking control. © 2022 The Royal Society of Chemistry.","archive":"Scopus","container-title":"Energy and Environmental Science","DOI":"10.1039/d2ee01340a","ISSN":"1754-5692","issue":"8","language":"English","page":"3519-3533","source":"Scopus","title":"Peripheral halogenation engineering controls molecular stacking to enable highly efficient organic solar cells","volume":"15","author":[{"family":"Zou","given":"Y."},{"family":"Chen","given":"H."},{"family":"Bi","given":"X."},{"family":"Xu","given":"X."},{"family":"Wang","given":"H."},{"family":"Lin","given":"M."},{"family":"Ma","given":"Z."},{"family":"Zhang","given":"M."},{"family":"Li","given":"C."},{"family":"Wan","given":"X."},{"family":"Long","given":"G."},{"family":"Zhaoyang","given":"Y."},{"family":"Chen","given":"Y."}],"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[70]</w:t>
            </w:r>
            <w:r w:rsidRPr="00B55044">
              <w:rPr>
                <w:rFonts w:eastAsia="Times New Roman"/>
                <w:color w:val="0000FF"/>
                <w:sz w:val="16"/>
                <w:szCs w:val="16"/>
              </w:rPr>
              <w:fldChar w:fldCharType="end"/>
            </w:r>
          </w:p>
        </w:tc>
      </w:tr>
      <w:tr w:rsidR="00D47774" w:rsidRPr="00B55044" w14:paraId="2D00981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DED5DE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114</w:t>
            </w:r>
          </w:p>
        </w:tc>
        <w:tc>
          <w:tcPr>
            <w:tcW w:w="1525" w:type="pct"/>
            <w:tcBorders>
              <w:top w:val="single" w:sz="4" w:space="0" w:color="auto"/>
              <w:left w:val="nil"/>
              <w:bottom w:val="single" w:sz="4" w:space="0" w:color="auto"/>
              <w:right w:val="nil"/>
            </w:tcBorders>
            <w:shd w:val="clear" w:color="auto" w:fill="auto"/>
            <w:noWrap/>
            <w:vAlign w:val="bottom"/>
            <w:hideMark/>
          </w:tcPr>
          <w:p w14:paraId="2638B74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ITO/PEDOT:PSS/AL/PDINO/Ag</w:t>
            </w:r>
          </w:p>
        </w:tc>
        <w:tc>
          <w:tcPr>
            <w:tcW w:w="1288" w:type="pct"/>
            <w:tcBorders>
              <w:top w:val="single" w:sz="4" w:space="0" w:color="auto"/>
              <w:left w:val="nil"/>
              <w:bottom w:val="single" w:sz="4" w:space="0" w:color="auto"/>
              <w:right w:val="nil"/>
            </w:tcBorders>
            <w:shd w:val="clear" w:color="auto" w:fill="auto"/>
            <w:noWrap/>
            <w:vAlign w:val="bottom"/>
            <w:hideMark/>
          </w:tcPr>
          <w:p w14:paraId="68DC978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PM6:CH17:F-2F</w:t>
            </w:r>
          </w:p>
        </w:tc>
        <w:tc>
          <w:tcPr>
            <w:tcW w:w="379" w:type="pct"/>
            <w:tcBorders>
              <w:top w:val="single" w:sz="4" w:space="0" w:color="auto"/>
              <w:left w:val="nil"/>
              <w:bottom w:val="single" w:sz="4" w:space="0" w:color="auto"/>
              <w:right w:val="nil"/>
            </w:tcBorders>
            <w:shd w:val="clear" w:color="auto" w:fill="auto"/>
            <w:noWrap/>
            <w:vAlign w:val="bottom"/>
            <w:hideMark/>
          </w:tcPr>
          <w:p w14:paraId="71AEFE3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0.889</w:t>
            </w:r>
          </w:p>
        </w:tc>
        <w:tc>
          <w:tcPr>
            <w:tcW w:w="379" w:type="pct"/>
            <w:tcBorders>
              <w:top w:val="single" w:sz="4" w:space="0" w:color="auto"/>
              <w:left w:val="nil"/>
              <w:bottom w:val="single" w:sz="4" w:space="0" w:color="auto"/>
              <w:right w:val="nil"/>
            </w:tcBorders>
            <w:shd w:val="clear" w:color="auto" w:fill="auto"/>
            <w:noWrap/>
            <w:vAlign w:val="bottom"/>
            <w:hideMark/>
          </w:tcPr>
          <w:p w14:paraId="615BB02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26.62</w:t>
            </w:r>
          </w:p>
        </w:tc>
        <w:tc>
          <w:tcPr>
            <w:tcW w:w="378" w:type="pct"/>
            <w:tcBorders>
              <w:top w:val="single" w:sz="4" w:space="0" w:color="auto"/>
              <w:left w:val="nil"/>
              <w:bottom w:val="single" w:sz="4" w:space="0" w:color="auto"/>
              <w:right w:val="nil"/>
            </w:tcBorders>
            <w:shd w:val="clear" w:color="auto" w:fill="auto"/>
            <w:noWrap/>
            <w:vAlign w:val="bottom"/>
            <w:hideMark/>
          </w:tcPr>
          <w:p w14:paraId="158224F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76.6</w:t>
            </w:r>
          </w:p>
        </w:tc>
        <w:tc>
          <w:tcPr>
            <w:tcW w:w="381" w:type="pct"/>
            <w:tcBorders>
              <w:top w:val="single" w:sz="4" w:space="0" w:color="auto"/>
              <w:left w:val="nil"/>
              <w:bottom w:val="single" w:sz="4" w:space="0" w:color="auto"/>
              <w:right w:val="nil"/>
            </w:tcBorders>
            <w:shd w:val="clear" w:color="auto" w:fill="auto"/>
            <w:noWrap/>
            <w:vAlign w:val="bottom"/>
            <w:hideMark/>
          </w:tcPr>
          <w:p w14:paraId="3CD1965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18.13</w:t>
            </w:r>
          </w:p>
        </w:tc>
        <w:tc>
          <w:tcPr>
            <w:tcW w:w="378" w:type="pct"/>
            <w:tcBorders>
              <w:top w:val="single" w:sz="4" w:space="0" w:color="auto"/>
              <w:left w:val="nil"/>
              <w:bottom w:val="single" w:sz="4" w:space="0" w:color="auto"/>
              <w:right w:val="nil"/>
            </w:tcBorders>
            <w:shd w:val="clear" w:color="auto" w:fill="auto"/>
            <w:noWrap/>
            <w:vAlign w:val="bottom"/>
            <w:hideMark/>
          </w:tcPr>
          <w:p w14:paraId="4F81435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{"citationID":"rJ9Z662q","properties":{"formattedCitation":"[71]","plainCitation":"[71]","noteIndex":0},"citationItems":[{"id":582,"uris":["http://zotero.org/users/12909065/items/B5AYEHZJ"],"itemData":{"id":582,"type":"article-journal","abstract":"The central unit (benzo[c][1,2,5]thiadiazole) in Y6 series of molecules plays a determining role in their unique intermolecular packing for a three-dimensionally (3D) network, largely endowing their organic solar cells (OSCs) with so far the best power conversion efficiencies (PCEs) and also largely suppressed energy losses (Eloss). Despite its vital role in molecular packing, very few explorations for central unit have been conducted due to possibly the constructing challenge of central heterocyclic units. Herein, a highly efficient acceptor-donor-acceptor (A-D-A) type electron acceptor, CH17, has been designed and constructed, featured with a prominent π extension in both directions of the central and end units with respect to {bfY6} series. Such a multiple and much enhanced conjugation extension in CH17 enables a much more effective and compact 3D molecular packing compared with that of Y6 supported by X-ray single crystal and other analysis, mainly caused by a newly observed distinctive dual “end unit to central unit” packing mode. This much favorable molecular packing, also kept in its blends with donor materials, leads a larger electron and hole transfer integrals and hence much improved charge transport, and reduced energetic disorders in CH17 blends. More importantly, the observed upshifted charge transfer (CT) state of CH17 blends compared with that of Y6, due to its increased molecular conjugation extension in both directions, further enhances the hybridization between its CT and local exciton (LE) states, resulting in higher luminescence efficiency, much suppressed non-radiative recombination loss and smaller Eloss with respect to that of Y6. Consequently, an excellent PCE of 17.84% is achieved with PM6 as the donor in a binary device compared with a PCE of 16.27% for the controlled Y6 device. Furthermore, a further improved PCE of 18.13% is achieved by CH17-based ternary single-junction OSCs along with a markedly reduced Eloss of 0.49 eV and larger open-circuit voltage (Voc) of 0.89 V, compared with that (16.27% of PCE, 0.85 V of Voc, and 0.53 eV of Eloss) of the control device using Y6. This significantly improved photovoltaic performance caused by molecular multiple conjugation extension, especially through the largely unexplored central unit, indicates that there is still much room to further enhance OSC performance by addressing the most important issue for OSC, i.e, the smaller Voc caused by larger Eloss, through engineering molecular packing by designing/tuning molecule more dedicatedly. © 2022, Science China Press and Springer-Verlag GmbH Germany, part of Springer Nature.","archive":"Scopus","container-title":"Science China Chemistry","DOI":"10.1007/s11426-022-1264-y","ISSN":"1674-7291","issue":"7","language":"English","page":"1362-1373","source":"Scopus","title":"Lowing the energy loss of organic solar cells by molecular packing engineering via multiple molecular conjugation extension","volume":"65","author":[{"family":"Chen","given":"H."},{"family":"Zou","given":"Y."},{"family":"Liang","given":"H."},{"family":"He","given":"T."},{"family":"Xu","given":"X."},{"family":"Zhang","given":"Y."},{"family":"Ma","given":"Z."},{"family":"Wang","given":"J."},{"family":"Zhang","given":"M."},{"family":"Li","given":"Q."},{"family":"Li","given":"C."},{"family":"Long","given":"G."},{"family":"Wan","given":"X."},{"family":"Yao","given":"Z."},{"family":"Chen","given":"Y."}],"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[71]</w:t>
            </w:r>
            <w:r w:rsidRPr="00B55044">
              <w:rPr>
                <w:rFonts w:eastAsia="Times New Roman"/>
                <w:color w:val="0000FF"/>
                <w:sz w:val="16"/>
                <w:szCs w:val="16"/>
              </w:rPr>
              <w:fldChar w:fldCharType="end"/>
            </w:r>
          </w:p>
        </w:tc>
      </w:tr>
      <w:tr w:rsidR="00D47774" w:rsidRPr="00B55044" w14:paraId="5BA7F70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AD6F15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115</w:t>
            </w:r>
          </w:p>
        </w:tc>
        <w:tc>
          <w:tcPr>
            <w:tcW w:w="1525" w:type="pct"/>
            <w:tcBorders>
              <w:top w:val="single" w:sz="4" w:space="0" w:color="auto"/>
              <w:left w:val="nil"/>
              <w:bottom w:val="single" w:sz="4" w:space="0" w:color="auto"/>
              <w:right w:val="nil"/>
            </w:tcBorders>
            <w:shd w:val="clear" w:color="auto" w:fill="auto"/>
            <w:noWrap/>
            <w:vAlign w:val="bottom"/>
            <w:hideMark/>
          </w:tcPr>
          <w:p w14:paraId="72F5415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45D7886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PM6:BTR-Cl:Y6</w:t>
            </w:r>
          </w:p>
        </w:tc>
        <w:tc>
          <w:tcPr>
            <w:tcW w:w="379" w:type="pct"/>
            <w:tcBorders>
              <w:top w:val="single" w:sz="4" w:space="0" w:color="auto"/>
              <w:left w:val="nil"/>
              <w:bottom w:val="single" w:sz="4" w:space="0" w:color="auto"/>
              <w:right w:val="nil"/>
            </w:tcBorders>
            <w:shd w:val="clear" w:color="auto" w:fill="auto"/>
            <w:noWrap/>
            <w:vAlign w:val="bottom"/>
            <w:hideMark/>
          </w:tcPr>
          <w:p w14:paraId="7899D33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0.852</w:t>
            </w:r>
          </w:p>
        </w:tc>
        <w:tc>
          <w:tcPr>
            <w:tcW w:w="379" w:type="pct"/>
            <w:tcBorders>
              <w:top w:val="single" w:sz="4" w:space="0" w:color="auto"/>
              <w:left w:val="nil"/>
              <w:bottom w:val="single" w:sz="4" w:space="0" w:color="auto"/>
              <w:right w:val="nil"/>
            </w:tcBorders>
            <w:shd w:val="clear" w:color="auto" w:fill="auto"/>
            <w:noWrap/>
            <w:vAlign w:val="bottom"/>
            <w:hideMark/>
          </w:tcPr>
          <w:p w14:paraId="40494E2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26.03</w:t>
            </w:r>
          </w:p>
        </w:tc>
        <w:tc>
          <w:tcPr>
            <w:tcW w:w="378" w:type="pct"/>
            <w:tcBorders>
              <w:top w:val="single" w:sz="4" w:space="0" w:color="auto"/>
              <w:left w:val="nil"/>
              <w:bottom w:val="single" w:sz="4" w:space="0" w:color="auto"/>
              <w:right w:val="nil"/>
            </w:tcBorders>
            <w:shd w:val="clear" w:color="auto" w:fill="auto"/>
            <w:noWrap/>
            <w:vAlign w:val="bottom"/>
            <w:hideMark/>
          </w:tcPr>
          <w:p w14:paraId="5748388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75.09</w:t>
            </w:r>
          </w:p>
        </w:tc>
        <w:tc>
          <w:tcPr>
            <w:tcW w:w="381" w:type="pct"/>
            <w:tcBorders>
              <w:top w:val="single" w:sz="4" w:space="0" w:color="auto"/>
              <w:left w:val="nil"/>
              <w:bottom w:val="single" w:sz="4" w:space="0" w:color="auto"/>
              <w:right w:val="nil"/>
            </w:tcBorders>
            <w:shd w:val="clear" w:color="auto" w:fill="auto"/>
            <w:noWrap/>
            <w:vAlign w:val="bottom"/>
            <w:hideMark/>
          </w:tcPr>
          <w:p w14:paraId="08AEB29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16.65</w:t>
            </w:r>
          </w:p>
        </w:tc>
        <w:tc>
          <w:tcPr>
            <w:tcW w:w="378" w:type="pct"/>
            <w:tcBorders>
              <w:top w:val="single" w:sz="4" w:space="0" w:color="auto"/>
              <w:left w:val="nil"/>
              <w:bottom w:val="single" w:sz="4" w:space="0" w:color="auto"/>
              <w:right w:val="nil"/>
            </w:tcBorders>
            <w:shd w:val="clear" w:color="auto" w:fill="auto"/>
            <w:noWrap/>
            <w:vAlign w:val="bottom"/>
            <w:hideMark/>
          </w:tcPr>
          <w:p w14:paraId="3106599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{"citationID":"Mym5L0mk","properties":{"formattedCitation":"[72]","plainCitation":"[72]","noteIndex":0},"citationItems":[{"id":581,"uris":["http://zotero.org/users/12909065/items/E7DZY8WM"],"itemData":{"id":581,"type":"article-journal","abstract":"Thick film organic solar cells have great potential for preparing large-area devices in the future. However, unsuitable vertical donor/acceptor distribution, poor crystallinity of materials, and voltage losses remain unclear, limiting the performance of thick film devices. Here, a target ternary strategy by introducing a nematic liquid crystalline small molecule donor BTR-Cl into the PM6:Y6 host system is used to reduce the performance degradation caused by the increase of active layer thickness. By incorporating 10% BTR-Cl into the blend film, the voltage loss is minimized in both thin and thick ternary devices. Moreover, the power conversion efficiency of the ternary device is maintained at 15.28% compared to 12.94% of binary devices with an active layer thickness of 300 nm. It is benefited from the optimized crystallization behavior and more suitable vertical phase distribution driven by differences in miscibility between components. While ensuring sufficient phase separation, the charge transport is improved, it also prompts the balance of charge transport and reduces the non-radiative recombination. This work demonstrates that the use of the third component to enhance the crystallization of the active layer and improve the vertical phase distribution is an effective method to build thick films for future large-scale printing techniques. © 2022 Wiley-VCH GmbH.","archive":"Scopus","container-title":"Advanced Functional Materials","DOI":"10.1002/adfm.202202103","ISSN":"1616-301X","issue":"29","language":"English","source":"Scopus","title":"Regulation of Crystallinity and Vertical Phase Separation Enables High-Efficiency Thick Organic Solar Cells","volume":"32","author":[{"family":"Zhang","given":"L."},{"family":"Hu","given":"L."},{"family":"Wang","given":"X."},{"family":"Mao","given":"H."},{"family":"Zeng","given":"L."},{"family":"Tan","given":"L."},{"family":"Zhuang","given":"X."},{"family":"Chen","given":"Y."}],"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[72]</w:t>
            </w:r>
            <w:r w:rsidRPr="00B55044">
              <w:rPr>
                <w:rFonts w:eastAsia="Times New Roman"/>
                <w:color w:val="0000FF"/>
                <w:sz w:val="16"/>
                <w:szCs w:val="16"/>
              </w:rPr>
              <w:fldChar w:fldCharType="end"/>
            </w:r>
          </w:p>
        </w:tc>
      </w:tr>
      <w:tr w:rsidR="00D47774" w:rsidRPr="00B55044" w14:paraId="7048C42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5BCCD7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116</w:t>
            </w:r>
          </w:p>
        </w:tc>
        <w:tc>
          <w:tcPr>
            <w:tcW w:w="1525" w:type="pct"/>
            <w:tcBorders>
              <w:top w:val="single" w:sz="4" w:space="0" w:color="auto"/>
              <w:left w:val="nil"/>
              <w:bottom w:val="single" w:sz="4" w:space="0" w:color="auto"/>
              <w:right w:val="nil"/>
            </w:tcBorders>
            <w:shd w:val="clear" w:color="auto" w:fill="auto"/>
            <w:noWrap/>
            <w:vAlign w:val="bottom"/>
            <w:hideMark/>
          </w:tcPr>
          <w:p w14:paraId="4722323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05EDD48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PM6:BTR-Cl:Y6</w:t>
            </w:r>
          </w:p>
        </w:tc>
        <w:tc>
          <w:tcPr>
            <w:tcW w:w="379" w:type="pct"/>
            <w:tcBorders>
              <w:top w:val="single" w:sz="4" w:space="0" w:color="auto"/>
              <w:left w:val="nil"/>
              <w:bottom w:val="single" w:sz="4" w:space="0" w:color="auto"/>
              <w:right w:val="nil"/>
            </w:tcBorders>
            <w:shd w:val="clear" w:color="auto" w:fill="auto"/>
            <w:noWrap/>
            <w:vAlign w:val="bottom"/>
            <w:hideMark/>
          </w:tcPr>
          <w:p w14:paraId="0FFF29B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0.835</w:t>
            </w:r>
          </w:p>
        </w:tc>
        <w:tc>
          <w:tcPr>
            <w:tcW w:w="379" w:type="pct"/>
            <w:tcBorders>
              <w:top w:val="single" w:sz="4" w:space="0" w:color="auto"/>
              <w:left w:val="nil"/>
              <w:bottom w:val="single" w:sz="4" w:space="0" w:color="auto"/>
              <w:right w:val="nil"/>
            </w:tcBorders>
            <w:shd w:val="clear" w:color="auto" w:fill="auto"/>
            <w:noWrap/>
            <w:vAlign w:val="bottom"/>
            <w:hideMark/>
          </w:tcPr>
          <w:p w14:paraId="4AF12AA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27.68</w:t>
            </w:r>
          </w:p>
        </w:tc>
        <w:tc>
          <w:tcPr>
            <w:tcW w:w="378" w:type="pct"/>
            <w:tcBorders>
              <w:top w:val="single" w:sz="4" w:space="0" w:color="auto"/>
              <w:left w:val="nil"/>
              <w:bottom w:val="single" w:sz="4" w:space="0" w:color="auto"/>
              <w:right w:val="nil"/>
            </w:tcBorders>
            <w:shd w:val="clear" w:color="auto" w:fill="auto"/>
            <w:noWrap/>
            <w:vAlign w:val="bottom"/>
            <w:hideMark/>
          </w:tcPr>
          <w:p w14:paraId="20FF01B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66.16</w:t>
            </w:r>
          </w:p>
        </w:tc>
        <w:tc>
          <w:tcPr>
            <w:tcW w:w="381" w:type="pct"/>
            <w:tcBorders>
              <w:top w:val="single" w:sz="4" w:space="0" w:color="auto"/>
              <w:left w:val="nil"/>
              <w:bottom w:val="single" w:sz="4" w:space="0" w:color="auto"/>
              <w:right w:val="nil"/>
            </w:tcBorders>
            <w:shd w:val="clear" w:color="auto" w:fill="auto"/>
            <w:noWrap/>
            <w:vAlign w:val="bottom"/>
            <w:hideMark/>
          </w:tcPr>
          <w:p w14:paraId="71F1C5A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15.28</w:t>
            </w:r>
          </w:p>
        </w:tc>
        <w:tc>
          <w:tcPr>
            <w:tcW w:w="378" w:type="pct"/>
            <w:tcBorders>
              <w:top w:val="single" w:sz="4" w:space="0" w:color="auto"/>
              <w:left w:val="nil"/>
              <w:bottom w:val="single" w:sz="4" w:space="0" w:color="auto"/>
              <w:right w:val="nil"/>
            </w:tcBorders>
            <w:shd w:val="clear" w:color="auto" w:fill="auto"/>
            <w:noWrap/>
            <w:vAlign w:val="bottom"/>
            <w:hideMark/>
          </w:tcPr>
          <w:p w14:paraId="6337D73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{"citationID":"ftcdSpZT","properties":{"formattedCitation":"[72]","plainCitation":"[72]","noteIndex":0},"citationItems":[{"id":581,"uris":["http://zotero.org/users/12909065/items/E7DZY8WM"],"itemData":{"id":581,"type":"article-journal","abstract":"Thick film organic solar cells have great potential for preparing large-area devices in the future. However, unsuitable vertical donor/acceptor distribution, poor crystallinity of materials, and voltage losses remain unclear, limiting the performance of thick film devices. Here, a target ternary strategy by introducing a nematic liquid crystalline small molecule donor BTR-Cl into the PM6:Y6 host system is used to reduce the performance degradation caused by the increase of active layer thickness. By incorporating 10% BTR-Cl into the blend film, the voltage loss is minimized in both thin and thick ternary devices. Moreover, the power conversion efficiency of the ternary device is maintained at 15.28% compared to 12.94% of binary devices with an active layer thickness of 300 nm. It is benefited from the optimized crystallization behavior and more suitable vertical phase distribution driven by differences in miscibility between components. While ensuring sufficient phase separation, the charge transport is improved, it also prompts the balance of charge transport and reduces the non-radiative recombination. This work demonstrates that the use of the third component to enhance the crystallization of the active layer and improve the vertical phase distribution is an effective method to build thick films for future large-scale printing techniques. © 2022 Wiley-VCH GmbH.","archive":"Scopus","container-title":"Advanced Functional Materials","DOI":"10.1002/adfm.202202103","ISSN":"1616-301X","issue":"29","language":"English","source":"Scopus","title":"Regulation of Crystallinity and Vertical Phase Separation Enables High-Efficiency Thick Organic Solar Cells","volume":"32","author":[{"family":"Zhang","given":"L."},{"family":"Hu","given":"L."},{"family":"Wang","given":"X."},{"family":"Mao","given":"H."},{"family":"Zeng","given":"L."},{"family":"Tan","given":"L."},{"family":"Zhuang","given":"X."},{"family":"Chen","given":"Y."}],"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[72]</w:t>
            </w:r>
            <w:r w:rsidRPr="00B55044">
              <w:rPr>
                <w:rFonts w:eastAsia="Times New Roman"/>
                <w:color w:val="0000FF"/>
                <w:sz w:val="16"/>
                <w:szCs w:val="16"/>
              </w:rPr>
              <w:fldChar w:fldCharType="end"/>
            </w:r>
          </w:p>
        </w:tc>
      </w:tr>
      <w:tr w:rsidR="00D47774" w:rsidRPr="00B55044" w14:paraId="52A73F2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29AF91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117</w:t>
            </w:r>
          </w:p>
        </w:tc>
        <w:tc>
          <w:tcPr>
            <w:tcW w:w="1525" w:type="pct"/>
            <w:tcBorders>
              <w:top w:val="single" w:sz="4" w:space="0" w:color="auto"/>
              <w:left w:val="nil"/>
              <w:bottom w:val="single" w:sz="4" w:space="0" w:color="auto"/>
              <w:right w:val="nil"/>
            </w:tcBorders>
            <w:shd w:val="clear" w:color="auto" w:fill="auto"/>
            <w:noWrap/>
            <w:vAlign w:val="bottom"/>
            <w:hideMark/>
          </w:tcPr>
          <w:p w14:paraId="7E51F1C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28B5D2D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PM6:BTR-Cl:Y6</w:t>
            </w:r>
          </w:p>
        </w:tc>
        <w:tc>
          <w:tcPr>
            <w:tcW w:w="379" w:type="pct"/>
            <w:tcBorders>
              <w:top w:val="single" w:sz="4" w:space="0" w:color="auto"/>
              <w:left w:val="nil"/>
              <w:bottom w:val="single" w:sz="4" w:space="0" w:color="auto"/>
              <w:right w:val="nil"/>
            </w:tcBorders>
            <w:shd w:val="clear" w:color="auto" w:fill="auto"/>
            <w:noWrap/>
            <w:vAlign w:val="bottom"/>
            <w:hideMark/>
          </w:tcPr>
          <w:p w14:paraId="626535E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0.826</w:t>
            </w:r>
          </w:p>
        </w:tc>
        <w:tc>
          <w:tcPr>
            <w:tcW w:w="379" w:type="pct"/>
            <w:tcBorders>
              <w:top w:val="single" w:sz="4" w:space="0" w:color="auto"/>
              <w:left w:val="nil"/>
              <w:bottom w:val="single" w:sz="4" w:space="0" w:color="auto"/>
              <w:right w:val="nil"/>
            </w:tcBorders>
            <w:shd w:val="clear" w:color="auto" w:fill="auto"/>
            <w:noWrap/>
            <w:vAlign w:val="bottom"/>
            <w:hideMark/>
          </w:tcPr>
          <w:p w14:paraId="5FD2A00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23.83</w:t>
            </w:r>
          </w:p>
        </w:tc>
        <w:tc>
          <w:tcPr>
            <w:tcW w:w="378" w:type="pct"/>
            <w:tcBorders>
              <w:top w:val="single" w:sz="4" w:space="0" w:color="auto"/>
              <w:left w:val="nil"/>
              <w:bottom w:val="single" w:sz="4" w:space="0" w:color="auto"/>
              <w:right w:val="nil"/>
            </w:tcBorders>
            <w:shd w:val="clear" w:color="auto" w:fill="auto"/>
            <w:noWrap/>
            <w:vAlign w:val="bottom"/>
            <w:hideMark/>
          </w:tcPr>
          <w:p w14:paraId="2E534CE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56.63</w:t>
            </w:r>
          </w:p>
        </w:tc>
        <w:tc>
          <w:tcPr>
            <w:tcW w:w="381" w:type="pct"/>
            <w:tcBorders>
              <w:top w:val="single" w:sz="4" w:space="0" w:color="auto"/>
              <w:left w:val="nil"/>
              <w:bottom w:val="single" w:sz="4" w:space="0" w:color="auto"/>
              <w:right w:val="nil"/>
            </w:tcBorders>
            <w:shd w:val="clear" w:color="auto" w:fill="auto"/>
            <w:noWrap/>
            <w:vAlign w:val="bottom"/>
            <w:hideMark/>
          </w:tcPr>
          <w:p w14:paraId="4CBABBA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11.15</w:t>
            </w:r>
          </w:p>
        </w:tc>
        <w:tc>
          <w:tcPr>
            <w:tcW w:w="378" w:type="pct"/>
            <w:tcBorders>
              <w:top w:val="single" w:sz="4" w:space="0" w:color="auto"/>
              <w:left w:val="nil"/>
              <w:bottom w:val="single" w:sz="4" w:space="0" w:color="auto"/>
              <w:right w:val="nil"/>
            </w:tcBorders>
            <w:shd w:val="clear" w:color="auto" w:fill="auto"/>
            <w:noWrap/>
            <w:vAlign w:val="bottom"/>
            <w:hideMark/>
          </w:tcPr>
          <w:p w14:paraId="32BE895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{"citationID":"HYTREFfs","properties":{"formattedCitation":"[72]","plainCitation":"[72]","noteIndex":0},"citationItems":[{"id":581,"uris":["http://zotero.org/users/12909065/items/E7DZY8WM"],"itemData":{"id":581,"type":"article-journal","abstract":"Thick film organic solar cells have great potential for preparing large-area devices in the future. However, unsuitable vertical donor/acceptor distribution, poor crystallinity of materials, and voltage losses remain unclear, limiting the performance of thick film devices. Here, a target ternary strategy by introducing a nematic liquid crystalline small molecule donor BTR-Cl into the PM6:Y6 host system is used to reduce the performance degradation caused by the increase of active layer thickness. By incorporating 10% BTR-Cl into the blend film, the voltage loss is minimized in both thin and thick ternary devices. Moreover, the power conversion efficiency of the ternary device is maintained at 15.28% compared to 12.94% of binary devices with an active layer thickness of 300 nm. It is benefited from the optimized crystallization behavior and more suitable vertical phase distribution driven by differences in miscibility between components. While ensuring sufficient phase separation, the charge transport is improved, it also prompts the balance of charge transport and reduces the non-radiative recombination. This work demonstrates that the use of the third component to enhance the crystallization of the active layer and improve the vertical phase distribution is an effective method to build thick films for future large-scale printing techniques. © 2022 Wiley-VCH GmbH.","archive":"Scopus","container-title":"Advanced Functional Materials","DOI":"10.1002/adfm.202202103","ISSN":"1616-301X","issue":"29","language":"English","source":"Scopus","title":"Regulation of Crystallinity and Vertical Phase Separation Enables High-Efficiency Thick Organic Solar Cells","volume":"32","author":[{"family":"Zhang","given":"L."},{"family":"Hu","given":"L."},{"family":"Wang","given":"X."},{"family":"Mao","given":"H."},{"family":"Zeng","given":"L."},{"family":"Tan","given":"L."},{"family":"Zhuang","given":"X."},{"family":"Chen","given":"Y."}],"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[72]</w:t>
            </w:r>
            <w:r w:rsidRPr="00B55044">
              <w:rPr>
                <w:rFonts w:eastAsia="Times New Roman"/>
                <w:color w:val="0000FF"/>
                <w:sz w:val="16"/>
                <w:szCs w:val="16"/>
              </w:rPr>
              <w:fldChar w:fldCharType="end"/>
            </w:r>
          </w:p>
        </w:tc>
      </w:tr>
      <w:tr w:rsidR="00D47774" w:rsidRPr="00B55044" w14:paraId="31983AA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52F44C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118</w:t>
            </w:r>
          </w:p>
        </w:tc>
        <w:tc>
          <w:tcPr>
            <w:tcW w:w="1525" w:type="pct"/>
            <w:tcBorders>
              <w:top w:val="single" w:sz="4" w:space="0" w:color="auto"/>
              <w:left w:val="nil"/>
              <w:bottom w:val="single" w:sz="4" w:space="0" w:color="auto"/>
              <w:right w:val="nil"/>
            </w:tcBorders>
            <w:shd w:val="clear" w:color="auto" w:fill="auto"/>
            <w:noWrap/>
            <w:vAlign w:val="bottom"/>
            <w:hideMark/>
          </w:tcPr>
          <w:p w14:paraId="316ED00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032E68F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PM6:BTP-eC9:MOIT-M</w:t>
            </w:r>
          </w:p>
        </w:tc>
        <w:tc>
          <w:tcPr>
            <w:tcW w:w="379" w:type="pct"/>
            <w:tcBorders>
              <w:top w:val="single" w:sz="4" w:space="0" w:color="auto"/>
              <w:left w:val="nil"/>
              <w:bottom w:val="single" w:sz="4" w:space="0" w:color="auto"/>
              <w:right w:val="nil"/>
            </w:tcBorders>
            <w:shd w:val="clear" w:color="auto" w:fill="auto"/>
            <w:noWrap/>
            <w:vAlign w:val="bottom"/>
            <w:hideMark/>
          </w:tcPr>
          <w:p w14:paraId="267CB05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18856B0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27.4</w:t>
            </w:r>
          </w:p>
        </w:tc>
        <w:tc>
          <w:tcPr>
            <w:tcW w:w="378" w:type="pct"/>
            <w:tcBorders>
              <w:top w:val="single" w:sz="4" w:space="0" w:color="auto"/>
              <w:left w:val="nil"/>
              <w:bottom w:val="single" w:sz="4" w:space="0" w:color="auto"/>
              <w:right w:val="nil"/>
            </w:tcBorders>
            <w:shd w:val="clear" w:color="auto" w:fill="auto"/>
            <w:noWrap/>
            <w:vAlign w:val="bottom"/>
            <w:hideMark/>
          </w:tcPr>
          <w:p w14:paraId="5166995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77.3</w:t>
            </w:r>
          </w:p>
        </w:tc>
        <w:tc>
          <w:tcPr>
            <w:tcW w:w="381" w:type="pct"/>
            <w:tcBorders>
              <w:top w:val="single" w:sz="4" w:space="0" w:color="auto"/>
              <w:left w:val="nil"/>
              <w:bottom w:val="single" w:sz="4" w:space="0" w:color="auto"/>
              <w:right w:val="nil"/>
            </w:tcBorders>
            <w:shd w:val="clear" w:color="auto" w:fill="auto"/>
            <w:noWrap/>
            <w:vAlign w:val="bottom"/>
            <w:hideMark/>
          </w:tcPr>
          <w:p w14:paraId="6816981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18.5</w:t>
            </w:r>
          </w:p>
        </w:tc>
        <w:tc>
          <w:tcPr>
            <w:tcW w:w="378" w:type="pct"/>
            <w:tcBorders>
              <w:top w:val="single" w:sz="4" w:space="0" w:color="auto"/>
              <w:left w:val="nil"/>
              <w:bottom w:val="single" w:sz="4" w:space="0" w:color="auto"/>
              <w:right w:val="nil"/>
            </w:tcBorders>
            <w:shd w:val="clear" w:color="auto" w:fill="auto"/>
            <w:noWrap/>
            <w:vAlign w:val="bottom"/>
            <w:hideMark/>
          </w:tcPr>
          <w:p w14:paraId="45D5AE9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{"citationID":"JNkndpwp","properties":{"formattedCitation":"[73]","plainCitation":"[73]","noteIndex":0},"citationItems":[{"id":580,"uris":["http://zotero.org/users/12909065/items/6PZRFFEC"],"itemData":{"id":580,"type":"article-journal","abstract":"A ternary strategy by introducing a third component into a binary host system has been proven to be a simple and promising method to boost the power conversion efficiency (PCE) and stability of organic solar cells (OSCs). Herein, a high efficient ternary OSC is fabricated, wherein, a non-fullerene acceptor, namely MOIT-M, is introduced as a third component into the PM6:BTP-eC9 blend. MOIT-M possesses good complementary absorption spectra and aligned cascade energy levels with the host binary blend, which benefits light harvesting, exciton dissociation, and charge transport. Moreover, MOIT-M exhibits good miscibility with BTP-eC9, forming a well-mixed phase, which improves molecular packing for better charge transport and optimizes ternary blend morphology. Notably, the incorporation of MOIT-M suppresses non-radiative recombination, leading to reduced non-radiative energy losses (ΔEnr). As a result, the ternary OSC exhibits a significantly increased PCE of 18.5% with a lower ΔEnr of 0.21 eV in comparison with the control binary PM6:BTP-eC9 device with a PCE of 17.4% and a ΔEnr of 0.24 eV. In addition, the ternary OSC displays better storage stability compared to the PM6:BTP-eC9 system. This work indicates that a ternary strategy via combining two compatible small molecule acceptors is effective to simultaneously improve the efficiency and stability of OSCs. © 2022 The Royal Society of Chemistry.","archive":"Scopus","container-title":"Journal of Materials Chemistry A","DOI":"10.1039/d2ta03941a","ISSN":"2050-7488","issue":"29","language":"English","page":"15605-15613","source":"Scopus","title":"Highly efficient ternary solar cells with reduced non-radiative energy loss and enhanced stability via two compatible non-fullerene acceptors","volume":"10","author":[{"family":"Yan","given":"X."},{"family":"Wu","given":"J."},{"family":"Lv","given":"J."},{"family":"Zhang","given":"L."},{"family":"Zhang","given":"R."},{"family":"Guo","given":"X."},{"family":"Zhang","given":"M."}],"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[73]</w:t>
            </w:r>
            <w:r w:rsidRPr="00B55044">
              <w:rPr>
                <w:rFonts w:eastAsia="Times New Roman"/>
                <w:color w:val="0000FF"/>
                <w:sz w:val="16"/>
                <w:szCs w:val="16"/>
              </w:rPr>
              <w:fldChar w:fldCharType="end"/>
            </w:r>
          </w:p>
        </w:tc>
      </w:tr>
      <w:tr w:rsidR="00D47774" w:rsidRPr="00B55044" w14:paraId="096CF11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80E603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119</w:t>
            </w:r>
          </w:p>
        </w:tc>
        <w:tc>
          <w:tcPr>
            <w:tcW w:w="1525" w:type="pct"/>
            <w:tcBorders>
              <w:top w:val="single" w:sz="4" w:space="0" w:color="auto"/>
              <w:left w:val="nil"/>
              <w:bottom w:val="single" w:sz="4" w:space="0" w:color="auto"/>
              <w:right w:val="nil"/>
            </w:tcBorders>
            <w:shd w:val="clear" w:color="auto" w:fill="auto"/>
            <w:noWrap/>
            <w:vAlign w:val="bottom"/>
            <w:hideMark/>
          </w:tcPr>
          <w:p w14:paraId="1A8F335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PET/Ag grid/ D-PH1000/PEDOT:PSS/AL/PDINN/Ag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02B1846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PM6:BTP-eC9:PY-IT</w:t>
            </w:r>
          </w:p>
        </w:tc>
        <w:tc>
          <w:tcPr>
            <w:tcW w:w="379" w:type="pct"/>
            <w:tcBorders>
              <w:top w:val="single" w:sz="4" w:space="0" w:color="auto"/>
              <w:left w:val="nil"/>
              <w:bottom w:val="single" w:sz="4" w:space="0" w:color="auto"/>
              <w:right w:val="nil"/>
            </w:tcBorders>
            <w:shd w:val="clear" w:color="auto" w:fill="auto"/>
            <w:noWrap/>
            <w:vAlign w:val="bottom"/>
            <w:hideMark/>
          </w:tcPr>
          <w:p w14:paraId="6F2FFC5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0.843</w:t>
            </w:r>
          </w:p>
        </w:tc>
        <w:tc>
          <w:tcPr>
            <w:tcW w:w="379" w:type="pct"/>
            <w:tcBorders>
              <w:top w:val="single" w:sz="4" w:space="0" w:color="auto"/>
              <w:left w:val="nil"/>
              <w:bottom w:val="single" w:sz="4" w:space="0" w:color="auto"/>
              <w:right w:val="nil"/>
            </w:tcBorders>
            <w:shd w:val="clear" w:color="auto" w:fill="auto"/>
            <w:noWrap/>
            <w:vAlign w:val="bottom"/>
            <w:hideMark/>
          </w:tcPr>
          <w:p w14:paraId="1EF068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25.87</w:t>
            </w:r>
          </w:p>
        </w:tc>
        <w:tc>
          <w:tcPr>
            <w:tcW w:w="378" w:type="pct"/>
            <w:tcBorders>
              <w:top w:val="single" w:sz="4" w:space="0" w:color="auto"/>
              <w:left w:val="nil"/>
              <w:bottom w:val="single" w:sz="4" w:space="0" w:color="auto"/>
              <w:right w:val="nil"/>
            </w:tcBorders>
            <w:shd w:val="clear" w:color="auto" w:fill="auto"/>
            <w:noWrap/>
            <w:vAlign w:val="bottom"/>
            <w:hideMark/>
          </w:tcPr>
          <w:p w14:paraId="07E7DC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75.7</w:t>
            </w:r>
          </w:p>
        </w:tc>
        <w:tc>
          <w:tcPr>
            <w:tcW w:w="381" w:type="pct"/>
            <w:tcBorders>
              <w:top w:val="single" w:sz="4" w:space="0" w:color="auto"/>
              <w:left w:val="nil"/>
              <w:bottom w:val="single" w:sz="4" w:space="0" w:color="auto"/>
              <w:right w:val="nil"/>
            </w:tcBorders>
            <w:shd w:val="clear" w:color="auto" w:fill="auto"/>
            <w:noWrap/>
            <w:vAlign w:val="bottom"/>
            <w:hideMark/>
          </w:tcPr>
          <w:p w14:paraId="6515A1B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16.52</w:t>
            </w:r>
          </w:p>
        </w:tc>
        <w:tc>
          <w:tcPr>
            <w:tcW w:w="378" w:type="pct"/>
            <w:tcBorders>
              <w:top w:val="single" w:sz="4" w:space="0" w:color="auto"/>
              <w:left w:val="nil"/>
              <w:bottom w:val="single" w:sz="4" w:space="0" w:color="auto"/>
              <w:right w:val="nil"/>
            </w:tcBorders>
            <w:shd w:val="clear" w:color="auto" w:fill="auto"/>
            <w:noWrap/>
            <w:vAlign w:val="bottom"/>
            <w:hideMark/>
          </w:tcPr>
          <w:p w14:paraId="09EAA29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{"citationID":"mHyD1BlK","properties":{"formattedCitation":"[74]","plainCitation":"[74]","noteIndex":0},"citationItems":[{"id":579,"uris":["http://zotero.org/users/12909065/items/3YE2LMA6"],"itemData":{"id":579,"type":"article-journal","abstract":"Intrinsically stretchable organic solar cells (IS-OSCs) have attracted great attention as a promising power source for wearable electronics. However, reconciling high power conversion efficiency (PCE), reasonable stretchability, and thermal stability is a grand challenge. Herein, we have successfully improved the ductility and morphological stability of the PM6:BTP-eC9 blend film through introducing polymer PY-IT to form entangled structure morphology. Compared with the binary blend, the ternary system exhibits suppressed diffusion and crystallization of BTP-eC9 acceptor and load distribution across the entangled chain networks to dissipate the local energy. As a result, high efficiencies of 16.52% were obtained for the flexible OSCs based on polyethylene terephthalate (PET) substrate. Impressively, the PCE of IS-OSCs based on the elastomer substrate also achieved 15.3%. In this work, the study about intrinsic stretchability and morphological robustness demonstrates that high-performance IS-OSCs constitute a major step toward practical utilization in malleable electronic textiles. © 2022 Elsevier Inc.","archive":"Scopus","container-title":"Matter","DOI":"10.1016/j.matt.2022.03.012","ISSN":"2590-2393","issue":"6","language":"English","page":"1877-1889","source":"Scopus","title":"Entangled structure morphology by polymer guest enabling mechanically robust organic solar cells with efficiencies of over 16.5%","volume":"5","author":[{"family":"Song","given":"W."},{"family":"Yu","given":"K."},{"family":"Ge","given":"J."},{"family":"Xie","given":"L."},{"family":"Zhou","given":"R."},{"family":"Peng","given":"R."},{"family":"Zhang","given":"X."},{"family":"Yang","given":"M."},{"family":"Wei","given":"Z."},{"family":"Ge","given":"Z."}],"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[74]</w:t>
            </w:r>
            <w:r w:rsidRPr="00B55044">
              <w:rPr>
                <w:rFonts w:eastAsia="Times New Roman"/>
                <w:color w:val="0000FF"/>
                <w:sz w:val="16"/>
                <w:szCs w:val="16"/>
              </w:rPr>
              <w:fldChar w:fldCharType="end"/>
            </w:r>
          </w:p>
        </w:tc>
      </w:tr>
      <w:tr w:rsidR="00D47774" w:rsidRPr="00B55044" w14:paraId="3A5353C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369146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120</w:t>
            </w:r>
          </w:p>
        </w:tc>
        <w:tc>
          <w:tcPr>
            <w:tcW w:w="1525" w:type="pct"/>
            <w:tcBorders>
              <w:top w:val="single" w:sz="4" w:space="0" w:color="auto"/>
              <w:left w:val="nil"/>
              <w:bottom w:val="single" w:sz="4" w:space="0" w:color="auto"/>
              <w:right w:val="nil"/>
            </w:tcBorders>
            <w:shd w:val="clear" w:color="auto" w:fill="auto"/>
            <w:noWrap/>
            <w:vAlign w:val="bottom"/>
            <w:hideMark/>
          </w:tcPr>
          <w:p w14:paraId="6141B87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ITO/PEDOT:PSS/AL/PDIN/Ag</w:t>
            </w:r>
          </w:p>
        </w:tc>
        <w:tc>
          <w:tcPr>
            <w:tcW w:w="1288" w:type="pct"/>
            <w:tcBorders>
              <w:top w:val="single" w:sz="4" w:space="0" w:color="auto"/>
              <w:left w:val="nil"/>
              <w:bottom w:val="single" w:sz="4" w:space="0" w:color="auto"/>
              <w:right w:val="nil"/>
            </w:tcBorders>
            <w:shd w:val="clear" w:color="auto" w:fill="auto"/>
            <w:noWrap/>
            <w:vAlign w:val="bottom"/>
            <w:hideMark/>
          </w:tcPr>
          <w:p w14:paraId="314DCA4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PM6:Y610:Y7-BO</w:t>
            </w:r>
          </w:p>
        </w:tc>
        <w:tc>
          <w:tcPr>
            <w:tcW w:w="379" w:type="pct"/>
            <w:tcBorders>
              <w:top w:val="single" w:sz="4" w:space="0" w:color="auto"/>
              <w:left w:val="nil"/>
              <w:bottom w:val="single" w:sz="4" w:space="0" w:color="auto"/>
              <w:right w:val="nil"/>
            </w:tcBorders>
            <w:shd w:val="clear" w:color="auto" w:fill="auto"/>
            <w:noWrap/>
            <w:vAlign w:val="bottom"/>
            <w:hideMark/>
          </w:tcPr>
          <w:p w14:paraId="1054D51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0.867</w:t>
            </w:r>
          </w:p>
        </w:tc>
        <w:tc>
          <w:tcPr>
            <w:tcW w:w="379" w:type="pct"/>
            <w:tcBorders>
              <w:top w:val="single" w:sz="4" w:space="0" w:color="auto"/>
              <w:left w:val="nil"/>
              <w:bottom w:val="single" w:sz="4" w:space="0" w:color="auto"/>
              <w:right w:val="nil"/>
            </w:tcBorders>
            <w:shd w:val="clear" w:color="auto" w:fill="auto"/>
            <w:noWrap/>
            <w:vAlign w:val="bottom"/>
            <w:hideMark/>
          </w:tcPr>
          <w:p w14:paraId="2180878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26.35</w:t>
            </w:r>
          </w:p>
        </w:tc>
        <w:tc>
          <w:tcPr>
            <w:tcW w:w="378" w:type="pct"/>
            <w:tcBorders>
              <w:top w:val="single" w:sz="4" w:space="0" w:color="auto"/>
              <w:left w:val="nil"/>
              <w:bottom w:val="single" w:sz="4" w:space="0" w:color="auto"/>
              <w:right w:val="nil"/>
            </w:tcBorders>
            <w:shd w:val="clear" w:color="auto" w:fill="auto"/>
            <w:noWrap/>
            <w:vAlign w:val="bottom"/>
            <w:hideMark/>
          </w:tcPr>
          <w:p w14:paraId="5ADC6FF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79.27</w:t>
            </w:r>
          </w:p>
        </w:tc>
        <w:tc>
          <w:tcPr>
            <w:tcW w:w="381" w:type="pct"/>
            <w:tcBorders>
              <w:top w:val="single" w:sz="4" w:space="0" w:color="auto"/>
              <w:left w:val="nil"/>
              <w:bottom w:val="single" w:sz="4" w:space="0" w:color="auto"/>
              <w:right w:val="nil"/>
            </w:tcBorders>
            <w:shd w:val="clear" w:color="auto" w:fill="auto"/>
            <w:noWrap/>
            <w:vAlign w:val="bottom"/>
            <w:hideMark/>
          </w:tcPr>
          <w:p w14:paraId="55C0C88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18.11</w:t>
            </w:r>
          </w:p>
        </w:tc>
        <w:tc>
          <w:tcPr>
            <w:tcW w:w="378" w:type="pct"/>
            <w:tcBorders>
              <w:top w:val="single" w:sz="4" w:space="0" w:color="auto"/>
              <w:left w:val="nil"/>
              <w:bottom w:val="single" w:sz="4" w:space="0" w:color="auto"/>
              <w:right w:val="nil"/>
            </w:tcBorders>
            <w:shd w:val="clear" w:color="auto" w:fill="auto"/>
            <w:noWrap/>
            <w:vAlign w:val="bottom"/>
            <w:hideMark/>
          </w:tcPr>
          <w:p w14:paraId="5FD99C7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{"citationID":"xOAr5Dt2","properties":{"formattedCitation":"[75]","plainCitation":"[75]","noteIndex":0},"citationItems":[{"id":578,"uris":["http://zotero.org/users/12909065/items/27SNUHTE"],"itemData":{"id":578,"type":"article-journal","abstract":"Integrating desirable light absorption, energy levels, and morphology in one matrix is always the aspiration to construct high-performance organic solar cells (OSCs). Herein, an asymmetric acceptor Y6-1O is incorporated into the binary blends of acceptor Y7-BO and donor PM6 to prepare ternary OSCs. Two isogenous asymmetric–symmetric acceptors with similar chemical skeletons tend to form alloy-like state in blends due to their good compatibility, which contributes to optimizing the morphology for efficient charge generation and extraction. The complementary absorption of two acceptors helps to improve the photon harvesting of ternary blends, and the higher lowest unoccupied molecular orbital (LUMO) energy level of Y6-1O offers the chance to uplift the mixed LUMO energy levels of acceptors. Combining the aforesaid benefits, the ternary OSCs with 10 wt% Y6-1O produce a top-ranked power conversion efficiency (PCE) of 18.11% with simultaneously elevated short-circuit current density, open-circuit voltage, and fill factor in comparison to Y7-BO-based binary devices. Furthermore, the optimized ternary OSCs with ≈300 nm active layers obtain a champion PCE of 16.61%, which is the highest value for thick-film devices reported so far. This work puts forward an avenue for further boosting the performance of OSCs with two isogenous acceptors but different asymmetric structures. © 2022 Wiley-VCH GmbH.","archive":"Scopus","container-title":"Advanced Functional Materials","DOI":"10.1002/adfm.202200807","ISSN":"1616-301X","issue":"26","language":"English","source":"Scopus","title":"Isogenous Asymmetric–Symmetric Acceptors Enable Efficient Ternary Organic Solar Cells with Thin and 300 nm Thick Active Layers Simultaneously","volume":"32","author":[{"family":"Bai","given":"H.-R."},{"family":"An","given":"Q."},{"family":"Jiang","given":"M."},{"family":"Ryu","given":"H.S."},{"family":"Yang","given":"J."},{"family":"Zhou","given":"X.-J."},{"family":"Zhi","given":"H.-F."},{"family":"Yang","given":"C."},{"family":"Li","given":"X."},{"family":"Woo","given":"H.Y."},{"family":"Wang","given":"J.-L."}],"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[75]</w:t>
            </w:r>
            <w:r w:rsidRPr="00B55044">
              <w:rPr>
                <w:rFonts w:eastAsia="Times New Roman"/>
                <w:color w:val="0000FF"/>
                <w:sz w:val="16"/>
                <w:szCs w:val="16"/>
              </w:rPr>
              <w:fldChar w:fldCharType="end"/>
            </w:r>
          </w:p>
        </w:tc>
      </w:tr>
      <w:tr w:rsidR="00D47774" w:rsidRPr="00B55044" w14:paraId="4B6CA7C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9C199A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121</w:t>
            </w:r>
          </w:p>
        </w:tc>
        <w:tc>
          <w:tcPr>
            <w:tcW w:w="1525" w:type="pct"/>
            <w:tcBorders>
              <w:top w:val="single" w:sz="4" w:space="0" w:color="auto"/>
              <w:left w:val="nil"/>
              <w:bottom w:val="single" w:sz="4" w:space="0" w:color="auto"/>
              <w:right w:val="nil"/>
            </w:tcBorders>
            <w:shd w:val="clear" w:color="auto" w:fill="auto"/>
            <w:noWrap/>
            <w:vAlign w:val="bottom"/>
            <w:hideMark/>
          </w:tcPr>
          <w:p w14:paraId="0330D43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x</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034A2A6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PM6:Y6:TPE</w:t>
            </w:r>
          </w:p>
        </w:tc>
        <w:tc>
          <w:tcPr>
            <w:tcW w:w="379" w:type="pct"/>
            <w:tcBorders>
              <w:top w:val="single" w:sz="4" w:space="0" w:color="auto"/>
              <w:left w:val="nil"/>
              <w:bottom w:val="single" w:sz="4" w:space="0" w:color="auto"/>
              <w:right w:val="nil"/>
            </w:tcBorders>
            <w:shd w:val="clear" w:color="auto" w:fill="auto"/>
            <w:noWrap/>
            <w:vAlign w:val="bottom"/>
            <w:hideMark/>
          </w:tcPr>
          <w:p w14:paraId="4F4A9FB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w:t>
            </w:r>
          </w:p>
        </w:tc>
        <w:tc>
          <w:tcPr>
            <w:tcW w:w="379" w:type="pct"/>
            <w:tcBorders>
              <w:top w:val="single" w:sz="4" w:space="0" w:color="auto"/>
              <w:left w:val="nil"/>
              <w:bottom w:val="single" w:sz="4" w:space="0" w:color="auto"/>
              <w:right w:val="nil"/>
            </w:tcBorders>
            <w:shd w:val="clear" w:color="auto" w:fill="auto"/>
            <w:noWrap/>
            <w:vAlign w:val="bottom"/>
            <w:hideMark/>
          </w:tcPr>
          <w:p w14:paraId="7CDF2E6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26.46</w:t>
            </w:r>
          </w:p>
        </w:tc>
        <w:tc>
          <w:tcPr>
            <w:tcW w:w="378" w:type="pct"/>
            <w:tcBorders>
              <w:top w:val="single" w:sz="4" w:space="0" w:color="auto"/>
              <w:left w:val="nil"/>
              <w:bottom w:val="single" w:sz="4" w:space="0" w:color="auto"/>
              <w:right w:val="nil"/>
            </w:tcBorders>
            <w:shd w:val="clear" w:color="auto" w:fill="auto"/>
            <w:noWrap/>
            <w:vAlign w:val="bottom"/>
            <w:hideMark/>
          </w:tcPr>
          <w:p w14:paraId="1905388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75.51</w:t>
            </w:r>
          </w:p>
        </w:tc>
        <w:tc>
          <w:tcPr>
            <w:tcW w:w="381" w:type="pct"/>
            <w:tcBorders>
              <w:top w:val="single" w:sz="4" w:space="0" w:color="auto"/>
              <w:left w:val="nil"/>
              <w:bottom w:val="single" w:sz="4" w:space="0" w:color="auto"/>
              <w:right w:val="nil"/>
            </w:tcBorders>
            <w:shd w:val="clear" w:color="auto" w:fill="auto"/>
            <w:noWrap/>
            <w:vAlign w:val="bottom"/>
            <w:hideMark/>
          </w:tcPr>
          <w:p w14:paraId="78569BE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16.48</w:t>
            </w:r>
          </w:p>
        </w:tc>
        <w:tc>
          <w:tcPr>
            <w:tcW w:w="378" w:type="pct"/>
            <w:tcBorders>
              <w:top w:val="single" w:sz="4" w:space="0" w:color="auto"/>
              <w:left w:val="nil"/>
              <w:bottom w:val="single" w:sz="4" w:space="0" w:color="auto"/>
              <w:right w:val="nil"/>
            </w:tcBorders>
            <w:shd w:val="clear" w:color="auto" w:fill="auto"/>
            <w:noWrap/>
            <w:vAlign w:val="bottom"/>
            <w:hideMark/>
          </w:tcPr>
          <w:p w14:paraId="2DA91A8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{"citationID":"KTtte3xh","properties":{"formattedCitation":"[76]","plainCitation":"[76]","noteIndex":0},"citationItems":[{"id":577,"uris":["http://zotero.org/users/12909065/items/KEZ4EPGV"],"itemData":{"id":577,"type":"article-journal","abstract":"Despite producing the best device performances, several major issues such as the batch-to-batch variation and low molecular weight (M w) optimization greatly hinder the progress for the organic solar cells. Herein, tetraphenylethylene (TPE) as a third component has been added in a series of PM6:Y6 blends with different donor molecular weights (42–129 kDa). Ultimately, ternary devices fabricated by the PM6 with about half the M w (66 and 74 kDa) of the standard donor (129 kDa) produce an excellent power conversion efficiency (PCE) of 15.09% and 15.15% owing to enhanced morphology and charge mobility, as compared to a standard binary PCE of 15.65%, respectively, indicating the possibility of attaining high-performance attributes from low M w polymers. Furthermore, the TPE inclusion in the 129 kDa binary blend leads to a remarkable PCE of 16.48%. This strategy, therefore, illustrates a relatively simple approach to overcome the batch-to-batch variation problem associated with polymers for organic solar cells. © 2022 Wiley-VCH GmbH.","archive":"Scopus","container-title":"Solar RRL","DOI":"10.1002/solr.202101083","ISSN":"2367-198X","issue":"6","language":"English","source":"Scopus","title":"Utilizing Ternary Strategy to Reduce the Influence of Polymer Batch-to-Batch Variation in Organic Solar Cells","volume":"6","author":[{"family":"Adil","given":"M.A."},{"family":"Memon","given":"W.A."},{"family":"Zhang","given":"J."},{"family":"Iqbal","given":"M.J."},{"family":"Yang","given":"C."},{"family":"Wang","given":"Y."},{"family":"Zou","given":"W."},{"family":"Wei","given":"Z."}],"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[76]</w:t>
            </w:r>
            <w:r w:rsidRPr="00B55044">
              <w:rPr>
                <w:rFonts w:eastAsia="Times New Roman"/>
                <w:color w:val="0000FF"/>
                <w:sz w:val="16"/>
                <w:szCs w:val="16"/>
              </w:rPr>
              <w:fldChar w:fldCharType="end"/>
            </w:r>
          </w:p>
        </w:tc>
      </w:tr>
      <w:tr w:rsidR="00D47774" w:rsidRPr="00B55044" w14:paraId="35C6E18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26E6B1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122</w:t>
            </w:r>
          </w:p>
        </w:tc>
        <w:tc>
          <w:tcPr>
            <w:tcW w:w="1525" w:type="pct"/>
            <w:tcBorders>
              <w:top w:val="single" w:sz="4" w:space="0" w:color="auto"/>
              <w:left w:val="nil"/>
              <w:bottom w:val="single" w:sz="4" w:space="0" w:color="auto"/>
              <w:right w:val="nil"/>
            </w:tcBorders>
            <w:shd w:val="clear" w:color="auto" w:fill="auto"/>
            <w:noWrap/>
            <w:vAlign w:val="bottom"/>
            <w:hideMark/>
          </w:tcPr>
          <w:p w14:paraId="010F48B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ITO/PEDOT:PSS/AL/PDINO/Ag</w:t>
            </w:r>
          </w:p>
        </w:tc>
        <w:tc>
          <w:tcPr>
            <w:tcW w:w="1288" w:type="pct"/>
            <w:tcBorders>
              <w:top w:val="single" w:sz="4" w:space="0" w:color="auto"/>
              <w:left w:val="nil"/>
              <w:bottom w:val="single" w:sz="4" w:space="0" w:color="auto"/>
              <w:right w:val="nil"/>
            </w:tcBorders>
            <w:shd w:val="clear" w:color="auto" w:fill="auto"/>
            <w:noWrap/>
            <w:vAlign w:val="bottom"/>
            <w:hideMark/>
          </w:tcPr>
          <w:p w14:paraId="42657BE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PM6:BTP-ADA-eC9</w:t>
            </w:r>
          </w:p>
        </w:tc>
        <w:tc>
          <w:tcPr>
            <w:tcW w:w="379" w:type="pct"/>
            <w:tcBorders>
              <w:top w:val="single" w:sz="4" w:space="0" w:color="auto"/>
              <w:left w:val="nil"/>
              <w:bottom w:val="single" w:sz="4" w:space="0" w:color="auto"/>
              <w:right w:val="nil"/>
            </w:tcBorders>
            <w:shd w:val="clear" w:color="auto" w:fill="auto"/>
            <w:noWrap/>
            <w:vAlign w:val="bottom"/>
            <w:hideMark/>
          </w:tcPr>
          <w:p w14:paraId="4A4E5A0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0.859</w:t>
            </w:r>
          </w:p>
        </w:tc>
        <w:tc>
          <w:tcPr>
            <w:tcW w:w="379" w:type="pct"/>
            <w:tcBorders>
              <w:top w:val="single" w:sz="4" w:space="0" w:color="auto"/>
              <w:left w:val="nil"/>
              <w:bottom w:val="single" w:sz="4" w:space="0" w:color="auto"/>
              <w:right w:val="nil"/>
            </w:tcBorders>
            <w:shd w:val="clear" w:color="auto" w:fill="auto"/>
            <w:noWrap/>
            <w:vAlign w:val="bottom"/>
            <w:hideMark/>
          </w:tcPr>
          <w:p w14:paraId="3AE19EE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27.58</w:t>
            </w:r>
          </w:p>
        </w:tc>
        <w:tc>
          <w:tcPr>
            <w:tcW w:w="378" w:type="pct"/>
            <w:tcBorders>
              <w:top w:val="single" w:sz="4" w:space="0" w:color="auto"/>
              <w:left w:val="nil"/>
              <w:bottom w:val="single" w:sz="4" w:space="0" w:color="auto"/>
              <w:right w:val="nil"/>
            </w:tcBorders>
            <w:shd w:val="clear" w:color="auto" w:fill="auto"/>
            <w:noWrap/>
            <w:vAlign w:val="bottom"/>
            <w:hideMark/>
          </w:tcPr>
          <w:p w14:paraId="7C9AF41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77.34</w:t>
            </w:r>
          </w:p>
        </w:tc>
        <w:tc>
          <w:tcPr>
            <w:tcW w:w="381" w:type="pct"/>
            <w:tcBorders>
              <w:top w:val="single" w:sz="4" w:space="0" w:color="auto"/>
              <w:left w:val="nil"/>
              <w:bottom w:val="single" w:sz="4" w:space="0" w:color="auto"/>
              <w:right w:val="nil"/>
            </w:tcBorders>
            <w:shd w:val="clear" w:color="auto" w:fill="auto"/>
            <w:noWrap/>
            <w:vAlign w:val="bottom"/>
            <w:hideMark/>
          </w:tcPr>
          <w:p w14:paraId="5F93ECB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18.32</w:t>
            </w:r>
          </w:p>
        </w:tc>
        <w:tc>
          <w:tcPr>
            <w:tcW w:w="378" w:type="pct"/>
            <w:tcBorders>
              <w:top w:val="single" w:sz="4" w:space="0" w:color="auto"/>
              <w:left w:val="nil"/>
              <w:bottom w:val="single" w:sz="4" w:space="0" w:color="auto"/>
              <w:right w:val="nil"/>
            </w:tcBorders>
            <w:shd w:val="clear" w:color="auto" w:fill="auto"/>
            <w:noWrap/>
            <w:vAlign w:val="bottom"/>
            <w:hideMark/>
          </w:tcPr>
          <w:p w14:paraId="48EC8C1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{"citationID":"qTqk4tMn","properties":{"formattedCitation":"[77]","plainCitation":"[77]","noteIndex":0},"citationItems":[{"id":576,"uris":["http://zotero.org/users/12909065/items/G3KECQEZ"],"itemData":{"id":576,"type":"article-journal","abstract":"Although ternary organic solar cells (OSCs) have unique advantages in improving device performance, the morphology assembly in the ternary-phase would be more uncertain or complex than that in the binary-phase. Here, we propose a new concept of oligomer-assisted photoactive layers for high-performance OSCs. The formed alloy-like phase of the oligomer : host polymer blend enabled the oligomer-assisted OSCs to fuse the advantages of both binary and ternary devices, exhibiting substantially enhanced performance and stability compared to the control devices. With the addition of oligomers, outstanding efficiencies of 17.33 % for a PM6 : Y6 device, 18.32 % for a PM6 : BTP-eC9 device, and 17.13 % for a PM6/Y6 pseudo-bilayer device were achieved, all of which are one of the highest values in their corresponding fields. The improved performance originated from the downshift energy levels, enhanced light absorption, optimized blend morphology, favorable charge dynamics, and reduced non-radiative energy loss. © 2022 Wiley-VCH GmbH.","archive":"Scopus","container-title":"Angewandte Chemie - International Edition","DOI":"10.1002/anie.202200329","ISSN":"1433-7851","issue":"21","language":"English","source":"Scopus","title":"Oligomer-Assisted Photoactive Layers Enable &gt;18 % Efficiency of Organic Solar Cells","volume":"61","author":[{"family":"Cheng","given":"Y."},{"family":"Huang","given":"B."},{"family":"Huang","given":"X."},{"family":"Zhang","given":"L."},{"family":"Kim","given":"S."},{"family":"Xie","given":"Q."},{"family":"Liu","given":"C."},{"family":"Heumüller","given":"T."},{"family":"Liu","given":"Z."},{"family":"Zhang","given":"Y."},{"family":"Wu","given":"F."},{"family":"Yang","given":"C."},{"family":"Brabec","given":"C.J."},{"family":"Chen","given":"Y."},{"family":"Chen","given":"L."}],"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[77]</w:t>
            </w:r>
            <w:r w:rsidRPr="00B55044">
              <w:rPr>
                <w:rFonts w:eastAsia="Times New Roman"/>
                <w:color w:val="0000FF"/>
                <w:sz w:val="16"/>
                <w:szCs w:val="16"/>
              </w:rPr>
              <w:fldChar w:fldCharType="end"/>
            </w:r>
          </w:p>
        </w:tc>
      </w:tr>
      <w:tr w:rsidR="00D47774" w:rsidRPr="00B55044" w14:paraId="1B3A70C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9C731C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123</w:t>
            </w:r>
          </w:p>
        </w:tc>
        <w:tc>
          <w:tcPr>
            <w:tcW w:w="1525" w:type="pct"/>
            <w:tcBorders>
              <w:top w:val="single" w:sz="4" w:space="0" w:color="auto"/>
              <w:left w:val="nil"/>
              <w:bottom w:val="single" w:sz="4" w:space="0" w:color="auto"/>
              <w:right w:val="nil"/>
            </w:tcBorders>
            <w:shd w:val="clear" w:color="auto" w:fill="auto"/>
            <w:noWrap/>
            <w:vAlign w:val="bottom"/>
            <w:hideMark/>
          </w:tcPr>
          <w:p w14:paraId="59CDF7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4D92A55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PM6:Y6:SN</w:t>
            </w:r>
          </w:p>
        </w:tc>
        <w:tc>
          <w:tcPr>
            <w:tcW w:w="379" w:type="pct"/>
            <w:tcBorders>
              <w:top w:val="single" w:sz="4" w:space="0" w:color="auto"/>
              <w:left w:val="nil"/>
              <w:bottom w:val="single" w:sz="4" w:space="0" w:color="auto"/>
              <w:right w:val="nil"/>
            </w:tcBorders>
            <w:shd w:val="clear" w:color="auto" w:fill="auto"/>
            <w:noWrap/>
            <w:vAlign w:val="bottom"/>
            <w:hideMark/>
          </w:tcPr>
          <w:p w14:paraId="0DDEE88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w:t>
            </w:r>
          </w:p>
        </w:tc>
        <w:tc>
          <w:tcPr>
            <w:tcW w:w="379" w:type="pct"/>
            <w:tcBorders>
              <w:top w:val="single" w:sz="4" w:space="0" w:color="auto"/>
              <w:left w:val="nil"/>
              <w:bottom w:val="single" w:sz="4" w:space="0" w:color="auto"/>
              <w:right w:val="nil"/>
            </w:tcBorders>
            <w:shd w:val="clear" w:color="auto" w:fill="auto"/>
            <w:noWrap/>
            <w:vAlign w:val="bottom"/>
            <w:hideMark/>
          </w:tcPr>
          <w:p w14:paraId="3B8C6E8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27.63</w:t>
            </w:r>
          </w:p>
        </w:tc>
        <w:tc>
          <w:tcPr>
            <w:tcW w:w="378" w:type="pct"/>
            <w:tcBorders>
              <w:top w:val="single" w:sz="4" w:space="0" w:color="auto"/>
              <w:left w:val="nil"/>
              <w:bottom w:val="single" w:sz="4" w:space="0" w:color="auto"/>
              <w:right w:val="nil"/>
            </w:tcBorders>
            <w:shd w:val="clear" w:color="auto" w:fill="auto"/>
            <w:noWrap/>
            <w:vAlign w:val="bottom"/>
            <w:hideMark/>
          </w:tcPr>
          <w:p w14:paraId="1578C37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75.9</w:t>
            </w:r>
          </w:p>
        </w:tc>
        <w:tc>
          <w:tcPr>
            <w:tcW w:w="381" w:type="pct"/>
            <w:tcBorders>
              <w:top w:val="single" w:sz="4" w:space="0" w:color="auto"/>
              <w:left w:val="nil"/>
              <w:bottom w:val="single" w:sz="4" w:space="0" w:color="auto"/>
              <w:right w:val="nil"/>
            </w:tcBorders>
            <w:shd w:val="clear" w:color="auto" w:fill="auto"/>
            <w:noWrap/>
            <w:vAlign w:val="bottom"/>
            <w:hideMark/>
          </w:tcPr>
          <w:p w14:paraId="54EFED0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17.5</w:t>
            </w:r>
          </w:p>
        </w:tc>
        <w:tc>
          <w:tcPr>
            <w:tcW w:w="378" w:type="pct"/>
            <w:tcBorders>
              <w:top w:val="single" w:sz="4" w:space="0" w:color="auto"/>
              <w:left w:val="nil"/>
              <w:bottom w:val="single" w:sz="4" w:space="0" w:color="auto"/>
              <w:right w:val="nil"/>
            </w:tcBorders>
            <w:shd w:val="clear" w:color="auto" w:fill="auto"/>
            <w:noWrap/>
            <w:vAlign w:val="bottom"/>
            <w:hideMark/>
          </w:tcPr>
          <w:p w14:paraId="1364C08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{"citationID":"0Y1FPXFT","properties":{"formattedCitation":"[78]","plainCitation":"[78]","noteIndex":0},"citationItems":[{"id":575,"uris":["http://zotero.org/users/12909065/items/VKNNBHZN"],"itemData":{"id":575,"type":"article-journal","abstract":"Semitransparent organic solar cells (ST-OSCs) are considered as one of the most valuable applications of OSCs and a strong contender in the market. However, the optical band gap of current high-performance ST-OSCs is still not low enough to achieve the optimal balance between power conversion efficiency (PCE) and average visible transmittance (AVT). An N-substituted asymmetric nonfullerene acceptor SN with over 40 nm bathochromically shifted absorption compared to Y6 was designed and synthesized, based on which the device with PM6 as donor obtained a PCE of 14.3 %, accompanied with a nonradiative voltage loss as low as 0.15 eV. Meanwhile, ternary devices with the addition of SN into PM6 : Y6 can achieve a PCE of 17.5 % with an unchanged open-circuit voltage and improved short-circuit current. Benefiting from extended NIR absorption and lowered voltage loss, ST-OSCs based on PM6 : SN : Y6 were fabricated and the optimized device demonstrated a PCE of 14.0 % at an AVT of 20.2 %, which is the highest PCE at an AVT over 20 %. © 2021 Wiley-VCH GmbH.","archive":"Scopus","container-title":"Angewandte Chemie - International Edition","DOI":"10.1002/anie.202116111","ISSN":"1433-7851","issue":"19","language":"English","source":"Scopus","title":"Design of Near-Infrared Nonfullerene Acceptor with Ultralow Nonradiative Voltage Loss for High-Performance Semitransparent Ternary Organic Solar Cells","volume":"61","author":[{"family":"Liu","given":"W."},{"family":"Sun","given":"S."},{"family":"Zhou","given":"L."},{"family":"Cui","given":"Y."},{"family":"Zhang","given":"W."},{"family":"Hou","given":"J."},{"family":"Liu","given":"F."},{"family":"Xu","given":"S."},{"family":"Zhu","given":"X."}],"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[78]</w:t>
            </w:r>
            <w:r w:rsidRPr="00B55044">
              <w:rPr>
                <w:rFonts w:eastAsia="Times New Roman"/>
                <w:color w:val="0000FF"/>
                <w:sz w:val="16"/>
                <w:szCs w:val="16"/>
              </w:rPr>
              <w:fldChar w:fldCharType="end"/>
            </w:r>
          </w:p>
        </w:tc>
      </w:tr>
      <w:tr w:rsidR="00D47774" w:rsidRPr="00B55044" w14:paraId="66615BE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C05608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124</w:t>
            </w:r>
          </w:p>
        </w:tc>
        <w:tc>
          <w:tcPr>
            <w:tcW w:w="1525" w:type="pct"/>
            <w:tcBorders>
              <w:top w:val="single" w:sz="4" w:space="0" w:color="auto"/>
              <w:left w:val="nil"/>
              <w:bottom w:val="single" w:sz="4" w:space="0" w:color="auto"/>
              <w:right w:val="nil"/>
            </w:tcBorders>
            <w:shd w:val="clear" w:color="auto" w:fill="auto"/>
            <w:noWrap/>
            <w:vAlign w:val="bottom"/>
            <w:hideMark/>
          </w:tcPr>
          <w:p w14:paraId="6555EE6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2CA7651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 BTID-2F:Y6</w:t>
            </w:r>
          </w:p>
        </w:tc>
        <w:tc>
          <w:tcPr>
            <w:tcW w:w="379" w:type="pct"/>
            <w:tcBorders>
              <w:top w:val="single" w:sz="4" w:space="0" w:color="auto"/>
              <w:left w:val="nil"/>
              <w:bottom w:val="single" w:sz="4" w:space="0" w:color="auto"/>
              <w:right w:val="nil"/>
            </w:tcBorders>
            <w:shd w:val="clear" w:color="auto" w:fill="auto"/>
            <w:noWrap/>
            <w:vAlign w:val="bottom"/>
            <w:hideMark/>
          </w:tcPr>
          <w:p w14:paraId="2CDF143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0.848</w:t>
            </w:r>
          </w:p>
        </w:tc>
        <w:tc>
          <w:tcPr>
            <w:tcW w:w="379" w:type="pct"/>
            <w:tcBorders>
              <w:top w:val="single" w:sz="4" w:space="0" w:color="auto"/>
              <w:left w:val="nil"/>
              <w:bottom w:val="single" w:sz="4" w:space="0" w:color="auto"/>
              <w:right w:val="nil"/>
            </w:tcBorders>
            <w:shd w:val="clear" w:color="auto" w:fill="auto"/>
            <w:noWrap/>
            <w:vAlign w:val="bottom"/>
            <w:hideMark/>
          </w:tcPr>
          <w:p w14:paraId="0517D73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27.66</w:t>
            </w:r>
          </w:p>
        </w:tc>
        <w:tc>
          <w:tcPr>
            <w:tcW w:w="378" w:type="pct"/>
            <w:tcBorders>
              <w:top w:val="single" w:sz="4" w:space="0" w:color="auto"/>
              <w:left w:val="nil"/>
              <w:bottom w:val="single" w:sz="4" w:space="0" w:color="auto"/>
              <w:right w:val="nil"/>
            </w:tcBorders>
            <w:shd w:val="clear" w:color="auto" w:fill="auto"/>
            <w:noWrap/>
            <w:vAlign w:val="bottom"/>
            <w:hideMark/>
          </w:tcPr>
          <w:p w14:paraId="7EA8A3F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76.36</w:t>
            </w:r>
          </w:p>
        </w:tc>
        <w:tc>
          <w:tcPr>
            <w:tcW w:w="381" w:type="pct"/>
            <w:tcBorders>
              <w:top w:val="single" w:sz="4" w:space="0" w:color="auto"/>
              <w:left w:val="nil"/>
              <w:bottom w:val="single" w:sz="4" w:space="0" w:color="auto"/>
              <w:right w:val="nil"/>
            </w:tcBorders>
            <w:shd w:val="clear" w:color="auto" w:fill="auto"/>
            <w:noWrap/>
            <w:vAlign w:val="bottom"/>
            <w:hideMark/>
          </w:tcPr>
          <w:p w14:paraId="26A6F0A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17.98</w:t>
            </w:r>
          </w:p>
        </w:tc>
        <w:tc>
          <w:tcPr>
            <w:tcW w:w="378" w:type="pct"/>
            <w:tcBorders>
              <w:top w:val="single" w:sz="4" w:space="0" w:color="auto"/>
              <w:left w:val="nil"/>
              <w:bottom w:val="single" w:sz="4" w:space="0" w:color="auto"/>
              <w:right w:val="nil"/>
            </w:tcBorders>
            <w:shd w:val="clear" w:color="auto" w:fill="auto"/>
            <w:noWrap/>
            <w:vAlign w:val="bottom"/>
            <w:hideMark/>
          </w:tcPr>
          <w:p w14:paraId="6D6C14A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{"citationID":"2WIfejw0","properties":{"formattedCitation":"[79]","plainCitation":"[79]","noteIndex":0},"citationItems":[{"id":574,"uris":["http://zotero.org/users/12909065/items/3D8HG8FQ"],"itemData":{"id":574,"type":"article-journal","abstract":"Ternary architecture is a promising strategy to further boost the performance of organic solar cells (OSCs). Reducing the bandgap of the active layer materials not only widens the absorption wavelength range and enhances the short-circuit current (Jsc) of the OSC, but also decreases the open-circuit voltage (Voc) of the device, leading to a trade-off situation for the optimization of the material system. Herein, a small-molecule donor BTID-2F, featuring a narrower bandgap than that of PM6, is introduced into a PM6:Y6 based system. The redshift in external quantum efficiency indicates the narrower bandgap and better aggregation in the ternary blends than those of binary ones. Interestingly, lower energy disorder and energy loss are also attained for the ternary devices, leading to higher Voc. Furthermore, owing to the suppressed recombination and morphological optimization, a simultaneous enhancement in the Jsc and fill factor boosts the power conversion efficiency (PCE) of ternary OSC to 17.9% compared to 16.62% for the binary device. Likewise, replacing the acceptor with the L8-BO molecule further improves the ternary PCE to 18.52%. This work indicates an emerging approach for fabricating high-performance ternary OSCs with a decreased bandgap and increased Voc. © 2022 Wiley-VCH GmbH.","archive":"Scopus","container-title":"Advanced Energy Materials","DOI":"10.1002/aenm.202200129","ISSN":"1614-6832","issue":"20","language":"English","source":"Scopus","title":"Simultaneously Decreasing the Bandgap and Voc Loss in Efficient Ternary Organic Solar Cells","volume":"12","author":[{"family":"Yan","given":"Y."},{"family":"Zhang","given":"Y."},{"family":"Liu","given":"Y."},{"family":"Shi","given":"Y."},{"family":"Qiu","given":"D."},{"family":"Deng","given":"D."},{"family":"Zhang","given":"J."},{"family":"Wang","given":"B."},{"family":"Adil","given":"M.A."},{"family":"Amin","given":"K."},{"family":"Memon","given":"W.A."},{"family":"Wang","given":"M."},{"family":"Zhou","given":"H."},{"family":"Zhang","given":"X."},{"family":"Wei","given":"Z."}],"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[79]</w:t>
            </w:r>
            <w:r w:rsidRPr="00B55044">
              <w:rPr>
                <w:rFonts w:eastAsia="Times New Roman"/>
                <w:color w:val="0000FF"/>
                <w:sz w:val="16"/>
                <w:szCs w:val="16"/>
              </w:rPr>
              <w:fldChar w:fldCharType="end"/>
            </w:r>
          </w:p>
        </w:tc>
      </w:tr>
      <w:tr w:rsidR="00D47774" w:rsidRPr="00B55044" w14:paraId="75D5B75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00EA17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125</w:t>
            </w:r>
          </w:p>
        </w:tc>
        <w:tc>
          <w:tcPr>
            <w:tcW w:w="1525" w:type="pct"/>
            <w:tcBorders>
              <w:top w:val="single" w:sz="4" w:space="0" w:color="auto"/>
              <w:left w:val="nil"/>
              <w:bottom w:val="single" w:sz="4" w:space="0" w:color="auto"/>
              <w:right w:val="nil"/>
            </w:tcBorders>
            <w:shd w:val="clear" w:color="auto" w:fill="auto"/>
            <w:noWrap/>
            <w:vAlign w:val="bottom"/>
            <w:hideMark/>
          </w:tcPr>
          <w:p w14:paraId="0C559DE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4B96DBC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 BTID-2F:L8-BO</w:t>
            </w:r>
          </w:p>
        </w:tc>
        <w:tc>
          <w:tcPr>
            <w:tcW w:w="379" w:type="pct"/>
            <w:tcBorders>
              <w:top w:val="single" w:sz="4" w:space="0" w:color="auto"/>
              <w:left w:val="nil"/>
              <w:bottom w:val="single" w:sz="4" w:space="0" w:color="auto"/>
              <w:right w:val="nil"/>
            </w:tcBorders>
            <w:shd w:val="clear" w:color="auto" w:fill="auto"/>
            <w:noWrap/>
            <w:vAlign w:val="bottom"/>
            <w:hideMark/>
          </w:tcPr>
          <w:p w14:paraId="7579C0E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0.889</w:t>
            </w:r>
          </w:p>
        </w:tc>
        <w:tc>
          <w:tcPr>
            <w:tcW w:w="379" w:type="pct"/>
            <w:tcBorders>
              <w:top w:val="single" w:sz="4" w:space="0" w:color="auto"/>
              <w:left w:val="nil"/>
              <w:bottom w:val="single" w:sz="4" w:space="0" w:color="auto"/>
              <w:right w:val="nil"/>
            </w:tcBorders>
            <w:shd w:val="clear" w:color="auto" w:fill="auto"/>
            <w:noWrap/>
            <w:vAlign w:val="bottom"/>
            <w:hideMark/>
          </w:tcPr>
          <w:p w14:paraId="5AEB0BF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26.86</w:t>
            </w:r>
          </w:p>
        </w:tc>
        <w:tc>
          <w:tcPr>
            <w:tcW w:w="378" w:type="pct"/>
            <w:tcBorders>
              <w:top w:val="single" w:sz="4" w:space="0" w:color="auto"/>
              <w:left w:val="nil"/>
              <w:bottom w:val="single" w:sz="4" w:space="0" w:color="auto"/>
              <w:right w:val="nil"/>
            </w:tcBorders>
            <w:shd w:val="clear" w:color="auto" w:fill="auto"/>
            <w:noWrap/>
            <w:vAlign w:val="bottom"/>
            <w:hideMark/>
          </w:tcPr>
          <w:p w14:paraId="063670F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77.52</w:t>
            </w:r>
          </w:p>
        </w:tc>
        <w:tc>
          <w:tcPr>
            <w:tcW w:w="381" w:type="pct"/>
            <w:tcBorders>
              <w:top w:val="single" w:sz="4" w:space="0" w:color="auto"/>
              <w:left w:val="nil"/>
              <w:bottom w:val="single" w:sz="4" w:space="0" w:color="auto"/>
              <w:right w:val="nil"/>
            </w:tcBorders>
            <w:shd w:val="clear" w:color="auto" w:fill="auto"/>
            <w:noWrap/>
            <w:vAlign w:val="bottom"/>
            <w:hideMark/>
          </w:tcPr>
          <w:p w14:paraId="7198D86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18.52</w:t>
            </w:r>
          </w:p>
        </w:tc>
        <w:tc>
          <w:tcPr>
            <w:tcW w:w="378" w:type="pct"/>
            <w:tcBorders>
              <w:top w:val="single" w:sz="4" w:space="0" w:color="auto"/>
              <w:left w:val="nil"/>
              <w:bottom w:val="single" w:sz="4" w:space="0" w:color="auto"/>
              <w:right w:val="nil"/>
            </w:tcBorders>
            <w:shd w:val="clear" w:color="auto" w:fill="auto"/>
            <w:noWrap/>
            <w:vAlign w:val="bottom"/>
            <w:hideMark/>
          </w:tcPr>
          <w:p w14:paraId="0FB38A8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{"citationID":"EomtsA7d","properties":{"formattedCitation":"[79]","plainCitation":"[79]","noteIndex":0},"citationItems":[{"id":574,"uris":["http://zotero.org/users/12909065/items/3D8HG8FQ"],"itemData":{"id":574,"type":"article-journal","abstract":"Ternary architecture is a promising strategy to further boost the performance of organic solar cells (OSCs). Reducing the bandgap of the active layer materials not only widens the absorption wavelength range and enhances the short-circuit current (Jsc) of the OSC, but also decreases the open-circuit voltage (Voc) of the device, leading to a trade-off situation for the optimization of the material system. Herein, a small-molecule donor BTID-2F, featuring a narrower bandgap than that of PM6, is introduced into a PM6:Y6 based system. The redshift in external quantum efficiency indicates the narrower bandgap and better aggregation in the ternary blends than those of binary ones. Interestingly, lower energy disorder and energy loss are also attained for the ternary devices, leading to higher Voc. Furthermore, owing to the suppressed recombination and morphological optimization, a simultaneous enhancement in the Jsc and fill factor boosts the power conversion efficiency (PCE) of ternary OSC to 17.9% compared to 16.62% for the binary device. Likewise, replacing the acceptor with the L8-BO molecule further improves the ternary PCE to 18.52%. This work indicates an emerging approach for fabricating high-performance ternary OSCs with a decreased bandgap and increased Voc. © 2022 Wiley-VCH GmbH.","archive":"Scopus","container-title":"Advanced Energy Materials","DOI":"10.1002/aenm.202200129","ISSN":"1614-6832","issue":"20","language":"English","source":"Scopus","title":"Simultaneously Decreasing the Bandgap and Voc Loss in Efficient Ternary Organic Solar Cells","volume":"12","author":[{"family":"Yan","given":"Y."},{"family":"Zhang","given":"Y."},{"family":"Liu","given":"Y."},{"family":"Shi","given":"Y."},{"family":"Qiu","given":"D."},{"family":"Deng","given":"D."},{"family":"Zhang","given":"J."},{"family":"Wang","given":"B."},{"family":"Adil","given":"M.A."},{"family":"Amin","given":"K."},{"family":"Memon","given":"W.A."},{"family":"Wang","given":"M."},{"family":"Zhou","given":"H."},{"family":"Zhang","given":"X."},{"family":"Wei","given":"Z."}],"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[79]</w:t>
            </w:r>
            <w:r w:rsidRPr="00B55044">
              <w:rPr>
                <w:rFonts w:eastAsia="Times New Roman"/>
                <w:color w:val="0000FF"/>
                <w:sz w:val="16"/>
                <w:szCs w:val="16"/>
              </w:rPr>
              <w:fldChar w:fldCharType="end"/>
            </w:r>
          </w:p>
        </w:tc>
      </w:tr>
      <w:tr w:rsidR="00D47774" w:rsidRPr="00B55044" w14:paraId="5831DFE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2E7E9E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126</w:t>
            </w:r>
          </w:p>
        </w:tc>
        <w:tc>
          <w:tcPr>
            <w:tcW w:w="1525" w:type="pct"/>
            <w:tcBorders>
              <w:top w:val="single" w:sz="4" w:space="0" w:color="auto"/>
              <w:left w:val="nil"/>
              <w:bottom w:val="single" w:sz="4" w:space="0" w:color="auto"/>
              <w:right w:val="nil"/>
            </w:tcBorders>
            <w:shd w:val="clear" w:color="auto" w:fill="auto"/>
            <w:noWrap/>
            <w:vAlign w:val="bottom"/>
            <w:hideMark/>
          </w:tcPr>
          <w:p w14:paraId="36047C6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ITO/PEDOT:PSS/AL/PDIN/Ag</w:t>
            </w:r>
          </w:p>
        </w:tc>
        <w:tc>
          <w:tcPr>
            <w:tcW w:w="1288" w:type="pct"/>
            <w:tcBorders>
              <w:top w:val="single" w:sz="4" w:space="0" w:color="auto"/>
              <w:left w:val="nil"/>
              <w:bottom w:val="single" w:sz="4" w:space="0" w:color="auto"/>
              <w:right w:val="nil"/>
            </w:tcBorders>
            <w:shd w:val="clear" w:color="auto" w:fill="auto"/>
            <w:noWrap/>
            <w:vAlign w:val="bottom"/>
            <w:hideMark/>
          </w:tcPr>
          <w:p w14:paraId="6525A4E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PM6:BO-4Cl:p-BAIDIC</w:t>
            </w:r>
          </w:p>
        </w:tc>
        <w:tc>
          <w:tcPr>
            <w:tcW w:w="379" w:type="pct"/>
            <w:tcBorders>
              <w:top w:val="single" w:sz="4" w:space="0" w:color="auto"/>
              <w:left w:val="nil"/>
              <w:bottom w:val="single" w:sz="4" w:space="0" w:color="auto"/>
              <w:right w:val="nil"/>
            </w:tcBorders>
            <w:shd w:val="clear" w:color="auto" w:fill="auto"/>
            <w:noWrap/>
            <w:vAlign w:val="bottom"/>
            <w:hideMark/>
          </w:tcPr>
          <w:p w14:paraId="70342D2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0.875</w:t>
            </w:r>
          </w:p>
        </w:tc>
        <w:tc>
          <w:tcPr>
            <w:tcW w:w="379" w:type="pct"/>
            <w:tcBorders>
              <w:top w:val="single" w:sz="4" w:space="0" w:color="auto"/>
              <w:left w:val="nil"/>
              <w:bottom w:val="single" w:sz="4" w:space="0" w:color="auto"/>
              <w:right w:val="nil"/>
            </w:tcBorders>
            <w:shd w:val="clear" w:color="auto" w:fill="auto"/>
            <w:noWrap/>
            <w:vAlign w:val="bottom"/>
            <w:hideMark/>
          </w:tcPr>
          <w:p w14:paraId="1CB5E97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w:t>
            </w:r>
          </w:p>
        </w:tc>
        <w:tc>
          <w:tcPr>
            <w:tcW w:w="378" w:type="pct"/>
            <w:tcBorders>
              <w:top w:val="single" w:sz="4" w:space="0" w:color="auto"/>
              <w:left w:val="nil"/>
              <w:bottom w:val="single" w:sz="4" w:space="0" w:color="auto"/>
              <w:right w:val="nil"/>
            </w:tcBorders>
            <w:shd w:val="clear" w:color="auto" w:fill="auto"/>
            <w:noWrap/>
            <w:vAlign w:val="bottom"/>
            <w:hideMark/>
          </w:tcPr>
          <w:p w14:paraId="09CA7D6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77.2</w:t>
            </w:r>
          </w:p>
        </w:tc>
        <w:tc>
          <w:tcPr>
            <w:tcW w:w="381" w:type="pct"/>
            <w:tcBorders>
              <w:top w:val="single" w:sz="4" w:space="0" w:color="auto"/>
              <w:left w:val="nil"/>
              <w:bottom w:val="single" w:sz="4" w:space="0" w:color="auto"/>
              <w:right w:val="nil"/>
            </w:tcBorders>
            <w:shd w:val="clear" w:color="auto" w:fill="auto"/>
            <w:noWrap/>
            <w:vAlign w:val="bottom"/>
            <w:hideMark/>
          </w:tcPr>
          <w:p w14:paraId="383AC0D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17.6</w:t>
            </w:r>
          </w:p>
        </w:tc>
        <w:tc>
          <w:tcPr>
            <w:tcW w:w="378" w:type="pct"/>
            <w:tcBorders>
              <w:top w:val="single" w:sz="4" w:space="0" w:color="auto"/>
              <w:left w:val="nil"/>
              <w:bottom w:val="single" w:sz="4" w:space="0" w:color="auto"/>
              <w:right w:val="nil"/>
            </w:tcBorders>
            <w:shd w:val="clear" w:color="auto" w:fill="auto"/>
            <w:noWrap/>
            <w:vAlign w:val="bottom"/>
            <w:hideMark/>
          </w:tcPr>
          <w:p w14:paraId="41042CA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{"citationID":"utMHc9eJ","properties":{"formattedCitation":"[80]","plainCitation":"[80]","noteIndex":0},"citationItems":[{"id":573,"uris":["http://zotero.org/users/12909065/items/N5ET9XPJ"],"itemData":{"id":573,"type":"article-journal","abstract":"Two new fused-ring electron acceptor (FREA) isomers with nonlinear and linear molecular conformation, m-BAIDIC and p-BAIDIC, are designed and synthesized. Despite the similar light absorption range and energy levels, the two isomers exhibit distinct electron reorganization energies and molecular packing motifs, which are directly related to the molecular conformation. Compared with the nonlinear acceptor, the linear p-BAIDIC shows more ordered molecular packing and higher crystallinity. Furthermore, p-BAIDIC-based devices exhibit reduced nonradiative energy loss and improved charge transport mobilities. It is beneficial to enhance the open-circuit voltage (VOC) and short-current current density (JSC) of the devices. Therefore, the linear FREA, p-BAIDIC yields a relatively higher efficiency of 7.71% in the binary device with PM6, in comparison with the nonlinear m-BAIDIC. When p-BAIDIC is incorporated into the binary PM6/BO-4Cl system to form a ternary system, synergistic enhancements in VOC, JSC, fill factor (FF), and ultimately a high efficiency of 17.6% are achieved. © 2022 The Authors. Advanced Science published by Wiley-VCH GmbH.","archive":"Scopus","container-title":"Advanced Science","DOI":"10.1002/advs.202103428","ISSN":"2198-3844","issue":"15","language":"English","source":"Scopus","title":"Revealing the Sole Impact of Acceptor's Molecular Conformation to Energy Loss and Device Performance of Organic Solar Cells through Positional Isomers","volume":"9","author":[{"family":"Cai","given":"G."},{"family":"Chen","given":"Z."},{"family":"Li","given":"M."},{"family":"Li","given":"Y."},{"family":"Xue","given":"P."},{"family":"Cao","given":"Q."},{"family":"Chi","given":"W."},{"family":"Liu","given":"H."},{"family":"Xia","given":"X."},{"family":"An","given":"Q."},{"family":"Tang","given":"Z."},{"family":"Zhu","given":"H."},{"family":"Zhan","given":"X."},{"family":"Lu","given":"X."}],"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[80]</w:t>
            </w:r>
            <w:r w:rsidRPr="00B55044">
              <w:rPr>
                <w:rFonts w:eastAsia="Times New Roman"/>
                <w:color w:val="0000FF"/>
                <w:sz w:val="16"/>
                <w:szCs w:val="16"/>
              </w:rPr>
              <w:fldChar w:fldCharType="end"/>
            </w:r>
          </w:p>
        </w:tc>
      </w:tr>
      <w:tr w:rsidR="00D47774" w:rsidRPr="00B55044" w14:paraId="741D218B" w14:textId="77777777" w:rsidTr="00242AA5">
        <w:trPr>
          <w:trHeight w:val="375"/>
        </w:trPr>
        <w:tc>
          <w:tcPr>
            <w:tcW w:w="293" w:type="pct"/>
            <w:tcBorders>
              <w:top w:val="single" w:sz="4" w:space="0" w:color="auto"/>
              <w:left w:val="nil"/>
              <w:bottom w:val="single" w:sz="4" w:space="0" w:color="auto"/>
              <w:right w:val="nil"/>
            </w:tcBorders>
            <w:shd w:val="clear" w:color="auto" w:fill="auto"/>
            <w:noWrap/>
            <w:vAlign w:val="bottom"/>
            <w:hideMark/>
          </w:tcPr>
          <w:p w14:paraId="0C66931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127</w:t>
            </w:r>
          </w:p>
        </w:tc>
        <w:tc>
          <w:tcPr>
            <w:tcW w:w="1525" w:type="pct"/>
            <w:tcBorders>
              <w:top w:val="single" w:sz="4" w:space="0" w:color="auto"/>
              <w:left w:val="nil"/>
              <w:bottom w:val="single" w:sz="4" w:space="0" w:color="auto"/>
              <w:right w:val="nil"/>
            </w:tcBorders>
            <w:shd w:val="clear" w:color="auto" w:fill="auto"/>
            <w:noWrap/>
            <w:vAlign w:val="bottom"/>
            <w:hideMark/>
          </w:tcPr>
          <w:p w14:paraId="5625460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6EFC334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PM6:PY-IT:PC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5C477E6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0.942</w:t>
            </w:r>
          </w:p>
        </w:tc>
        <w:tc>
          <w:tcPr>
            <w:tcW w:w="379" w:type="pct"/>
            <w:tcBorders>
              <w:top w:val="single" w:sz="4" w:space="0" w:color="auto"/>
              <w:left w:val="nil"/>
              <w:bottom w:val="single" w:sz="4" w:space="0" w:color="auto"/>
              <w:right w:val="nil"/>
            </w:tcBorders>
            <w:shd w:val="clear" w:color="auto" w:fill="auto"/>
            <w:noWrap/>
            <w:vAlign w:val="bottom"/>
            <w:hideMark/>
          </w:tcPr>
          <w:p w14:paraId="3DCA542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25.06</w:t>
            </w:r>
          </w:p>
        </w:tc>
        <w:tc>
          <w:tcPr>
            <w:tcW w:w="378" w:type="pct"/>
            <w:tcBorders>
              <w:top w:val="single" w:sz="4" w:space="0" w:color="auto"/>
              <w:left w:val="nil"/>
              <w:bottom w:val="single" w:sz="4" w:space="0" w:color="auto"/>
              <w:right w:val="nil"/>
            </w:tcBorders>
            <w:shd w:val="clear" w:color="auto" w:fill="auto"/>
            <w:noWrap/>
            <w:vAlign w:val="bottom"/>
            <w:hideMark/>
          </w:tcPr>
          <w:p w14:paraId="160AF7E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69.27</w:t>
            </w:r>
          </w:p>
        </w:tc>
        <w:tc>
          <w:tcPr>
            <w:tcW w:w="381" w:type="pct"/>
            <w:tcBorders>
              <w:top w:val="single" w:sz="4" w:space="0" w:color="auto"/>
              <w:left w:val="nil"/>
              <w:bottom w:val="single" w:sz="4" w:space="0" w:color="auto"/>
              <w:right w:val="nil"/>
            </w:tcBorders>
            <w:shd w:val="clear" w:color="auto" w:fill="auto"/>
            <w:noWrap/>
            <w:vAlign w:val="bottom"/>
            <w:hideMark/>
          </w:tcPr>
          <w:p w14:paraId="3DD4C79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16.36</w:t>
            </w:r>
          </w:p>
        </w:tc>
        <w:tc>
          <w:tcPr>
            <w:tcW w:w="378" w:type="pct"/>
            <w:tcBorders>
              <w:top w:val="single" w:sz="4" w:space="0" w:color="auto"/>
              <w:left w:val="nil"/>
              <w:bottom w:val="single" w:sz="4" w:space="0" w:color="auto"/>
              <w:right w:val="nil"/>
            </w:tcBorders>
            <w:shd w:val="clear" w:color="auto" w:fill="auto"/>
            <w:noWrap/>
            <w:vAlign w:val="bottom"/>
            <w:hideMark/>
          </w:tcPr>
          <w:p w14:paraId="26FA871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{"citationID":"TKQmV5V4","properties":{"formattedCitation":"[81]","plainCitation":"[81]","noteIndex":0},"citationItems":[{"id":572,"uris":["http://zotero.org/users/12909065/items/76KDHKW8"],"itemData":{"id":572,"type":"article-journal","abstract":"Organic solar cells (OSCs) based on highly efficient non-fullerene acceptors (NFAs) have recently developed rapidly, and achieved effective charge separation and high open-circuit voltage (VOC) under low driving force. Nonetheless, the low driving force inescapably reduces the short-circuit current (JSC) and potentially restricts the improvement of external quantum efficiency (EQE). Herein, we introduce the fullerene acceptor PC71BM into the efficient NFA system. And the PM6:PY-IT system is selected as a typical NFA system for its high VOC above 0.90 V. Benefiting from the deeper energy level, excellent electron transport characteristic, and unique spherical structure of PC71BM, the driving force for charge transfer is effectively improved. Accordingly, the ternary OSC based on PM6:PY-IT:PC71BM demonstrates a high efficiency of 16.36%, a much-enhanced JSC of 25.06 mA cm−2, and the maximum EQE value is successfully increased to 87%, which is superior to binary OSC (efficiency of 14.84%, JSC of 23.10 mA cm−2 and maximum EQE value of 80%). Meanwhile, the introduction of PC71BM improves the molecular stacking structure, resulting in excellent stability in non-encapsulated ternary OSCs, which retain 80% initial efficiency after 6 h of continuous illumination treatment and 85% initial efficiency after 33 days of storage (the efficiencies decrease to 68% and 76% respectively in binary OSCs). In addition, similar conclusions can be drawn in another classical NFA system PM6:Y6, with an optimal efficiency of 17.49%. This work proves that PC71BM has unique advantages and great research potential in improving the driving force for charge transfer. © 2022","archive":"Scopus","container-title":"Organic Electronics","DOI":"10.1016/j.orgel.2022.106471","ISSN":"1566-1199","language":"English","source":"Scopus","title":"Ternary organic solar cells with enhanced charge transfer and stability combining the advantages of polymer acceptors and fullerene acceptors","volume":"104","author":[{"family":"Yu","given":"X."},{"family":"Lin","given":"H."},{"family":"Li","given":"M."},{"family":"Ma","given":"B."},{"family":"Zhang","given":"R."},{"family":"Du","given":"X."},{"family":"Zheng","given":"C."},{"family":"Yang","given":"G."},{"family":"Tao","given":"S."}],"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[81]</w:t>
            </w:r>
            <w:r w:rsidRPr="00B55044">
              <w:rPr>
                <w:rFonts w:eastAsia="Times New Roman"/>
                <w:color w:val="0000FF"/>
                <w:sz w:val="16"/>
                <w:szCs w:val="16"/>
              </w:rPr>
              <w:fldChar w:fldCharType="end"/>
            </w:r>
          </w:p>
        </w:tc>
      </w:tr>
      <w:tr w:rsidR="00D47774" w:rsidRPr="00B55044" w14:paraId="5E3D0D8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C9CC77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128</w:t>
            </w:r>
          </w:p>
        </w:tc>
        <w:tc>
          <w:tcPr>
            <w:tcW w:w="1525" w:type="pct"/>
            <w:tcBorders>
              <w:top w:val="single" w:sz="4" w:space="0" w:color="auto"/>
              <w:left w:val="nil"/>
              <w:bottom w:val="single" w:sz="4" w:space="0" w:color="auto"/>
              <w:right w:val="nil"/>
            </w:tcBorders>
            <w:shd w:val="clear" w:color="auto" w:fill="auto"/>
            <w:noWrap/>
            <w:vAlign w:val="bottom"/>
            <w:hideMark/>
          </w:tcPr>
          <w:p w14:paraId="459BC39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03AA6E2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PM6:PM6-TPD-5%:Y6</w:t>
            </w:r>
          </w:p>
        </w:tc>
        <w:tc>
          <w:tcPr>
            <w:tcW w:w="379" w:type="pct"/>
            <w:tcBorders>
              <w:top w:val="single" w:sz="4" w:space="0" w:color="auto"/>
              <w:left w:val="nil"/>
              <w:bottom w:val="single" w:sz="4" w:space="0" w:color="auto"/>
              <w:right w:val="nil"/>
            </w:tcBorders>
            <w:shd w:val="clear" w:color="auto" w:fill="auto"/>
            <w:noWrap/>
            <w:vAlign w:val="bottom"/>
            <w:hideMark/>
          </w:tcPr>
          <w:p w14:paraId="3C5014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0.862</w:t>
            </w:r>
          </w:p>
        </w:tc>
        <w:tc>
          <w:tcPr>
            <w:tcW w:w="379" w:type="pct"/>
            <w:tcBorders>
              <w:top w:val="single" w:sz="4" w:space="0" w:color="auto"/>
              <w:left w:val="nil"/>
              <w:bottom w:val="single" w:sz="4" w:space="0" w:color="auto"/>
              <w:right w:val="nil"/>
            </w:tcBorders>
            <w:shd w:val="clear" w:color="auto" w:fill="auto"/>
            <w:noWrap/>
            <w:vAlign w:val="bottom"/>
            <w:hideMark/>
          </w:tcPr>
          <w:p w14:paraId="671FE5B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26.07</w:t>
            </w:r>
          </w:p>
        </w:tc>
        <w:tc>
          <w:tcPr>
            <w:tcW w:w="378" w:type="pct"/>
            <w:tcBorders>
              <w:top w:val="single" w:sz="4" w:space="0" w:color="auto"/>
              <w:left w:val="nil"/>
              <w:bottom w:val="single" w:sz="4" w:space="0" w:color="auto"/>
              <w:right w:val="nil"/>
            </w:tcBorders>
            <w:shd w:val="clear" w:color="auto" w:fill="auto"/>
            <w:noWrap/>
            <w:vAlign w:val="bottom"/>
            <w:hideMark/>
          </w:tcPr>
          <w:p w14:paraId="4DBB6C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76.15</w:t>
            </w:r>
          </w:p>
        </w:tc>
        <w:tc>
          <w:tcPr>
            <w:tcW w:w="381" w:type="pct"/>
            <w:tcBorders>
              <w:top w:val="single" w:sz="4" w:space="0" w:color="auto"/>
              <w:left w:val="nil"/>
              <w:bottom w:val="single" w:sz="4" w:space="0" w:color="auto"/>
              <w:right w:val="nil"/>
            </w:tcBorders>
            <w:shd w:val="clear" w:color="auto" w:fill="auto"/>
            <w:noWrap/>
            <w:vAlign w:val="bottom"/>
            <w:hideMark/>
          </w:tcPr>
          <w:p w14:paraId="2A35A36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17.1</w:t>
            </w:r>
          </w:p>
        </w:tc>
        <w:tc>
          <w:tcPr>
            <w:tcW w:w="378" w:type="pct"/>
            <w:tcBorders>
              <w:top w:val="single" w:sz="4" w:space="0" w:color="auto"/>
              <w:left w:val="nil"/>
              <w:bottom w:val="single" w:sz="4" w:space="0" w:color="auto"/>
              <w:right w:val="nil"/>
            </w:tcBorders>
            <w:shd w:val="clear" w:color="auto" w:fill="auto"/>
            <w:noWrap/>
            <w:vAlign w:val="bottom"/>
            <w:hideMark/>
          </w:tcPr>
          <w:p w14:paraId="66C993E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{"citationID":"HrhrMt8F","properties":{"formattedCitation":"[82]","plainCitation":"[82]","noteIndex":0},"citationItems":[{"id":571,"uris":["http://zotero.org/users/12909065/items/LEWCXZSA"],"itemData":{"id":571,"type":"article-journal","abstract":"Although breakthroughs have been made in organic solar cells (OSCs) in recent years, the power conversion efficiency (PCE) of OSCs still lags behind inorganic/perovskite solar cells. In this work, two terpolymers were synthesized by introducing the thieno[3,4-c]pyrrole-4,6-(5H)-dione (TPD) block into the host polymer donor PM6. Owing to the lower highest occupied molecular orbital energy level, wider light absorption, optimal molecular packing, and more desirable aggregation morphology by addition of the TPD, the PM6-TPD-5 % : Y6-based device displayed an improved PCE of 16.3 % with an enhanced open-circuit voltage (VOC) of 0.860 V, relative to that of PM6-TPD-10 % : Y6 (PCE=14.8 %) and PM6 : Y6-based device (PCE=15.6 %). Interestingly, the VOC did not always increase in proportion to the third component. Besides, ternary OSCs based on PM6 : PM6-TPD-5 % : Y6 achieved a superior PCE of 17.1 %. This work demonstrated that random copolymerization is a feasible and effective strategy to further increase device performance, and the two polymers that possess similar structure and absorption in ternary devices can also obtain impressive efficiency. © 2022 Wiley-VCH GmbH.","archive":"Scopus","container-title":"ChemSusChem","DOI":"10.1002/cssc.202200138","ISSN":"1864-5631","issue":"8","language":"English","source":"Scopus","title":"Random Copolymerization Strategy for Host Polymer Donor PM6 Enables Improved Efficiency Both in Binary and Ternary Organic Solar Cells","volume":"15","author":[{"family":"Yang","given":"N."},{"family":"Cheng","given":"Y."},{"family":"Kim","given":"S."},{"family":"Huang","given":"B."},{"family":"Liu","given":"Z."},{"family":"Deng","given":"J."},{"family":"Wang","given":"J."},{"family":"Yang","given":"C."},{"family":"Wu","given":"F."},{"family":"Chen","given":"L."}],"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[82]</w:t>
            </w:r>
            <w:r w:rsidRPr="00B55044">
              <w:rPr>
                <w:rFonts w:eastAsia="Times New Roman"/>
                <w:color w:val="0000FF"/>
                <w:sz w:val="16"/>
                <w:szCs w:val="16"/>
              </w:rPr>
              <w:fldChar w:fldCharType="end"/>
            </w:r>
          </w:p>
        </w:tc>
      </w:tr>
      <w:tr w:rsidR="00D47774" w:rsidRPr="00B55044" w14:paraId="1C01F68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73D5F8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129</w:t>
            </w:r>
          </w:p>
        </w:tc>
        <w:tc>
          <w:tcPr>
            <w:tcW w:w="1525" w:type="pct"/>
            <w:tcBorders>
              <w:top w:val="single" w:sz="4" w:space="0" w:color="auto"/>
              <w:left w:val="nil"/>
              <w:bottom w:val="single" w:sz="4" w:space="0" w:color="auto"/>
              <w:right w:val="nil"/>
            </w:tcBorders>
            <w:shd w:val="clear" w:color="auto" w:fill="auto"/>
            <w:noWrap/>
            <w:vAlign w:val="bottom"/>
            <w:hideMark/>
          </w:tcPr>
          <w:p w14:paraId="38872D5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34E428C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PM6:eC9:BN-T</w:t>
            </w:r>
          </w:p>
        </w:tc>
        <w:tc>
          <w:tcPr>
            <w:tcW w:w="379" w:type="pct"/>
            <w:tcBorders>
              <w:top w:val="single" w:sz="4" w:space="0" w:color="auto"/>
              <w:left w:val="nil"/>
              <w:bottom w:val="single" w:sz="4" w:space="0" w:color="auto"/>
              <w:right w:val="nil"/>
            </w:tcBorders>
            <w:shd w:val="clear" w:color="auto" w:fill="auto"/>
            <w:noWrap/>
            <w:vAlign w:val="bottom"/>
            <w:hideMark/>
          </w:tcPr>
          <w:p w14:paraId="2FFCDB3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0.863</w:t>
            </w:r>
          </w:p>
        </w:tc>
        <w:tc>
          <w:tcPr>
            <w:tcW w:w="379" w:type="pct"/>
            <w:tcBorders>
              <w:top w:val="single" w:sz="4" w:space="0" w:color="auto"/>
              <w:left w:val="nil"/>
              <w:bottom w:val="single" w:sz="4" w:space="0" w:color="auto"/>
              <w:right w:val="nil"/>
            </w:tcBorders>
            <w:shd w:val="clear" w:color="auto" w:fill="auto"/>
            <w:noWrap/>
            <w:vAlign w:val="bottom"/>
            <w:hideMark/>
          </w:tcPr>
          <w:p w14:paraId="1271C78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27.06</w:t>
            </w:r>
          </w:p>
        </w:tc>
        <w:tc>
          <w:tcPr>
            <w:tcW w:w="378" w:type="pct"/>
            <w:tcBorders>
              <w:top w:val="single" w:sz="4" w:space="0" w:color="auto"/>
              <w:left w:val="nil"/>
              <w:bottom w:val="single" w:sz="4" w:space="0" w:color="auto"/>
              <w:right w:val="nil"/>
            </w:tcBorders>
            <w:shd w:val="clear" w:color="auto" w:fill="auto"/>
            <w:noWrap/>
            <w:vAlign w:val="bottom"/>
            <w:hideMark/>
          </w:tcPr>
          <w:p w14:paraId="320099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78.1</w:t>
            </w:r>
          </w:p>
        </w:tc>
        <w:tc>
          <w:tcPr>
            <w:tcW w:w="381" w:type="pct"/>
            <w:tcBorders>
              <w:top w:val="single" w:sz="4" w:space="0" w:color="auto"/>
              <w:left w:val="nil"/>
              <w:bottom w:val="single" w:sz="4" w:space="0" w:color="auto"/>
              <w:right w:val="nil"/>
            </w:tcBorders>
            <w:shd w:val="clear" w:color="auto" w:fill="auto"/>
            <w:noWrap/>
            <w:vAlign w:val="bottom"/>
            <w:hideMark/>
          </w:tcPr>
          <w:p w14:paraId="5C07EF9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18.24</w:t>
            </w:r>
          </w:p>
        </w:tc>
        <w:tc>
          <w:tcPr>
            <w:tcW w:w="378" w:type="pct"/>
            <w:tcBorders>
              <w:top w:val="single" w:sz="4" w:space="0" w:color="auto"/>
              <w:left w:val="nil"/>
              <w:bottom w:val="single" w:sz="4" w:space="0" w:color="auto"/>
              <w:right w:val="nil"/>
            </w:tcBorders>
            <w:shd w:val="clear" w:color="auto" w:fill="auto"/>
            <w:noWrap/>
            <w:vAlign w:val="bottom"/>
            <w:hideMark/>
          </w:tcPr>
          <w:p w14:paraId="377EF17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{"citationID":"kWTZCNJb","properties":{"formattedCitation":"[83]","plainCitation":"[83]","noteIndex":0},"citationItems":[{"id":570,"uris":["http://zotero.org/users/12909065/items/JRRV4A3Q"],"itemData":{"id":570,"type":"article-journal","abstract":"The morphology of organic solar cells (OSCs) is a core topic for achieving the ultimate photovoltaic performance. Herein, we focused on the combination of two important morphology regulation strategies, i.e., ternary strategy and cosolvent engineering. Using an amorphous polymer acceptor, BN-T, as the third component, the PM6:BTP-eC11 and PM6:eC9 host binary systems, treated by the o-xylene and 1-phenylnaphthalene solvent system and chlorobenzene and 1,8-diiodooctane solvent system, respectively, both realized an effective improvement in the power conversion efficiencies (PCEs). However, the ex situ morphological characterization revealed that these two systems undergo different types of changes in phase segregation and molecular packing, which cannot be understood by the current popular miscibility analysis. In this work, an in situ investigation was carried out during the spin casting and thermal annealing processes. The time-resolved reflection spectroscopy technique showed that BN-T retained more PN in the ternary films during the casting process, thereby facilitating the aggregation of eC11 and enlarging its domain size. In contrast, the incorporation of BN-T did not affect the DIO content in the films, resulting in a less separated morphology for the eC9-based systems, as predicted by the miscibility study. In addition to state-of-the-art PCEs, this work provides an insightful understanding of the morphology evolution in ternary OSCs assisted by a high-boiling solvent additive via in situ investigation techniques. © 2022 The Royal Society of Chemistry","archive":"Scopus","container-title":"Energy and Environmental Science","DOI":"10.1039/d2ee00740a","ISSN":"1754-5692","issue":"6","language":"English","page":"2479-2488","source":"Scopus","title":"In situ and ex situ investigations on ternary strategy and co-solvent effects towards high-efficiency organic solar cells","volume":"15","author":[{"family":"Ma","given":"R."},{"family":"Yan","given":"C."},{"family":"Fong","given":"P.W."},{"family":"Yu","given":"J."},{"family":"Liu","given":"H."},{"family":"Yin","given":"J."},{"family":"Huang","given":"J."},{"family":"Lu","given":"X."},{"family":"Yan","given":"H."},{"family":"Li","given":"G."}],"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[83]</w:t>
            </w:r>
            <w:r w:rsidRPr="00B55044">
              <w:rPr>
                <w:rFonts w:eastAsia="Times New Roman"/>
                <w:color w:val="0000FF"/>
                <w:sz w:val="16"/>
                <w:szCs w:val="16"/>
              </w:rPr>
              <w:fldChar w:fldCharType="end"/>
            </w:r>
          </w:p>
        </w:tc>
      </w:tr>
      <w:tr w:rsidR="00D47774" w:rsidRPr="00B55044" w14:paraId="5661204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25BC83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130</w:t>
            </w:r>
          </w:p>
        </w:tc>
        <w:tc>
          <w:tcPr>
            <w:tcW w:w="1525" w:type="pct"/>
            <w:tcBorders>
              <w:top w:val="single" w:sz="4" w:space="0" w:color="auto"/>
              <w:left w:val="nil"/>
              <w:bottom w:val="single" w:sz="4" w:space="0" w:color="auto"/>
              <w:right w:val="nil"/>
            </w:tcBorders>
            <w:shd w:val="clear" w:color="auto" w:fill="auto"/>
            <w:noWrap/>
            <w:vAlign w:val="bottom"/>
            <w:hideMark/>
          </w:tcPr>
          <w:p w14:paraId="661D267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0759BBC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PM6:eC9:BN-T</w:t>
            </w:r>
          </w:p>
        </w:tc>
        <w:tc>
          <w:tcPr>
            <w:tcW w:w="379" w:type="pct"/>
            <w:tcBorders>
              <w:top w:val="single" w:sz="4" w:space="0" w:color="auto"/>
              <w:left w:val="nil"/>
              <w:bottom w:val="single" w:sz="4" w:space="0" w:color="auto"/>
              <w:right w:val="nil"/>
            </w:tcBorders>
            <w:shd w:val="clear" w:color="auto" w:fill="auto"/>
            <w:noWrap/>
            <w:vAlign w:val="bottom"/>
            <w:hideMark/>
          </w:tcPr>
          <w:p w14:paraId="1885E0F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0.859</w:t>
            </w:r>
          </w:p>
        </w:tc>
        <w:tc>
          <w:tcPr>
            <w:tcW w:w="379" w:type="pct"/>
            <w:tcBorders>
              <w:top w:val="single" w:sz="4" w:space="0" w:color="auto"/>
              <w:left w:val="nil"/>
              <w:bottom w:val="single" w:sz="4" w:space="0" w:color="auto"/>
              <w:right w:val="nil"/>
            </w:tcBorders>
            <w:shd w:val="clear" w:color="auto" w:fill="auto"/>
            <w:noWrap/>
            <w:vAlign w:val="bottom"/>
            <w:hideMark/>
          </w:tcPr>
          <w:p w14:paraId="6314407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26.84</w:t>
            </w:r>
          </w:p>
        </w:tc>
        <w:tc>
          <w:tcPr>
            <w:tcW w:w="378" w:type="pct"/>
            <w:tcBorders>
              <w:top w:val="single" w:sz="4" w:space="0" w:color="auto"/>
              <w:left w:val="nil"/>
              <w:bottom w:val="single" w:sz="4" w:space="0" w:color="auto"/>
              <w:right w:val="nil"/>
            </w:tcBorders>
            <w:shd w:val="clear" w:color="auto" w:fill="auto"/>
            <w:noWrap/>
            <w:vAlign w:val="bottom"/>
            <w:hideMark/>
          </w:tcPr>
          <w:p w14:paraId="1AFAF6A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80.2</w:t>
            </w:r>
          </w:p>
        </w:tc>
        <w:tc>
          <w:tcPr>
            <w:tcW w:w="381" w:type="pct"/>
            <w:tcBorders>
              <w:top w:val="single" w:sz="4" w:space="0" w:color="auto"/>
              <w:left w:val="nil"/>
              <w:bottom w:val="single" w:sz="4" w:space="0" w:color="auto"/>
              <w:right w:val="nil"/>
            </w:tcBorders>
            <w:shd w:val="clear" w:color="auto" w:fill="auto"/>
            <w:noWrap/>
            <w:vAlign w:val="bottom"/>
            <w:hideMark/>
          </w:tcPr>
          <w:p w14:paraId="28D5D03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18.49</w:t>
            </w:r>
          </w:p>
        </w:tc>
        <w:tc>
          <w:tcPr>
            <w:tcW w:w="378" w:type="pct"/>
            <w:tcBorders>
              <w:top w:val="single" w:sz="4" w:space="0" w:color="auto"/>
              <w:left w:val="nil"/>
              <w:bottom w:val="single" w:sz="4" w:space="0" w:color="auto"/>
              <w:right w:val="nil"/>
            </w:tcBorders>
            <w:shd w:val="clear" w:color="auto" w:fill="auto"/>
            <w:noWrap/>
            <w:vAlign w:val="bottom"/>
            <w:hideMark/>
          </w:tcPr>
          <w:p w14:paraId="2DA2B75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{"citationID":"mZhLONO8","properties":{"formattedCitation":"[83]","plainCitation":"[83]","noteIndex":0},"citationItems":[{"id":570,"uris":["http://zotero.org/users/12909065/items/JRRV4A3Q"],"itemData":{"id":570,"type":"article-journal","abstract":"The morphology of organic solar cells (OSCs) is a core topic for achieving the ultimate photovoltaic performance. Herein, we focused on the combination of two important morphology regulation strategies, i.e., ternary strategy and cosolvent engineering. Using an amorphous polymer acceptor, BN-T, as the third component, the PM6:BTP-eC11 and PM6:eC9 host binary systems, treated by the o-xylene and 1-phenylnaphthalene solvent system and chlorobenzene and 1,8-diiodooctane solvent system, respectively, both realized an effective improvement in the power conversion efficiencies (PCEs). However, the ex situ morphological characterization revealed that these two systems undergo different types of changes in phase segregation and molecular packing, which cannot be understood by the current popular miscibility analysis. In this work, an in situ investigation was carried out during the spin casting and thermal annealing processes. The time-resolved reflection spectroscopy technique showed that BN-T retained more PN in the ternary films during the casting process, thereby facilitating the aggregation of eC11 and enlarging its domain size. In contrast, the incorporation of BN-T did not affect the DIO content in the films, resulting in a less separated morphology for the eC9-based systems, as predicted by the miscibility study. In addition to state-of-the-art PCEs, this work provides an insightful understanding of the morphology evolution in ternary OSCs assisted by a high-boiling solvent additive via in situ investigation techniques. © 2022 The Royal Society of Chemistry","archive":"Scopus","container-title":"Energy and Environmental Science","DOI":"10.1039/d2ee00740a","ISSN":"1754-5692","issue":"6","language":"English","page":"2479-2488","source":"Scopus","title":"In situ and ex situ investigations on ternary strategy and co-solvent effects towards high-efficiency organic solar cells","volume":"15","author":[{"family":"Ma","given":"R."},{"family":"Yan","given":"C."},{"family":"Fong","given":"P.W."},{"family":"Yu","given":"J."},{"family":"Liu","given":"H."},{"family":"Yin","given":"J."},{"family":"Huang","given":"J."},{"family":"Lu","given":"X."},{"family":"Yan","given":"H."},{"family":"Li","given":"G."}],"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[83]</w:t>
            </w:r>
            <w:r w:rsidRPr="00B55044">
              <w:rPr>
                <w:rFonts w:eastAsia="Times New Roman"/>
                <w:color w:val="0000FF"/>
                <w:sz w:val="16"/>
                <w:szCs w:val="16"/>
              </w:rPr>
              <w:fldChar w:fldCharType="end"/>
            </w:r>
          </w:p>
        </w:tc>
      </w:tr>
      <w:tr w:rsidR="00D47774" w:rsidRPr="00B55044" w14:paraId="37D1743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7205E8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131</w:t>
            </w:r>
          </w:p>
        </w:tc>
        <w:tc>
          <w:tcPr>
            <w:tcW w:w="1525" w:type="pct"/>
            <w:tcBorders>
              <w:top w:val="single" w:sz="4" w:space="0" w:color="auto"/>
              <w:left w:val="nil"/>
              <w:bottom w:val="single" w:sz="4" w:space="0" w:color="auto"/>
              <w:right w:val="nil"/>
            </w:tcBorders>
            <w:shd w:val="clear" w:color="auto" w:fill="auto"/>
            <w:noWrap/>
            <w:vAlign w:val="bottom"/>
            <w:hideMark/>
          </w:tcPr>
          <w:p w14:paraId="5FD6F18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53FCA06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PM6:eC11:BN-T</w:t>
            </w:r>
          </w:p>
        </w:tc>
        <w:tc>
          <w:tcPr>
            <w:tcW w:w="379" w:type="pct"/>
            <w:tcBorders>
              <w:top w:val="single" w:sz="4" w:space="0" w:color="auto"/>
              <w:left w:val="nil"/>
              <w:bottom w:val="single" w:sz="4" w:space="0" w:color="auto"/>
              <w:right w:val="nil"/>
            </w:tcBorders>
            <w:shd w:val="clear" w:color="auto" w:fill="auto"/>
            <w:noWrap/>
            <w:vAlign w:val="bottom"/>
            <w:hideMark/>
          </w:tcPr>
          <w:p w14:paraId="1DA1AF5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5ED13B8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26.91</w:t>
            </w:r>
          </w:p>
        </w:tc>
        <w:tc>
          <w:tcPr>
            <w:tcW w:w="378" w:type="pct"/>
            <w:tcBorders>
              <w:top w:val="single" w:sz="4" w:space="0" w:color="auto"/>
              <w:left w:val="nil"/>
              <w:bottom w:val="single" w:sz="4" w:space="0" w:color="auto"/>
              <w:right w:val="nil"/>
            </w:tcBorders>
            <w:shd w:val="clear" w:color="auto" w:fill="auto"/>
            <w:noWrap/>
            <w:vAlign w:val="bottom"/>
            <w:hideMark/>
          </w:tcPr>
          <w:p w14:paraId="1BE4B0F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75.9</w:t>
            </w:r>
          </w:p>
        </w:tc>
        <w:tc>
          <w:tcPr>
            <w:tcW w:w="381" w:type="pct"/>
            <w:tcBorders>
              <w:top w:val="single" w:sz="4" w:space="0" w:color="auto"/>
              <w:left w:val="nil"/>
              <w:bottom w:val="single" w:sz="4" w:space="0" w:color="auto"/>
              <w:right w:val="nil"/>
            </w:tcBorders>
            <w:shd w:val="clear" w:color="auto" w:fill="auto"/>
            <w:noWrap/>
            <w:vAlign w:val="bottom"/>
            <w:hideMark/>
          </w:tcPr>
          <w:p w14:paraId="2F6592D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17.56</w:t>
            </w:r>
          </w:p>
        </w:tc>
        <w:tc>
          <w:tcPr>
            <w:tcW w:w="378" w:type="pct"/>
            <w:tcBorders>
              <w:top w:val="single" w:sz="4" w:space="0" w:color="auto"/>
              <w:left w:val="nil"/>
              <w:bottom w:val="single" w:sz="4" w:space="0" w:color="auto"/>
              <w:right w:val="nil"/>
            </w:tcBorders>
            <w:shd w:val="clear" w:color="auto" w:fill="auto"/>
            <w:noWrap/>
            <w:vAlign w:val="bottom"/>
            <w:hideMark/>
          </w:tcPr>
          <w:p w14:paraId="66BE911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{"citationID":"O4G4Wbxw","properties":{"formattedCitation":"[83]","plainCitation":"[83]","noteIndex":0},"citationItems":[{"id":570,"uris":["http://zotero.org/users/12909065/items/JRRV4A3Q"],"itemData":{"id":570,"type":"article-journal","abstract":"The morphology of organic solar cells (OSCs) is a core topic for achieving the ultimate photovoltaic performance. Herein, we focused on the combination of two important morphology regulation strategies, i.e., ternary strategy and cosolvent engineering. Using an amorphous polymer acceptor, BN-T, as the third component, the PM6:BTP-eC11 and PM6:eC9 host binary systems, treated by the o-xylene and 1-phenylnaphthalene solvent system and chlorobenzene and 1,8-diiodooctane solvent system, respectively, both realized an effective improvement in the power conversion efficiencies (PCEs). However, the ex situ morphological characterization revealed that these two systems undergo different types of changes in phase segregation and molecular packing, which cannot be understood by the current popular miscibility analysis. In this work, an in situ investigation was carried out during the spin casting and thermal annealing processes. The time-resolved reflection spectroscopy technique showed that BN-T retained more PN in the ternary films during the casting process, thereby facilitating the aggregation of eC11 and enlarging its domain size. In contrast, the incorporation of BN-T did not affect the DIO content in the films, resulting in a less separated morphology for the eC9-based systems, as predicted by the miscibility study. In addition to state-of-the-art PCEs, this work provides an insightful understanding of the morphology evolution in ternary OSCs assisted by a high-boiling solvent additive via in situ investigation techniques. © 2022 The Royal Society of Chemistry","archive":"Scopus","container-title":"Energy and Environmental Science","DOI":"10.1039/d2ee00740a","ISSN":"1754-5692","issue":"6","language":"English","page":"2479-2488","source":"Scopus","title":"In situ and ex situ investigations on ternary strategy and co-solvent effects towards high-efficiency organic solar cells","volume":"15","author":[{"family":"Ma","given":"R."},{"family":"Yan","given":"C."},{"family":"Fong","given":"P.W."},{"family":"Yu","given":"J."},{"family":"Liu","given":"H."},{"family":"Yin","given":"J."},{"family":"Huang","given":"J."},{"family":"Lu","given":"X."},{"family":"Yan","given":"H."},{"family":"Li","given":"G."}],"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[83]</w:t>
            </w:r>
            <w:r w:rsidRPr="00B55044">
              <w:rPr>
                <w:rFonts w:eastAsia="Times New Roman"/>
                <w:color w:val="0000FF"/>
                <w:sz w:val="16"/>
                <w:szCs w:val="16"/>
              </w:rPr>
              <w:fldChar w:fldCharType="end"/>
            </w:r>
          </w:p>
        </w:tc>
      </w:tr>
      <w:tr w:rsidR="00D47774" w:rsidRPr="00B55044" w14:paraId="3AA5F70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964B07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132</w:t>
            </w:r>
          </w:p>
        </w:tc>
        <w:tc>
          <w:tcPr>
            <w:tcW w:w="1525" w:type="pct"/>
            <w:tcBorders>
              <w:top w:val="single" w:sz="4" w:space="0" w:color="auto"/>
              <w:left w:val="nil"/>
              <w:bottom w:val="single" w:sz="4" w:space="0" w:color="auto"/>
              <w:right w:val="nil"/>
            </w:tcBorders>
            <w:shd w:val="clear" w:color="auto" w:fill="auto"/>
            <w:noWrap/>
            <w:vAlign w:val="bottom"/>
            <w:hideMark/>
          </w:tcPr>
          <w:p w14:paraId="26D34F9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13A1969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PM6:eC11:BN-T</w:t>
            </w:r>
          </w:p>
        </w:tc>
        <w:tc>
          <w:tcPr>
            <w:tcW w:w="379" w:type="pct"/>
            <w:tcBorders>
              <w:top w:val="single" w:sz="4" w:space="0" w:color="auto"/>
              <w:left w:val="nil"/>
              <w:bottom w:val="single" w:sz="4" w:space="0" w:color="auto"/>
              <w:right w:val="nil"/>
            </w:tcBorders>
            <w:shd w:val="clear" w:color="auto" w:fill="auto"/>
            <w:noWrap/>
            <w:vAlign w:val="bottom"/>
            <w:hideMark/>
          </w:tcPr>
          <w:p w14:paraId="391B224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0.856</w:t>
            </w:r>
          </w:p>
        </w:tc>
        <w:tc>
          <w:tcPr>
            <w:tcW w:w="379" w:type="pct"/>
            <w:tcBorders>
              <w:top w:val="single" w:sz="4" w:space="0" w:color="auto"/>
              <w:left w:val="nil"/>
              <w:bottom w:val="single" w:sz="4" w:space="0" w:color="auto"/>
              <w:right w:val="nil"/>
            </w:tcBorders>
            <w:shd w:val="clear" w:color="auto" w:fill="auto"/>
            <w:noWrap/>
            <w:vAlign w:val="bottom"/>
            <w:hideMark/>
          </w:tcPr>
          <w:p w14:paraId="60FEEE8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26.54</w:t>
            </w:r>
          </w:p>
        </w:tc>
        <w:tc>
          <w:tcPr>
            <w:tcW w:w="378" w:type="pct"/>
            <w:tcBorders>
              <w:top w:val="single" w:sz="4" w:space="0" w:color="auto"/>
              <w:left w:val="nil"/>
              <w:bottom w:val="single" w:sz="4" w:space="0" w:color="auto"/>
              <w:right w:val="nil"/>
            </w:tcBorders>
            <w:shd w:val="clear" w:color="auto" w:fill="auto"/>
            <w:noWrap/>
            <w:vAlign w:val="bottom"/>
            <w:hideMark/>
          </w:tcPr>
          <w:p w14:paraId="2F12CBF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79.3</w:t>
            </w:r>
          </w:p>
        </w:tc>
        <w:tc>
          <w:tcPr>
            <w:tcW w:w="381" w:type="pct"/>
            <w:tcBorders>
              <w:top w:val="single" w:sz="4" w:space="0" w:color="auto"/>
              <w:left w:val="nil"/>
              <w:bottom w:val="single" w:sz="4" w:space="0" w:color="auto"/>
              <w:right w:val="nil"/>
            </w:tcBorders>
            <w:shd w:val="clear" w:color="auto" w:fill="auto"/>
            <w:noWrap/>
            <w:vAlign w:val="bottom"/>
            <w:hideMark/>
          </w:tcPr>
          <w:p w14:paraId="7F27079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18.02</w:t>
            </w:r>
          </w:p>
        </w:tc>
        <w:tc>
          <w:tcPr>
            <w:tcW w:w="378" w:type="pct"/>
            <w:tcBorders>
              <w:top w:val="single" w:sz="4" w:space="0" w:color="auto"/>
              <w:left w:val="nil"/>
              <w:bottom w:val="single" w:sz="4" w:space="0" w:color="auto"/>
              <w:right w:val="nil"/>
            </w:tcBorders>
            <w:shd w:val="clear" w:color="auto" w:fill="auto"/>
            <w:noWrap/>
            <w:vAlign w:val="bottom"/>
            <w:hideMark/>
          </w:tcPr>
          <w:p w14:paraId="175BDFD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{"citationID":"sP6mIrfk","properties":{"formattedCitation":"[83]","plainCitation":"[83]","noteIndex":0},"citationItems":[{"id":570,"uris":["http://zotero.org/users/12909065/items/JRRV4A3Q"],"itemData":{"id":570,"type":"article-journal","abstract":"The morphology of organic solar cells (OSCs) is a core topic for achieving the ultimate photovoltaic performance. Herein, we focused on the combination of two important morphology regulation strategies, i.e., ternary strategy and cosolvent engineering. Using an amorphous polymer acceptor, BN-T, as the third component, the PM6:BTP-eC11 and PM6:eC9 host binary systems, treated by the o-xylene and 1-phenylnaphthalene solvent system and chlorobenzene and 1,8-diiodooctane solvent system, respectively, both realized an effective improvement in the power conversion efficiencies (PCEs). However, the ex situ morphological characterization revealed that these two systems undergo different types of changes in phase segregation and molecular packing, which cannot be understood by the current popular miscibility analysis. In this work, an in situ investigation was carried out during the spin casting and thermal annealing processes. The time-resolved reflection spectroscopy technique showed that BN-T retained more PN in the ternary films during the casting process, thereby facilitating the aggregation of eC11 and enlarging its domain size. In contrast, the incorporation of BN-T did not affect the DIO content in the films, resulting in a less separated morphology for the eC9-based systems, as predicted by the miscibility study. In addition to state-of-the-art PCEs, this work provides an insightful understanding of the morphology evolution in ternary OSCs assisted by a high-boiling solvent additive via in situ investigation techniques. © 2022 The Royal Society of Chemistry","archive":"Scopus","container-title":"Energy and Environmental Science","DOI":"10.1039/d2ee00740a","ISSN":"1754-5692","issue":"6","language":"English","page":"2479-2488","source":"Scopus","title":"In situ and ex situ investigations on ternary strategy and co-solvent effects towards high-efficiency organic solar cells","volume":"15","author":[{"family":"Ma","given":"R."},{"family":"Yan","given":"C."},{"family":"Fong","given":"P.W."},{"family":"Yu","given":"J."},{"family":"Liu","given":"H."},{"family":"Yin","given":"J."},{"family":"Huang","given":"J."},{"family":"Lu","given":"X."},{"family":"Yan","given":"H."},{"family":"Li","given":"G."}],"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[83]</w:t>
            </w:r>
            <w:r w:rsidRPr="00B55044">
              <w:rPr>
                <w:rFonts w:eastAsia="Times New Roman"/>
                <w:color w:val="0000FF"/>
                <w:sz w:val="16"/>
                <w:szCs w:val="16"/>
              </w:rPr>
              <w:fldChar w:fldCharType="end"/>
            </w:r>
          </w:p>
        </w:tc>
      </w:tr>
      <w:tr w:rsidR="00D47774" w:rsidRPr="00B55044" w14:paraId="064A200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C02471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133</w:t>
            </w:r>
          </w:p>
        </w:tc>
        <w:tc>
          <w:tcPr>
            <w:tcW w:w="1525" w:type="pct"/>
            <w:tcBorders>
              <w:top w:val="single" w:sz="4" w:space="0" w:color="auto"/>
              <w:left w:val="nil"/>
              <w:bottom w:val="single" w:sz="4" w:space="0" w:color="auto"/>
              <w:right w:val="nil"/>
            </w:tcBorders>
            <w:shd w:val="clear" w:color="auto" w:fill="auto"/>
            <w:noWrap/>
            <w:vAlign w:val="bottom"/>
            <w:hideMark/>
          </w:tcPr>
          <w:p w14:paraId="4E6E3A1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ITO/PEDOT:PSS/AL/Bis-FIMG/Ag</w:t>
            </w:r>
          </w:p>
        </w:tc>
        <w:tc>
          <w:tcPr>
            <w:tcW w:w="1288" w:type="pct"/>
            <w:tcBorders>
              <w:top w:val="single" w:sz="4" w:space="0" w:color="auto"/>
              <w:left w:val="nil"/>
              <w:bottom w:val="single" w:sz="4" w:space="0" w:color="auto"/>
              <w:right w:val="nil"/>
            </w:tcBorders>
            <w:shd w:val="clear" w:color="auto" w:fill="auto"/>
            <w:noWrap/>
            <w:vAlign w:val="bottom"/>
            <w:hideMark/>
          </w:tcPr>
          <w:p w14:paraId="75B82E9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PM6:L8-BO:BTP-H2</w:t>
            </w:r>
          </w:p>
        </w:tc>
        <w:tc>
          <w:tcPr>
            <w:tcW w:w="379" w:type="pct"/>
            <w:tcBorders>
              <w:top w:val="single" w:sz="4" w:space="0" w:color="auto"/>
              <w:left w:val="nil"/>
              <w:bottom w:val="single" w:sz="4" w:space="0" w:color="auto"/>
              <w:right w:val="nil"/>
            </w:tcBorders>
            <w:shd w:val="clear" w:color="auto" w:fill="auto"/>
            <w:noWrap/>
            <w:vAlign w:val="bottom"/>
            <w:hideMark/>
          </w:tcPr>
          <w:p w14:paraId="35DF6E2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0.892</w:t>
            </w:r>
          </w:p>
        </w:tc>
        <w:tc>
          <w:tcPr>
            <w:tcW w:w="379" w:type="pct"/>
            <w:tcBorders>
              <w:top w:val="single" w:sz="4" w:space="0" w:color="auto"/>
              <w:left w:val="nil"/>
              <w:bottom w:val="single" w:sz="4" w:space="0" w:color="auto"/>
              <w:right w:val="nil"/>
            </w:tcBorders>
            <w:shd w:val="clear" w:color="auto" w:fill="auto"/>
            <w:noWrap/>
            <w:vAlign w:val="bottom"/>
            <w:hideMark/>
          </w:tcPr>
          <w:p w14:paraId="5792BE2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26.68</w:t>
            </w:r>
          </w:p>
        </w:tc>
        <w:tc>
          <w:tcPr>
            <w:tcW w:w="378" w:type="pct"/>
            <w:tcBorders>
              <w:top w:val="single" w:sz="4" w:space="0" w:color="auto"/>
              <w:left w:val="nil"/>
              <w:bottom w:val="single" w:sz="4" w:space="0" w:color="auto"/>
              <w:right w:val="nil"/>
            </w:tcBorders>
            <w:shd w:val="clear" w:color="auto" w:fill="auto"/>
            <w:noWrap/>
            <w:vAlign w:val="bottom"/>
            <w:hideMark/>
          </w:tcPr>
          <w:p w14:paraId="3395465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80.7</w:t>
            </w:r>
          </w:p>
        </w:tc>
        <w:tc>
          <w:tcPr>
            <w:tcW w:w="381" w:type="pct"/>
            <w:tcBorders>
              <w:top w:val="single" w:sz="4" w:space="0" w:color="auto"/>
              <w:left w:val="nil"/>
              <w:bottom w:val="single" w:sz="4" w:space="0" w:color="auto"/>
              <w:right w:val="nil"/>
            </w:tcBorders>
            <w:shd w:val="clear" w:color="auto" w:fill="auto"/>
            <w:noWrap/>
            <w:vAlign w:val="bottom"/>
            <w:hideMark/>
          </w:tcPr>
          <w:p w14:paraId="00B85A9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19.2</w:t>
            </w:r>
          </w:p>
        </w:tc>
        <w:tc>
          <w:tcPr>
            <w:tcW w:w="378" w:type="pct"/>
            <w:tcBorders>
              <w:top w:val="single" w:sz="4" w:space="0" w:color="auto"/>
              <w:left w:val="nil"/>
              <w:bottom w:val="single" w:sz="4" w:space="0" w:color="auto"/>
              <w:right w:val="nil"/>
            </w:tcBorders>
            <w:shd w:val="clear" w:color="auto" w:fill="auto"/>
            <w:noWrap/>
            <w:vAlign w:val="bottom"/>
            <w:hideMark/>
          </w:tcPr>
          <w:p w14:paraId="3B78044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{"citationID":"BRsVBLr0","properties":{"formattedCitation":"[84]","plainCitation":"[84]","noteIndex":0},"citationItems":[{"id":569,"uris":["http://zotero.org/users/12909065/items/CCBETNYY"],"itemData":{"id":569,"type":"article-journal","abstract":"Manipulating the donor:acceptor (D:A) energetics, e.g., the highest occupied molecular orbital (HOMO) offset, is the key to balancing the charge separation and charge recombination for high-performance organic solar cells (OSCs). Herein, we designed and synthesized a non-fullerene electron acceptor, i.e., BTP-H2, which shows strong intermolecular interaction and near-zero HOMO offset when pairing with polymer donor PM6. Transient absorption spectroscopies unveil that BTP-H2 exhibits a long-lived intra-moiety charge-separation state, which contributes to efficient hole transfer or charge generation, irrespective of the small HOMO offset. In addition, the small energetic offset reduces the non-radiative loss for a high open-circuit voltage (Voc). As a result, we demonstrate high-performance OSCs with the best power conversion efficiency (PCE) of 18.5%, a high Voc of 0.932 V and a peak photon-to-electron response of </w:instrText>
            </w:r>
            <w:r w:rsidR="001F36B1" w:rsidRPr="00B55044">
              <w:rPr>
                <w:rFonts w:ascii="Cambria Math" w:eastAsia="Times New Roman" w:hAnsi="Cambria Math" w:cs="Cambria Math"/>
                <w:color w:val="0000FF"/>
                <w:sz w:val="16"/>
                <w:szCs w:val="16"/>
              </w:rPr>
              <w:instrText>∼</w:instrText>
            </w:r>
            <w:r w:rsidR="001F36B1" w:rsidRPr="00B55044">
              <w:rPr>
                <w:rFonts w:eastAsia="Times New Roman"/>
                <w:color w:val="0000FF"/>
                <w:sz w:val="16"/>
                <w:szCs w:val="16"/>
              </w:rPr>
              <w:instrText xml:space="preserve"> 90%. Furthermore, ternary OSCs comprising PM6:BTP-H2:L8-BO exhibit a champion PCE of 19.2% (certified value of 18.8%) due to the improved balance between charge generation and charge recombination, and this represents the best among PCEs of single-junction OSCs. © 2022 The Royal Society of Chemistry","archive":"Scopus","container-title":"Energy and Environmental Science","DOI":"10.1039/d2ee00595f","ISSN":"1754-5692","issue":"6","language":"English","page":"2537-2544","source":"Scopus","title":"Manipulating the D:A interfacial energetics and intermolecular packing for 19.2% efficiency organic photovoltaics","title-short":"Manipulating the D","volume":"15","author":[{"family":"He","given":"C."},{"family":"Pan","given":"Y."},{"family":"Ouyang","given":"Y."},{"family":"Shen","given":"Q."},{"family":"Gao","given":"Y."},{"family":"Yan","given":"K."},{"family":"Fang","given":"J."},{"family":"Chen","given":"Y."},{"family":"Ma","given":"C.-Q."},{"family":"Min","given":"J."},{"family":"Zhang","given":"C."},{"family":"Zuo","given":"L."},{"family":"Chen","given":"H."}],"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[84]</w:t>
            </w:r>
            <w:r w:rsidRPr="00B55044">
              <w:rPr>
                <w:rFonts w:eastAsia="Times New Roman"/>
                <w:color w:val="0000FF"/>
                <w:sz w:val="16"/>
                <w:szCs w:val="16"/>
              </w:rPr>
              <w:fldChar w:fldCharType="end"/>
            </w:r>
          </w:p>
        </w:tc>
      </w:tr>
      <w:tr w:rsidR="00D47774" w:rsidRPr="00B55044" w14:paraId="232B52D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4BC270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134</w:t>
            </w:r>
          </w:p>
        </w:tc>
        <w:tc>
          <w:tcPr>
            <w:tcW w:w="1525" w:type="pct"/>
            <w:tcBorders>
              <w:top w:val="single" w:sz="4" w:space="0" w:color="auto"/>
              <w:left w:val="nil"/>
              <w:bottom w:val="single" w:sz="4" w:space="0" w:color="auto"/>
              <w:right w:val="nil"/>
            </w:tcBorders>
            <w:shd w:val="clear" w:color="auto" w:fill="auto"/>
            <w:noWrap/>
            <w:vAlign w:val="bottom"/>
            <w:hideMark/>
          </w:tcPr>
          <w:p w14:paraId="21321A0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1A1C3F6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PM6:Y7:N2200</w:t>
            </w:r>
          </w:p>
        </w:tc>
        <w:tc>
          <w:tcPr>
            <w:tcW w:w="379" w:type="pct"/>
            <w:tcBorders>
              <w:top w:val="single" w:sz="4" w:space="0" w:color="auto"/>
              <w:left w:val="nil"/>
              <w:bottom w:val="single" w:sz="4" w:space="0" w:color="auto"/>
              <w:right w:val="nil"/>
            </w:tcBorders>
            <w:shd w:val="clear" w:color="auto" w:fill="auto"/>
            <w:noWrap/>
            <w:vAlign w:val="bottom"/>
            <w:hideMark/>
          </w:tcPr>
          <w:p w14:paraId="48B91E3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0.875</w:t>
            </w:r>
          </w:p>
        </w:tc>
        <w:tc>
          <w:tcPr>
            <w:tcW w:w="379" w:type="pct"/>
            <w:tcBorders>
              <w:top w:val="single" w:sz="4" w:space="0" w:color="auto"/>
              <w:left w:val="nil"/>
              <w:bottom w:val="single" w:sz="4" w:space="0" w:color="auto"/>
              <w:right w:val="nil"/>
            </w:tcBorders>
            <w:shd w:val="clear" w:color="auto" w:fill="auto"/>
            <w:noWrap/>
            <w:vAlign w:val="bottom"/>
            <w:hideMark/>
          </w:tcPr>
          <w:p w14:paraId="00CA29D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25.92</w:t>
            </w:r>
          </w:p>
        </w:tc>
        <w:tc>
          <w:tcPr>
            <w:tcW w:w="378" w:type="pct"/>
            <w:tcBorders>
              <w:top w:val="single" w:sz="4" w:space="0" w:color="auto"/>
              <w:left w:val="nil"/>
              <w:bottom w:val="single" w:sz="4" w:space="0" w:color="auto"/>
              <w:right w:val="nil"/>
            </w:tcBorders>
            <w:shd w:val="clear" w:color="auto" w:fill="auto"/>
            <w:noWrap/>
            <w:vAlign w:val="bottom"/>
            <w:hideMark/>
          </w:tcPr>
          <w:p w14:paraId="66B3AD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70.3</w:t>
            </w:r>
          </w:p>
        </w:tc>
        <w:tc>
          <w:tcPr>
            <w:tcW w:w="381" w:type="pct"/>
            <w:tcBorders>
              <w:top w:val="single" w:sz="4" w:space="0" w:color="auto"/>
              <w:left w:val="nil"/>
              <w:bottom w:val="single" w:sz="4" w:space="0" w:color="auto"/>
              <w:right w:val="nil"/>
            </w:tcBorders>
            <w:shd w:val="clear" w:color="auto" w:fill="auto"/>
            <w:noWrap/>
            <w:vAlign w:val="bottom"/>
            <w:hideMark/>
          </w:tcPr>
          <w:p w14:paraId="160612F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15.95</w:t>
            </w:r>
          </w:p>
        </w:tc>
        <w:tc>
          <w:tcPr>
            <w:tcW w:w="378" w:type="pct"/>
            <w:tcBorders>
              <w:top w:val="single" w:sz="4" w:space="0" w:color="auto"/>
              <w:left w:val="nil"/>
              <w:bottom w:val="single" w:sz="4" w:space="0" w:color="auto"/>
              <w:right w:val="nil"/>
            </w:tcBorders>
            <w:shd w:val="clear" w:color="auto" w:fill="auto"/>
            <w:noWrap/>
            <w:vAlign w:val="bottom"/>
            <w:hideMark/>
          </w:tcPr>
          <w:p w14:paraId="0212B80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{"citationID":"m4hwgHx4","properties":{"formattedCitation":"[85]","plainCitation":"[85]","noteIndex":0},"citationItems":[{"id":568,"uris":["http://zotero.org/users/12909065/items/5MP983AG"],"itemData":{"id":568,"type":"article-journal","abstract":"Ternary strategy is one of the most commonly used methods to boost the performance of organic solar cells (OSCs) from a binary blend of donor and acceptor. Fullerene derivatives are popular choices for the ternary component as they could benefit the electrical property. However, the ternary component could also affect other physical properties of the bulk-heterojunction (BHJ). Among these properties, heat transfer has rarely been reported, despite its relevance for thermal durability of OSCs. Here, we employ scanning photothermal deflection technique to study thermal diffusion properties of binary PM6:Y7 and ternary PM6:Y7:X BHJs, where X = PC71BM, ICBA, and N2200. It is found that fullerene derivatives deteriorate the thermal diffusivity (D) of blend films and the device thermal durability, despite enhancing the electrical and device performance. In contrast, when an n-type conjugated polymer N2200 is used as the ternary component, both the electrical and thermal properties are enhanced, with improved power conversion efficiency and prolonged device thermal durability. These results offer a perspective on how to choose a favorable third component. Fullerene derivatives are not necessarily the optimal choice for ternary component for BHJ cells because of the inferior thermal properties. © 2022 Author(s).","archive":"Scopus","container-title":"Applied Physics Letters","DOI":"10.1063/5.0080456","ISSN":"0003-6951","issue":"14","language":"English","source":"Scopus","title":"Heat transfer in binary and ternary bulk heterojunction solar cells","volume":"120","author":[{"family":"Gao","given":"Y."},{"family":"Zhang","given":"C."},{"family":"So","given":"S.K."}],"issued":{"date-parts":[["2022"]]}}}],"schema":"https://github.com/citation-style-language/schema/raw/master/csl-citation.json"}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[85]</w:t>
            </w:r>
            <w:r w:rsidRPr="00B55044">
              <w:rPr>
                <w:rFonts w:eastAsia="Times New Roman"/>
                <w:color w:val="0000FF"/>
                <w:sz w:val="16"/>
                <w:szCs w:val="16"/>
              </w:rPr>
              <w:fldChar w:fldCharType="end"/>
            </w:r>
          </w:p>
        </w:tc>
      </w:tr>
      <w:tr w:rsidR="00D47774" w:rsidRPr="00B55044" w14:paraId="0B07FB1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014E71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135</w:t>
            </w:r>
          </w:p>
        </w:tc>
        <w:tc>
          <w:tcPr>
            <w:tcW w:w="1525" w:type="pct"/>
            <w:tcBorders>
              <w:top w:val="single" w:sz="4" w:space="0" w:color="auto"/>
              <w:left w:val="nil"/>
              <w:bottom w:val="single" w:sz="4" w:space="0" w:color="auto"/>
              <w:right w:val="nil"/>
            </w:tcBorders>
            <w:shd w:val="clear" w:color="auto" w:fill="auto"/>
            <w:noWrap/>
            <w:vAlign w:val="bottom"/>
            <w:hideMark/>
          </w:tcPr>
          <w:p w14:paraId="4CF1E23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76809D7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PM6:Y7:ICBA</w:t>
            </w:r>
          </w:p>
        </w:tc>
        <w:tc>
          <w:tcPr>
            <w:tcW w:w="379" w:type="pct"/>
            <w:tcBorders>
              <w:top w:val="single" w:sz="4" w:space="0" w:color="auto"/>
              <w:left w:val="nil"/>
              <w:bottom w:val="single" w:sz="4" w:space="0" w:color="auto"/>
              <w:right w:val="nil"/>
            </w:tcBorders>
            <w:shd w:val="clear" w:color="auto" w:fill="auto"/>
            <w:noWrap/>
            <w:vAlign w:val="bottom"/>
            <w:hideMark/>
          </w:tcPr>
          <w:p w14:paraId="3F26BD1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0.873</w:t>
            </w:r>
          </w:p>
        </w:tc>
        <w:tc>
          <w:tcPr>
            <w:tcW w:w="379" w:type="pct"/>
            <w:tcBorders>
              <w:top w:val="single" w:sz="4" w:space="0" w:color="auto"/>
              <w:left w:val="nil"/>
              <w:bottom w:val="single" w:sz="4" w:space="0" w:color="auto"/>
              <w:right w:val="nil"/>
            </w:tcBorders>
            <w:shd w:val="clear" w:color="auto" w:fill="auto"/>
            <w:noWrap/>
            <w:vAlign w:val="bottom"/>
            <w:hideMark/>
          </w:tcPr>
          <w:p w14:paraId="4C3219B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25.85</w:t>
            </w:r>
          </w:p>
        </w:tc>
        <w:tc>
          <w:tcPr>
            <w:tcW w:w="378" w:type="pct"/>
            <w:tcBorders>
              <w:top w:val="single" w:sz="4" w:space="0" w:color="auto"/>
              <w:left w:val="nil"/>
              <w:bottom w:val="single" w:sz="4" w:space="0" w:color="auto"/>
              <w:right w:val="nil"/>
            </w:tcBorders>
            <w:shd w:val="clear" w:color="auto" w:fill="auto"/>
            <w:noWrap/>
            <w:vAlign w:val="bottom"/>
            <w:hideMark/>
          </w:tcPr>
          <w:p w14:paraId="391157F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70.2</w:t>
            </w:r>
          </w:p>
        </w:tc>
        <w:tc>
          <w:tcPr>
            <w:tcW w:w="381" w:type="pct"/>
            <w:tcBorders>
              <w:top w:val="single" w:sz="4" w:space="0" w:color="auto"/>
              <w:left w:val="nil"/>
              <w:bottom w:val="single" w:sz="4" w:space="0" w:color="auto"/>
              <w:right w:val="nil"/>
            </w:tcBorders>
            <w:shd w:val="clear" w:color="auto" w:fill="auto"/>
            <w:noWrap/>
            <w:vAlign w:val="bottom"/>
            <w:hideMark/>
          </w:tcPr>
          <w:p w14:paraId="6967D04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15.84</w:t>
            </w:r>
          </w:p>
        </w:tc>
        <w:tc>
          <w:tcPr>
            <w:tcW w:w="378" w:type="pct"/>
            <w:tcBorders>
              <w:top w:val="single" w:sz="4" w:space="0" w:color="auto"/>
              <w:left w:val="nil"/>
              <w:bottom w:val="single" w:sz="4" w:space="0" w:color="auto"/>
              <w:right w:val="nil"/>
            </w:tcBorders>
            <w:shd w:val="clear" w:color="auto" w:fill="auto"/>
            <w:noWrap/>
            <w:vAlign w:val="bottom"/>
            <w:hideMark/>
          </w:tcPr>
          <w:p w14:paraId="4EAE2D2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{"citationID":"A5rohlZa","properties":{"formattedCitation":"[85]","plainCitation":"[85]","noteIndex":0},"citationItems":[{"id":568,"uris":["http://zotero.org/users/12909065/items/5MP983AG"],"itemData":{"id":568,"type":"article-journal","abstract":"Ternary strategy is one of the most commonly used methods to boost the performance of organic solar cells (OSCs) from a binary blend of donor and acceptor. Fullerene derivatives are popular choices for the ternary component as they could benefit the electrical property. However, the ternary component could also affect other physical properties of the bulk-heterojunction (BHJ). Among these properties, heat transfer has rarely been reported, despite its relevance for thermal durability of OSCs. Here, we employ scanning photothermal deflection technique to study thermal diffusion properties of binary PM6:Y7 and ternary PM6:Y7:X BHJs, where X = PC71BM, ICBA, and N2200. It is found that fullerene derivatives deteriorate the thermal diffusivity (D) of blend films and the device thermal durability, despite enhancing the electrical and device performance. In contrast, when an n-type conjugated polymer N2200 is used as the ternary component, both the electrical and thermal properties are enhanced, with improved power conversion efficiency and prolonged device thermal durability. These results offer a perspective on how to choose a favorable third component. Fullerene derivatives are not necessarily the optimal choice for ternary component for BHJ cells because of the inferior thermal properties. © 2022 Author(s).","archive":"Scopus","container-title":"Applied Physics Letters","DOI":"10.1063/5.0080456","ISSN":"0003-6951","issue":"14","language":"English","source":"Scopus","title":"Heat transfer in binary and ternary bulk heterojunction solar cells","volume":"120","author":[{"family":"Gao","given":"Y."},{"family":"Zhang","given":"C."},{"family":"So","given":"S.K."}],"issued":{"date-parts":[["2022"]]}}}],"schema":"https://github.com/citation-style-language/schema/raw/master/csl-citation.json"}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[85]</w:t>
            </w:r>
            <w:r w:rsidRPr="00B55044">
              <w:rPr>
                <w:rFonts w:eastAsia="Times New Roman"/>
                <w:color w:val="0000FF"/>
                <w:sz w:val="16"/>
                <w:szCs w:val="16"/>
              </w:rPr>
              <w:fldChar w:fldCharType="end"/>
            </w:r>
          </w:p>
        </w:tc>
      </w:tr>
      <w:tr w:rsidR="00D47774" w:rsidRPr="00B55044" w14:paraId="40862F7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C37FF0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136</w:t>
            </w:r>
          </w:p>
        </w:tc>
        <w:tc>
          <w:tcPr>
            <w:tcW w:w="1525" w:type="pct"/>
            <w:tcBorders>
              <w:top w:val="single" w:sz="4" w:space="0" w:color="auto"/>
              <w:left w:val="nil"/>
              <w:bottom w:val="single" w:sz="4" w:space="0" w:color="auto"/>
              <w:right w:val="nil"/>
            </w:tcBorders>
            <w:shd w:val="clear" w:color="auto" w:fill="auto"/>
            <w:noWrap/>
            <w:vAlign w:val="bottom"/>
            <w:hideMark/>
          </w:tcPr>
          <w:p w14:paraId="1B3FF52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7FABCC4D" w14:textId="75B8F357" w:rsidR="003D460F" w:rsidRPr="00B55044" w:rsidRDefault="003D460F" w:rsidP="00F26985">
            <w:pPr>
              <w:spacing w:line="360" w:lineRule="auto"/>
              <w:rPr>
                <w:rFonts w:eastAsia="Times New Roman"/>
                <w:sz w:val="16"/>
                <w:szCs w:val="16"/>
              </w:rPr>
            </w:pPr>
            <w:r w:rsidRPr="00B55044">
              <w:rPr>
                <w:rFonts w:eastAsia="Times New Roman"/>
                <w:sz w:val="16"/>
                <w:szCs w:val="16"/>
              </w:rPr>
              <w:t>PM6:Y7:PC</w:t>
            </w:r>
            <w:r w:rsidRPr="00D3680E">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7CC9939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0.873</w:t>
            </w:r>
          </w:p>
        </w:tc>
        <w:tc>
          <w:tcPr>
            <w:tcW w:w="379" w:type="pct"/>
            <w:tcBorders>
              <w:top w:val="single" w:sz="4" w:space="0" w:color="auto"/>
              <w:left w:val="nil"/>
              <w:bottom w:val="single" w:sz="4" w:space="0" w:color="auto"/>
              <w:right w:val="nil"/>
            </w:tcBorders>
            <w:shd w:val="clear" w:color="auto" w:fill="auto"/>
            <w:noWrap/>
            <w:vAlign w:val="bottom"/>
            <w:hideMark/>
          </w:tcPr>
          <w:p w14:paraId="5C2FFE2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25.57</w:t>
            </w:r>
          </w:p>
        </w:tc>
        <w:tc>
          <w:tcPr>
            <w:tcW w:w="378" w:type="pct"/>
            <w:tcBorders>
              <w:top w:val="single" w:sz="4" w:space="0" w:color="auto"/>
              <w:left w:val="nil"/>
              <w:bottom w:val="single" w:sz="4" w:space="0" w:color="auto"/>
              <w:right w:val="nil"/>
            </w:tcBorders>
            <w:shd w:val="clear" w:color="auto" w:fill="auto"/>
            <w:noWrap/>
            <w:vAlign w:val="bottom"/>
            <w:hideMark/>
          </w:tcPr>
          <w:p w14:paraId="38368A4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70.1</w:t>
            </w:r>
          </w:p>
        </w:tc>
        <w:tc>
          <w:tcPr>
            <w:tcW w:w="381" w:type="pct"/>
            <w:tcBorders>
              <w:top w:val="single" w:sz="4" w:space="0" w:color="auto"/>
              <w:left w:val="nil"/>
              <w:bottom w:val="single" w:sz="4" w:space="0" w:color="auto"/>
              <w:right w:val="nil"/>
            </w:tcBorders>
            <w:shd w:val="clear" w:color="auto" w:fill="auto"/>
            <w:noWrap/>
            <w:vAlign w:val="bottom"/>
            <w:hideMark/>
          </w:tcPr>
          <w:p w14:paraId="1F6339F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15.64</w:t>
            </w:r>
          </w:p>
        </w:tc>
        <w:tc>
          <w:tcPr>
            <w:tcW w:w="378" w:type="pct"/>
            <w:tcBorders>
              <w:top w:val="single" w:sz="4" w:space="0" w:color="auto"/>
              <w:left w:val="nil"/>
              <w:bottom w:val="single" w:sz="4" w:space="0" w:color="auto"/>
              <w:right w:val="nil"/>
            </w:tcBorders>
            <w:shd w:val="clear" w:color="auto" w:fill="auto"/>
            <w:noWrap/>
            <w:vAlign w:val="bottom"/>
            <w:hideMark/>
          </w:tcPr>
          <w:p w14:paraId="3CB32B0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{"citationID":"1teX1pvu","properties":{"formattedCitation":"[85]","plainCitation":"[85]","noteIndex":0},"citationItems":[{"id":568,"uris":["http://zotero.org/users/12909065/items/5MP983AG"],"itemData":{"id":568,"type":"article-journal","abstract":"Ternary strategy is one of the most commonly used methods to boost the performance of organic solar cells (OSCs) from a binary blend of donor and acceptor. Fullerene derivatives are popular choices for the ternary component as they could benefit the electrical property. However, the ternary component could also affect other physical properties of the bulk-heterojunction (BHJ). Among these properties, heat transfer has rarely been reported, despite its relevance for thermal durability of OSCs. Here, we employ scanning photothermal deflection technique to study thermal diffusion properties of binary PM6:Y7 and ternary PM6:Y7:X BHJs, where X = PC71BM, ICBA, and N2200. It is found that fullerene derivatives deteriorate the thermal diffusivity (D) of blend films and the device thermal durability, despite enhancing the electrical and device performance. In contrast, when an n-type conjugated polymer N2200 is used as the ternary component, both the electrical and thermal properties are enhanced, with improved power conversion efficiency and prolonged device thermal durability. These results offer a perspective on how to choose a favorable third component. Fullerene derivatives are not necessarily the optimal choice for ternary component for BHJ cells because of the inferior thermal properties. © 2022 Author(s).","archive":"Scopus","container-title":"Applied Physics Letters","DOI":"10.1063/5.0080456","ISSN":"0003-6951","issue":"14","language":"English","source":"Scopus","title":"Heat transfer in binary and ternary bulk heterojunction solar cells","volume":"120","author":[{"family":"Gao","given":"Y."},{"family":"Zhang","given":"C."},{"family":"So","given":"S.K."}],"issued":{"date-parts":[["2022"]]}}}],"schema":"https://github.com/citation-style-language/schema/raw/master/csl-citation.json"}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[85]</w:t>
            </w:r>
            <w:r w:rsidRPr="00B55044">
              <w:rPr>
                <w:rFonts w:eastAsia="Times New Roman"/>
                <w:color w:val="0000FF"/>
                <w:sz w:val="16"/>
                <w:szCs w:val="16"/>
              </w:rPr>
              <w:fldChar w:fldCharType="end"/>
            </w:r>
          </w:p>
        </w:tc>
      </w:tr>
      <w:tr w:rsidR="00D47774" w:rsidRPr="00B55044" w14:paraId="7F53AF4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6D6C69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137</w:t>
            </w:r>
          </w:p>
        </w:tc>
        <w:tc>
          <w:tcPr>
            <w:tcW w:w="1525" w:type="pct"/>
            <w:tcBorders>
              <w:top w:val="single" w:sz="4" w:space="0" w:color="auto"/>
              <w:left w:val="nil"/>
              <w:bottom w:val="single" w:sz="4" w:space="0" w:color="auto"/>
              <w:right w:val="nil"/>
            </w:tcBorders>
            <w:shd w:val="clear" w:color="auto" w:fill="auto"/>
            <w:noWrap/>
            <w:vAlign w:val="bottom"/>
            <w:hideMark/>
          </w:tcPr>
          <w:p w14:paraId="288E303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ITO/ZnO/AL/MoO3/Ag</w:t>
            </w:r>
          </w:p>
        </w:tc>
        <w:tc>
          <w:tcPr>
            <w:tcW w:w="1288" w:type="pct"/>
            <w:tcBorders>
              <w:top w:val="single" w:sz="4" w:space="0" w:color="auto"/>
              <w:left w:val="nil"/>
              <w:bottom w:val="single" w:sz="4" w:space="0" w:color="auto"/>
              <w:right w:val="nil"/>
            </w:tcBorders>
            <w:shd w:val="clear" w:color="auto" w:fill="auto"/>
            <w:noWrap/>
            <w:vAlign w:val="bottom"/>
            <w:hideMark/>
          </w:tcPr>
          <w:p w14:paraId="71DD0E1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PM6:Y6:ITIC</w:t>
            </w:r>
          </w:p>
        </w:tc>
        <w:tc>
          <w:tcPr>
            <w:tcW w:w="379" w:type="pct"/>
            <w:tcBorders>
              <w:top w:val="single" w:sz="4" w:space="0" w:color="auto"/>
              <w:left w:val="nil"/>
              <w:bottom w:val="single" w:sz="4" w:space="0" w:color="auto"/>
              <w:right w:val="nil"/>
            </w:tcBorders>
            <w:shd w:val="clear" w:color="auto" w:fill="auto"/>
            <w:noWrap/>
            <w:vAlign w:val="bottom"/>
            <w:hideMark/>
          </w:tcPr>
          <w:p w14:paraId="48726D3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w:t>
            </w:r>
          </w:p>
        </w:tc>
        <w:tc>
          <w:tcPr>
            <w:tcW w:w="379" w:type="pct"/>
            <w:tcBorders>
              <w:top w:val="single" w:sz="4" w:space="0" w:color="auto"/>
              <w:left w:val="nil"/>
              <w:bottom w:val="single" w:sz="4" w:space="0" w:color="auto"/>
              <w:right w:val="nil"/>
            </w:tcBorders>
            <w:shd w:val="clear" w:color="auto" w:fill="auto"/>
            <w:noWrap/>
            <w:vAlign w:val="bottom"/>
            <w:hideMark/>
          </w:tcPr>
          <w:p w14:paraId="68D476F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26.9</w:t>
            </w:r>
          </w:p>
        </w:tc>
        <w:tc>
          <w:tcPr>
            <w:tcW w:w="378" w:type="pct"/>
            <w:tcBorders>
              <w:top w:val="single" w:sz="4" w:space="0" w:color="auto"/>
              <w:left w:val="nil"/>
              <w:bottom w:val="single" w:sz="4" w:space="0" w:color="auto"/>
              <w:right w:val="nil"/>
            </w:tcBorders>
            <w:shd w:val="clear" w:color="auto" w:fill="auto"/>
            <w:noWrap/>
            <w:vAlign w:val="bottom"/>
            <w:hideMark/>
          </w:tcPr>
          <w:p w14:paraId="39E51DC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69.7</w:t>
            </w:r>
          </w:p>
        </w:tc>
        <w:tc>
          <w:tcPr>
            <w:tcW w:w="381" w:type="pct"/>
            <w:tcBorders>
              <w:top w:val="single" w:sz="4" w:space="0" w:color="auto"/>
              <w:left w:val="nil"/>
              <w:bottom w:val="single" w:sz="4" w:space="0" w:color="auto"/>
              <w:right w:val="nil"/>
            </w:tcBorders>
            <w:shd w:val="clear" w:color="auto" w:fill="auto"/>
            <w:noWrap/>
            <w:vAlign w:val="bottom"/>
            <w:hideMark/>
          </w:tcPr>
          <w:p w14:paraId="25B5182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16.5</w:t>
            </w:r>
          </w:p>
        </w:tc>
        <w:tc>
          <w:tcPr>
            <w:tcW w:w="378" w:type="pct"/>
            <w:tcBorders>
              <w:top w:val="single" w:sz="4" w:space="0" w:color="auto"/>
              <w:left w:val="nil"/>
              <w:bottom w:val="single" w:sz="4" w:space="0" w:color="auto"/>
              <w:right w:val="nil"/>
            </w:tcBorders>
            <w:shd w:val="clear" w:color="auto" w:fill="auto"/>
            <w:noWrap/>
            <w:vAlign w:val="bottom"/>
            <w:hideMark/>
          </w:tcPr>
          <w:p w14:paraId="2F6CE32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{"citationID":"X6jjiMEe","properties":{"formattedCitation":"[86]","plainCitation":"[86]","noteIndex":0},"citationItems":[{"id":567,"uris":["http://zotero.org/users/12909065/items/DTFXB3ID"],"itemData":{"id":567,"type":"article-journal","abstract":"Although ternary-blend solar cells (TSCs) featuring alloyed systems with two acceptors can display high power conversion efficiencies (PCEs) while minimizing energy loss, it can be difficult to control the morphology of the alloyed ternary blend. In this study we developed a gradient ternary (Gradient-Ternary) device architecture by transferring a bulk-heterojunction (BHJ) layer over the spin-coated ternary blend to enhance the PCEs of alloyed TSCs. The Gradient-Ternary architecture, which was similar to that of a compositional-gradient BHJ blend, featured a vertically stratified morphology that established efficient charge extraction pathways, thereby mitigating the recombination loss faced by the corresponding Ternary blend, while concurrently improving the photocurrent, relative to that of the Ternary blend, without suffering losses in any of the other photovoltaic parameters. A champion efficiency of 16.5% was obtained using the Gradient-Ternary architecture (PM6:Y6:ITIC/PM6:ITIC) was higher than those of the Ternary (PM6:Y6:ITIC) and Binary (PM6:Y6) architectures exhibiting an efficiency of 15.7% and 15.0% respectively. Applying such gradient architectures might also accelerate the efficiency of other organic solar cells. © 2021 Elsevier B.V.","archive":"Scopus","container-title":"Chemical Engineering Journal","DOI":"10.1016/j.cej.2021.134337","ISSN":"1385-8947","language":"English","source":"Scopus","title":"Sequential stacking of a thin BHJ layer acting as a morphology regulator for efficiency enhancement in non-fullerene ternary solar cells","volume":"433","author":[{"family":"Mohapatra","given":"A."},{"family":"Cheng","given":"H.-W."},{"family":"Lal Meena","given":"M."},{"family":"Lin","given":"C.-A."},{"family":"Wei","given":"K.-H."},{"family":"Lu","given":"Y.-J."},{"family":"Lee","given":"C.-H."},{"family":"Lin","given":"S.D."},{"family":"Wei Chu","given":"C."}],"issued":{"date-parts":[["2022"]]}}}],"schema":"https://github.com/citation-style-language/schema/raw/master/csl-citation.json"}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[86]</w:t>
            </w:r>
            <w:r w:rsidRPr="00B55044">
              <w:rPr>
                <w:rFonts w:eastAsia="Times New Roman"/>
                <w:color w:val="0000FF"/>
                <w:sz w:val="16"/>
                <w:szCs w:val="16"/>
              </w:rPr>
              <w:fldChar w:fldCharType="end"/>
            </w:r>
          </w:p>
        </w:tc>
      </w:tr>
      <w:tr w:rsidR="00D47774" w:rsidRPr="00B55044" w14:paraId="4CD1B0B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8781BA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138</w:t>
            </w:r>
          </w:p>
        </w:tc>
        <w:tc>
          <w:tcPr>
            <w:tcW w:w="1525" w:type="pct"/>
            <w:tcBorders>
              <w:top w:val="single" w:sz="4" w:space="0" w:color="auto"/>
              <w:left w:val="nil"/>
              <w:bottom w:val="single" w:sz="4" w:space="0" w:color="auto"/>
              <w:right w:val="nil"/>
            </w:tcBorders>
            <w:shd w:val="clear" w:color="auto" w:fill="auto"/>
            <w:noWrap/>
            <w:vAlign w:val="bottom"/>
            <w:hideMark/>
          </w:tcPr>
          <w:p w14:paraId="42C975A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ITO/PEDOT:PSS/AL/PDIN/Ag</w:t>
            </w:r>
          </w:p>
        </w:tc>
        <w:tc>
          <w:tcPr>
            <w:tcW w:w="1288" w:type="pct"/>
            <w:tcBorders>
              <w:top w:val="single" w:sz="4" w:space="0" w:color="auto"/>
              <w:left w:val="nil"/>
              <w:bottom w:val="single" w:sz="4" w:space="0" w:color="auto"/>
              <w:right w:val="nil"/>
            </w:tcBorders>
            <w:shd w:val="clear" w:color="auto" w:fill="auto"/>
            <w:noWrap/>
            <w:vAlign w:val="bottom"/>
            <w:hideMark/>
          </w:tcPr>
          <w:p w14:paraId="45B3C3B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PM6:TTBT-R:Y6</w:t>
            </w:r>
          </w:p>
        </w:tc>
        <w:tc>
          <w:tcPr>
            <w:tcW w:w="379" w:type="pct"/>
            <w:tcBorders>
              <w:top w:val="single" w:sz="4" w:space="0" w:color="auto"/>
              <w:left w:val="nil"/>
              <w:bottom w:val="single" w:sz="4" w:space="0" w:color="auto"/>
              <w:right w:val="nil"/>
            </w:tcBorders>
            <w:shd w:val="clear" w:color="auto" w:fill="auto"/>
            <w:noWrap/>
            <w:vAlign w:val="bottom"/>
            <w:hideMark/>
          </w:tcPr>
          <w:p w14:paraId="1C69005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0.862</w:t>
            </w:r>
          </w:p>
        </w:tc>
        <w:tc>
          <w:tcPr>
            <w:tcW w:w="379" w:type="pct"/>
            <w:tcBorders>
              <w:top w:val="single" w:sz="4" w:space="0" w:color="auto"/>
              <w:left w:val="nil"/>
              <w:bottom w:val="single" w:sz="4" w:space="0" w:color="auto"/>
              <w:right w:val="nil"/>
            </w:tcBorders>
            <w:shd w:val="clear" w:color="auto" w:fill="auto"/>
            <w:noWrap/>
            <w:vAlign w:val="bottom"/>
            <w:hideMark/>
          </w:tcPr>
          <w:p w14:paraId="033F5C9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27.01</w:t>
            </w:r>
          </w:p>
        </w:tc>
        <w:tc>
          <w:tcPr>
            <w:tcW w:w="378" w:type="pct"/>
            <w:tcBorders>
              <w:top w:val="single" w:sz="4" w:space="0" w:color="auto"/>
              <w:left w:val="nil"/>
              <w:bottom w:val="single" w:sz="4" w:space="0" w:color="auto"/>
              <w:right w:val="nil"/>
            </w:tcBorders>
            <w:shd w:val="clear" w:color="auto" w:fill="auto"/>
            <w:noWrap/>
            <w:vAlign w:val="bottom"/>
            <w:hideMark/>
          </w:tcPr>
          <w:p w14:paraId="30D06CF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76.13</w:t>
            </w:r>
          </w:p>
        </w:tc>
        <w:tc>
          <w:tcPr>
            <w:tcW w:w="381" w:type="pct"/>
            <w:tcBorders>
              <w:top w:val="single" w:sz="4" w:space="0" w:color="auto"/>
              <w:left w:val="nil"/>
              <w:bottom w:val="single" w:sz="4" w:space="0" w:color="auto"/>
              <w:right w:val="nil"/>
            </w:tcBorders>
            <w:shd w:val="clear" w:color="auto" w:fill="auto"/>
            <w:noWrap/>
            <w:vAlign w:val="bottom"/>
            <w:hideMark/>
          </w:tcPr>
          <w:p w14:paraId="46F1249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18.07</w:t>
            </w:r>
          </w:p>
        </w:tc>
        <w:tc>
          <w:tcPr>
            <w:tcW w:w="378" w:type="pct"/>
            <w:tcBorders>
              <w:top w:val="single" w:sz="4" w:space="0" w:color="auto"/>
              <w:left w:val="nil"/>
              <w:bottom w:val="single" w:sz="4" w:space="0" w:color="auto"/>
              <w:right w:val="nil"/>
            </w:tcBorders>
            <w:shd w:val="clear" w:color="auto" w:fill="auto"/>
            <w:noWrap/>
            <w:vAlign w:val="bottom"/>
            <w:hideMark/>
          </w:tcPr>
          <w:p w14:paraId="2C156BB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{"citationID":"a2eruv6m265","properties":{"formattedCitation":"[87]","plainCitation":"[87]","noteIndex":0},"citationItems":[{"id":566,"uris":["http://zotero.org/users/12909065/items/DXJ7J9AR"],"itemData":{"id":566,"type":"article-journal","abstract":"An asymmetric small molecule donor, TTBT-R, incorporated with 4,5-di(2-ethylhexyl)oxybenzo[2,1-b:3,4-b′]dithiophene as the core, was exploited for high-performance ternary organic solar cells (OSCs), and possesses a complementary absorption band and cascaded energy levels with PM6 and Y6. The ternary blend film (PM6:TTBT-R:Y6 = 0.9 : 0.1 : 1) attains the most optimized morphology with a nanofiber-like structure and small domain size as well as strong face-on molecular packing, which leads to the most balanced charge transport, highest charge mobilities and lowest charge recombination in its device. In addition, TTBT-R possesses a lower-lying HOMO energy level than PM6, which brings about higher Voc in ternary OSCs. Accordingly, the ternary OSC with 10 wt% TTBT-R achieved a PCE of 18.07% due to the comprehensively improved Voc (0.863 V), Jsc (27.38 mA cm−2), and FF (76.46%) values compared with the PM6:Y6 binary OSC. This work provides not only a small molecule with 4,5-dialkyloxybenzo[2,1-b:3,4-b′]dithiophene as the core but also an asymmetric strategy with a non-fused structure to tune the molecular packing, energy levels and absorption spectrum of small molecules for constructing high-performance ternary OSCs. © 2022 The Royal Society of Chemistry","archive":"Scopus","container-title":"Journal of Materials Chemistry A","DOI":"10.1039/d2ta00564f","ISSN":"2050-7488","issue":"17","language":"English","page":"9746-9752","source":"Scopus","title":"An asymmetric small-molecule donor enables over 18% efficiency in ternary organic solar cells","volume":"10","author":[{"family":"Guan","given":"M."},{"family":"Tao","given":"W."},{"family":"Xu","given":"L."},{"family":"Qin","given":"Y."},{"family":"Zhang","given":"J."},{"family":"Tan","given":"S."},{"family":"Huang","given":"M."},{"family":"Zhao","given":"B."}],"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[87]</w:t>
            </w:r>
            <w:r w:rsidRPr="00B55044">
              <w:rPr>
                <w:rFonts w:eastAsia="Times New Roman"/>
                <w:color w:val="0000FF"/>
                <w:sz w:val="16"/>
                <w:szCs w:val="16"/>
              </w:rPr>
              <w:fldChar w:fldCharType="end"/>
            </w:r>
          </w:p>
        </w:tc>
      </w:tr>
      <w:tr w:rsidR="00D47774" w:rsidRPr="00B55044" w14:paraId="4B38D3D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375D5B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139</w:t>
            </w:r>
          </w:p>
        </w:tc>
        <w:tc>
          <w:tcPr>
            <w:tcW w:w="1525" w:type="pct"/>
            <w:tcBorders>
              <w:top w:val="single" w:sz="4" w:space="0" w:color="auto"/>
              <w:left w:val="nil"/>
              <w:bottom w:val="single" w:sz="4" w:space="0" w:color="auto"/>
              <w:right w:val="nil"/>
            </w:tcBorders>
            <w:shd w:val="clear" w:color="auto" w:fill="auto"/>
            <w:noWrap/>
            <w:vAlign w:val="bottom"/>
            <w:hideMark/>
          </w:tcPr>
          <w:p w14:paraId="7A93C66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ITO/PEDOT:PSS/AL/PDINO/Ag</w:t>
            </w:r>
          </w:p>
        </w:tc>
        <w:tc>
          <w:tcPr>
            <w:tcW w:w="1288" w:type="pct"/>
            <w:tcBorders>
              <w:top w:val="single" w:sz="4" w:space="0" w:color="auto"/>
              <w:left w:val="nil"/>
              <w:bottom w:val="single" w:sz="4" w:space="0" w:color="auto"/>
              <w:right w:val="nil"/>
            </w:tcBorders>
            <w:shd w:val="clear" w:color="auto" w:fill="auto"/>
            <w:noWrap/>
            <w:vAlign w:val="bottom"/>
            <w:hideMark/>
          </w:tcPr>
          <w:p w14:paraId="122E8AB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PM6:Y6:BTP-MCA</w:t>
            </w:r>
          </w:p>
        </w:tc>
        <w:tc>
          <w:tcPr>
            <w:tcW w:w="379" w:type="pct"/>
            <w:tcBorders>
              <w:top w:val="single" w:sz="4" w:space="0" w:color="auto"/>
              <w:left w:val="nil"/>
              <w:bottom w:val="single" w:sz="4" w:space="0" w:color="auto"/>
              <w:right w:val="nil"/>
            </w:tcBorders>
            <w:shd w:val="clear" w:color="auto" w:fill="auto"/>
            <w:noWrap/>
            <w:vAlign w:val="bottom"/>
            <w:hideMark/>
          </w:tcPr>
          <w:p w14:paraId="1E8BBA7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717E0F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26.74</w:t>
            </w:r>
          </w:p>
        </w:tc>
        <w:tc>
          <w:tcPr>
            <w:tcW w:w="378" w:type="pct"/>
            <w:tcBorders>
              <w:top w:val="single" w:sz="4" w:space="0" w:color="auto"/>
              <w:left w:val="nil"/>
              <w:bottom w:val="single" w:sz="4" w:space="0" w:color="auto"/>
              <w:right w:val="nil"/>
            </w:tcBorders>
            <w:shd w:val="clear" w:color="auto" w:fill="auto"/>
            <w:noWrap/>
            <w:vAlign w:val="bottom"/>
            <w:hideMark/>
          </w:tcPr>
          <w:p w14:paraId="0C255CE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w:t>
            </w:r>
          </w:p>
        </w:tc>
        <w:tc>
          <w:tcPr>
            <w:tcW w:w="381" w:type="pct"/>
            <w:tcBorders>
              <w:top w:val="single" w:sz="4" w:space="0" w:color="auto"/>
              <w:left w:val="nil"/>
              <w:bottom w:val="single" w:sz="4" w:space="0" w:color="auto"/>
              <w:right w:val="nil"/>
            </w:tcBorders>
            <w:shd w:val="clear" w:color="auto" w:fill="auto"/>
            <w:noWrap/>
            <w:vAlign w:val="bottom"/>
            <w:hideMark/>
          </w:tcPr>
          <w:p w14:paraId="106A7ED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w:t>
            </w:r>
          </w:p>
        </w:tc>
        <w:tc>
          <w:tcPr>
            <w:tcW w:w="378" w:type="pct"/>
            <w:tcBorders>
              <w:top w:val="single" w:sz="4" w:space="0" w:color="auto"/>
              <w:left w:val="nil"/>
              <w:bottom w:val="single" w:sz="4" w:space="0" w:color="auto"/>
              <w:right w:val="nil"/>
            </w:tcBorders>
            <w:shd w:val="clear" w:color="auto" w:fill="auto"/>
            <w:noWrap/>
            <w:vAlign w:val="bottom"/>
            <w:hideMark/>
          </w:tcPr>
          <w:p w14:paraId="60918F7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{"citationID":"a1maoj8gvga","properties":{"formattedCitation":"[88]","plainCitation":"[88]","noteIndex":0},"citationItems":[{"id":565,"uris":["http://zotero.org/users/12909065/items/VEQYUT3E"],"itemData":{"id":565,"type":"article-journal","abstract":"Ternary blending based on an alloy-like model has been proved as an efficient strategy for high-efficiency organic solar cells (OSCs). However, the third component that possesses excellent miscibility with host materials in the alloy-like model may trigger adverse effects for the active layer, especially at a high doping ratio. In this work, we propose a new concept of nonalloy model for the ternary OSCs in which the third component presents moderate miscibility with the acceptor and distributes at the interspace between donor and acceptor domains. The nonalloy model is constructed based on the PM6:Y6 system, and a Y6 analogue (BTP-MCA) is synthesized as the third component. The BTP-MCA can maintain initial excellent morphology of the active layer and enhance the morphological stability by acting as a frame around the host materials. As a result, ternary OSCs based on the PM6:Y6:BTP-MCA blend exhibit an impressive efficiency of 17.0% with a high open-circuit voltage of 0.87 V. Moreover, the devices present a high doping tolerance (keeping high efficiency with a doping ratio of 50%) and improved stability. This work indicates that the nonalloy model can be a promising method to fabricate efficient and stable ternary OSCs apart from the conventional alloy-like model. © 2022 American Chemical Society. All rights reserved.","archive":"Scopus","container-title":"ACS Applied Materials and Interfaces","DOI":"10.1021/acsami.1c23513","ISSN":"1944-8244","issue":"10","language":"English","page":"12461-12468","source":"Scopus","title":"Nonalloy Model-Based Ternary Organic Solar Cells","volume":"14","author":[{"family":"Ni","given":"Y."},{"family":"Liu","given":"X."},{"family":"Liu","given":"Y."},{"family":"Feng","given":"Z."},{"family":"Tu","given":"D."},{"family":"Guo","given":"X."},{"family":"Li","given":"C."}],"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[88]</w:t>
            </w:r>
            <w:r w:rsidRPr="00B55044">
              <w:rPr>
                <w:rFonts w:eastAsia="Times New Roman"/>
                <w:color w:val="0000FF"/>
                <w:sz w:val="16"/>
                <w:szCs w:val="16"/>
              </w:rPr>
              <w:fldChar w:fldCharType="end"/>
            </w:r>
          </w:p>
        </w:tc>
      </w:tr>
      <w:tr w:rsidR="00D47774" w:rsidRPr="00B55044" w14:paraId="3385AB8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E24C21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140</w:t>
            </w:r>
          </w:p>
        </w:tc>
        <w:tc>
          <w:tcPr>
            <w:tcW w:w="1525" w:type="pct"/>
            <w:tcBorders>
              <w:top w:val="single" w:sz="4" w:space="0" w:color="auto"/>
              <w:left w:val="nil"/>
              <w:bottom w:val="single" w:sz="4" w:space="0" w:color="auto"/>
              <w:right w:val="nil"/>
            </w:tcBorders>
            <w:shd w:val="clear" w:color="auto" w:fill="auto"/>
            <w:noWrap/>
            <w:vAlign w:val="bottom"/>
            <w:hideMark/>
          </w:tcPr>
          <w:p w14:paraId="4337C3E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ITO/PEDOT:PSS/AL/PDINO/Ag</w:t>
            </w:r>
          </w:p>
        </w:tc>
        <w:tc>
          <w:tcPr>
            <w:tcW w:w="1288" w:type="pct"/>
            <w:tcBorders>
              <w:top w:val="single" w:sz="4" w:space="0" w:color="auto"/>
              <w:left w:val="nil"/>
              <w:bottom w:val="single" w:sz="4" w:space="0" w:color="auto"/>
              <w:right w:val="nil"/>
            </w:tcBorders>
            <w:shd w:val="clear" w:color="auto" w:fill="auto"/>
            <w:noWrap/>
            <w:vAlign w:val="bottom"/>
            <w:hideMark/>
          </w:tcPr>
          <w:p w14:paraId="4D6347F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PM6:Y6:BTP-MCA</w:t>
            </w:r>
          </w:p>
        </w:tc>
        <w:tc>
          <w:tcPr>
            <w:tcW w:w="379" w:type="pct"/>
            <w:tcBorders>
              <w:top w:val="single" w:sz="4" w:space="0" w:color="auto"/>
              <w:left w:val="nil"/>
              <w:bottom w:val="single" w:sz="4" w:space="0" w:color="auto"/>
              <w:right w:val="nil"/>
            </w:tcBorders>
            <w:shd w:val="clear" w:color="auto" w:fill="auto"/>
            <w:noWrap/>
            <w:vAlign w:val="bottom"/>
            <w:hideMark/>
          </w:tcPr>
          <w:p w14:paraId="74CBA5E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43A8F92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26.64</w:t>
            </w:r>
          </w:p>
        </w:tc>
        <w:tc>
          <w:tcPr>
            <w:tcW w:w="378" w:type="pct"/>
            <w:tcBorders>
              <w:top w:val="single" w:sz="4" w:space="0" w:color="auto"/>
              <w:left w:val="nil"/>
              <w:bottom w:val="single" w:sz="4" w:space="0" w:color="auto"/>
              <w:right w:val="nil"/>
            </w:tcBorders>
            <w:shd w:val="clear" w:color="auto" w:fill="auto"/>
            <w:noWrap/>
            <w:vAlign w:val="bottom"/>
            <w:hideMark/>
          </w:tcPr>
          <w:p w14:paraId="446AD31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69.3</w:t>
            </w:r>
          </w:p>
        </w:tc>
        <w:tc>
          <w:tcPr>
            <w:tcW w:w="381" w:type="pct"/>
            <w:tcBorders>
              <w:top w:val="single" w:sz="4" w:space="0" w:color="auto"/>
              <w:left w:val="nil"/>
              <w:bottom w:val="single" w:sz="4" w:space="0" w:color="auto"/>
              <w:right w:val="nil"/>
            </w:tcBorders>
            <w:shd w:val="clear" w:color="auto" w:fill="auto"/>
            <w:noWrap/>
            <w:vAlign w:val="bottom"/>
            <w:hideMark/>
          </w:tcPr>
          <w:p w14:paraId="5130DA3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w:t>
            </w:r>
          </w:p>
        </w:tc>
        <w:tc>
          <w:tcPr>
            <w:tcW w:w="378" w:type="pct"/>
            <w:tcBorders>
              <w:top w:val="single" w:sz="4" w:space="0" w:color="auto"/>
              <w:left w:val="nil"/>
              <w:bottom w:val="single" w:sz="4" w:space="0" w:color="auto"/>
              <w:right w:val="nil"/>
            </w:tcBorders>
            <w:shd w:val="clear" w:color="auto" w:fill="auto"/>
            <w:noWrap/>
            <w:vAlign w:val="bottom"/>
            <w:hideMark/>
          </w:tcPr>
          <w:p w14:paraId="5A3161E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{"citationID":"a2gr8hbbhfn","properties":{"formattedCitation":"[88]","plainCitation":"[88]","noteIndex":0},"citationItems":[{"id":565,"uris":["http://zotero.org/users/12909065/items/VEQYUT3E"],"itemData":{"id":565,"type":"article-journal","abstract":"Ternary blending based on an alloy-like model has been proved as an efficient strategy for high-efficiency organic solar cells (OSCs). However, the third component that possesses excellent miscibility with host materials in the alloy-like model may trigger adverse effects for the active layer, especially at a high doping ratio. In this work, we propose a new concept of nonalloy model for the ternary OSCs in which the third component presents moderate miscibility with the acceptor and distributes at the interspace between donor and acceptor domains. The nonalloy model is constructed based on the PM6:Y6 system, and a Y6 analogue (BTP-MCA) is synthesized as the third component. The BTP-MCA can maintain initial excellent morphology of the active layer and enhance the morphological stability by acting as a frame around the host materials. As a result, ternary OSCs based on the PM6:Y6:BTP-MCA blend exhibit an impressive efficiency of 17.0% with a high open-circuit voltage of 0.87 V. Moreover, the devices present a high doping tolerance (keeping high efficiency with a doping ratio of 50%) and improved stability. This work indicates that the nonalloy model can be a promising method to fabricate efficient and stable ternary OSCs apart from the conventional alloy-like model. © 2022 American Chemical Society. All rights reserved.","archive":"Scopus","container-title":"ACS Applied Materials and Interfaces","DOI":"10.1021/acsami.1c23513","ISSN":"1944-8244","issue":"10","language":"English","page":"12461-12468","source":"Scopus","title":"Nonalloy Model-Based Ternary Organic Solar Cells","volume":"14","author":[{"family":"Ni","given":"Y."},{"family":"Liu","given":"X."},{"family":"Liu","given":"Y."},{"family":"Feng","given":"Z."},{"family":"Tu","given":"D."},{"family":"Guo","given":"X."},{"family":"Li","given":"C."}],"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[88]</w:t>
            </w:r>
            <w:r w:rsidRPr="00B55044">
              <w:rPr>
                <w:rFonts w:eastAsia="Times New Roman"/>
                <w:color w:val="0000FF"/>
                <w:sz w:val="16"/>
                <w:szCs w:val="16"/>
              </w:rPr>
              <w:fldChar w:fldCharType="end"/>
            </w:r>
          </w:p>
        </w:tc>
      </w:tr>
      <w:tr w:rsidR="00D47774" w:rsidRPr="00B55044" w14:paraId="0A41D92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A12B80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141</w:t>
            </w:r>
          </w:p>
        </w:tc>
        <w:tc>
          <w:tcPr>
            <w:tcW w:w="1525" w:type="pct"/>
            <w:tcBorders>
              <w:top w:val="single" w:sz="4" w:space="0" w:color="auto"/>
              <w:left w:val="nil"/>
              <w:bottom w:val="single" w:sz="4" w:space="0" w:color="auto"/>
              <w:right w:val="nil"/>
            </w:tcBorders>
            <w:shd w:val="clear" w:color="auto" w:fill="auto"/>
            <w:noWrap/>
            <w:vAlign w:val="bottom"/>
            <w:hideMark/>
          </w:tcPr>
          <w:p w14:paraId="2B2BD2A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4B3CCA7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PM6:5BDTBDD:BTP-BO4Cl</w:t>
            </w:r>
          </w:p>
        </w:tc>
        <w:tc>
          <w:tcPr>
            <w:tcW w:w="379" w:type="pct"/>
            <w:tcBorders>
              <w:top w:val="single" w:sz="4" w:space="0" w:color="auto"/>
              <w:left w:val="nil"/>
              <w:bottom w:val="single" w:sz="4" w:space="0" w:color="auto"/>
              <w:right w:val="nil"/>
            </w:tcBorders>
            <w:shd w:val="clear" w:color="auto" w:fill="auto"/>
            <w:noWrap/>
            <w:vAlign w:val="bottom"/>
            <w:hideMark/>
          </w:tcPr>
          <w:p w14:paraId="762F74B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0.843</w:t>
            </w:r>
          </w:p>
        </w:tc>
        <w:tc>
          <w:tcPr>
            <w:tcW w:w="379" w:type="pct"/>
            <w:tcBorders>
              <w:top w:val="single" w:sz="4" w:space="0" w:color="auto"/>
              <w:left w:val="nil"/>
              <w:bottom w:val="single" w:sz="4" w:space="0" w:color="auto"/>
              <w:right w:val="nil"/>
            </w:tcBorders>
            <w:shd w:val="clear" w:color="auto" w:fill="auto"/>
            <w:noWrap/>
            <w:vAlign w:val="bottom"/>
            <w:hideMark/>
          </w:tcPr>
          <w:p w14:paraId="159C9F1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26.83</w:t>
            </w:r>
          </w:p>
        </w:tc>
        <w:tc>
          <w:tcPr>
            <w:tcW w:w="378" w:type="pct"/>
            <w:tcBorders>
              <w:top w:val="single" w:sz="4" w:space="0" w:color="auto"/>
              <w:left w:val="nil"/>
              <w:bottom w:val="single" w:sz="4" w:space="0" w:color="auto"/>
              <w:right w:val="nil"/>
            </w:tcBorders>
            <w:shd w:val="clear" w:color="auto" w:fill="auto"/>
            <w:noWrap/>
            <w:vAlign w:val="bottom"/>
            <w:hideMark/>
          </w:tcPr>
          <w:p w14:paraId="3490FC4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77.43</w:t>
            </w:r>
          </w:p>
        </w:tc>
        <w:tc>
          <w:tcPr>
            <w:tcW w:w="381" w:type="pct"/>
            <w:tcBorders>
              <w:top w:val="single" w:sz="4" w:space="0" w:color="auto"/>
              <w:left w:val="nil"/>
              <w:bottom w:val="single" w:sz="4" w:space="0" w:color="auto"/>
              <w:right w:val="nil"/>
            </w:tcBorders>
            <w:shd w:val="clear" w:color="auto" w:fill="auto"/>
            <w:noWrap/>
            <w:vAlign w:val="bottom"/>
            <w:hideMark/>
          </w:tcPr>
          <w:p w14:paraId="392AA9A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17.54</w:t>
            </w:r>
          </w:p>
        </w:tc>
        <w:tc>
          <w:tcPr>
            <w:tcW w:w="378" w:type="pct"/>
            <w:tcBorders>
              <w:top w:val="single" w:sz="4" w:space="0" w:color="auto"/>
              <w:left w:val="nil"/>
              <w:bottom w:val="single" w:sz="4" w:space="0" w:color="auto"/>
              <w:right w:val="nil"/>
            </w:tcBorders>
            <w:shd w:val="clear" w:color="auto" w:fill="auto"/>
            <w:noWrap/>
            <w:vAlign w:val="bottom"/>
            <w:hideMark/>
          </w:tcPr>
          <w:p w14:paraId="34BB233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{"citationID":"a1386tm1q1","properties":{"formattedCitation":"[89]","plainCitation":"[89]","noteIndex":0},"citationItems":[{"id":564,"uris":["http://zotero.org/users/12909065/items/6ZVRG39Z"],"itemData":{"id":564,"type":"article-journal","abstract":"The large non-radiative recombination is the main factor that limits state-of-the-art organic solar cells (OSCs). In this work, two novel structurally similar oligomers (named 5BDTBDD and 5BDDBDT) with D-A-D-A-D and A-D-A-D-A configuration are synthesized for high-performance ternary OSCs with low energy loss. As third components, these PM6 analogue oligomers effectively suppress the non-radiative recombination in OSCs. Although the highest occupied molecular orbital (HOMO) levels of 5BDTBDD and 5BDDBDT are higher than that of PM6, the oligomers enabled ultra-high electroluminescence quantum efficiency (EQEEL) of 0.05% and improved VOC, indicating suppressing non-radiative recombination overweighs the common belief of deeper HOMO requirement in third component selection. Moreover, the different compatibility of 5BDTBDD and 5BDDBDT with PM6 and BTP-BO4Cl fine-tunes the active layer morphology with synergistic effects. The ternary devices based on PM6:5BDTBDD:BTPBO4Cl and PM6:5BDDBDT:BTP-BO4Cl achieve a significantly improved PCEs of 17.54% and 17.32%, representing the state-of-the art OSCs processed by green solvent of o-xylene. The strategy using novel oligomer as third component also has very wide composition tolerance in ternary OSCs. This is the first work that demonstrates novel structurally compatible D-A type oligomers are effective third components, and provides new understanding of synergetic energy loss mechanisms towards high performance OSCs. © 2022 Wiley-VCH GmbH","archive":"Scopus","container-title":"Advanced Materials","DOI":"10.1002/adma.202107659","ISSN":"0935-9648","issue":"10","language":"English","source":"Scopus","title":"Novel Oligomer Enables Green Solvent Processed 17.5% Ternary Organic Solar Cells: Synergistic Energy Loss Reduction and Morphology Fine-Tuning","title-short":"Novel Oligomer Enables Green Solvent Processed 17.5% Ternary Organic Solar Cells","volume":"34","author":[{"family":"Xia","given":"H."},{"family":"Zhang","given":"Y."},{"family":"Deng","given":"W."},{"family":"Liu","given":"K."},{"family":"Xia","given":"X."},{"family":"Su","given":"C.-J."},{"family":"Jeng","given":"U.-S."},{"family":"Zhang","given":"M."},{"family":"Huang","given":"J."},{"family":"Huang","given":"J."},{"family":"Yan","given":"C."},{"family":"Wong","given":"W.-Y."},{"family":"Lu","given":"X."},{"family":"Zhu","given":"W."},{"family":"Li","given":"G."}],"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[89]</w:t>
            </w:r>
            <w:r w:rsidRPr="00B55044">
              <w:rPr>
                <w:rFonts w:eastAsia="Times New Roman"/>
                <w:color w:val="0000FF"/>
                <w:sz w:val="16"/>
                <w:szCs w:val="16"/>
              </w:rPr>
              <w:fldChar w:fldCharType="end"/>
            </w:r>
          </w:p>
        </w:tc>
      </w:tr>
      <w:tr w:rsidR="00D47774" w:rsidRPr="00B55044" w14:paraId="4352B09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B33A80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142</w:t>
            </w:r>
          </w:p>
        </w:tc>
        <w:tc>
          <w:tcPr>
            <w:tcW w:w="1525" w:type="pct"/>
            <w:tcBorders>
              <w:top w:val="single" w:sz="4" w:space="0" w:color="auto"/>
              <w:left w:val="nil"/>
              <w:bottom w:val="single" w:sz="4" w:space="0" w:color="auto"/>
              <w:right w:val="nil"/>
            </w:tcBorders>
            <w:shd w:val="clear" w:color="auto" w:fill="auto"/>
            <w:noWrap/>
            <w:vAlign w:val="bottom"/>
            <w:hideMark/>
          </w:tcPr>
          <w:p w14:paraId="27C1AA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4BAE0CD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PM6:5BDTBDT:BTP-BO4Cl</w:t>
            </w:r>
          </w:p>
        </w:tc>
        <w:tc>
          <w:tcPr>
            <w:tcW w:w="379" w:type="pct"/>
            <w:tcBorders>
              <w:top w:val="single" w:sz="4" w:space="0" w:color="auto"/>
              <w:left w:val="nil"/>
              <w:bottom w:val="single" w:sz="4" w:space="0" w:color="auto"/>
              <w:right w:val="nil"/>
            </w:tcBorders>
            <w:shd w:val="clear" w:color="auto" w:fill="auto"/>
            <w:noWrap/>
            <w:vAlign w:val="bottom"/>
            <w:hideMark/>
          </w:tcPr>
          <w:p w14:paraId="6F2F133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0.843</w:t>
            </w:r>
          </w:p>
        </w:tc>
        <w:tc>
          <w:tcPr>
            <w:tcW w:w="379" w:type="pct"/>
            <w:tcBorders>
              <w:top w:val="single" w:sz="4" w:space="0" w:color="auto"/>
              <w:left w:val="nil"/>
              <w:bottom w:val="single" w:sz="4" w:space="0" w:color="auto"/>
              <w:right w:val="nil"/>
            </w:tcBorders>
            <w:shd w:val="clear" w:color="auto" w:fill="auto"/>
            <w:noWrap/>
            <w:vAlign w:val="bottom"/>
            <w:hideMark/>
          </w:tcPr>
          <w:p w14:paraId="7C00AB3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26.83</w:t>
            </w:r>
          </w:p>
        </w:tc>
        <w:tc>
          <w:tcPr>
            <w:tcW w:w="378" w:type="pct"/>
            <w:tcBorders>
              <w:top w:val="single" w:sz="4" w:space="0" w:color="auto"/>
              <w:left w:val="nil"/>
              <w:bottom w:val="single" w:sz="4" w:space="0" w:color="auto"/>
              <w:right w:val="nil"/>
            </w:tcBorders>
            <w:shd w:val="clear" w:color="auto" w:fill="auto"/>
            <w:noWrap/>
            <w:vAlign w:val="bottom"/>
            <w:hideMark/>
          </w:tcPr>
          <w:p w14:paraId="40B4A05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77.43</w:t>
            </w:r>
          </w:p>
        </w:tc>
        <w:tc>
          <w:tcPr>
            <w:tcW w:w="381" w:type="pct"/>
            <w:tcBorders>
              <w:top w:val="single" w:sz="4" w:space="0" w:color="auto"/>
              <w:left w:val="nil"/>
              <w:bottom w:val="single" w:sz="4" w:space="0" w:color="auto"/>
              <w:right w:val="nil"/>
            </w:tcBorders>
            <w:shd w:val="clear" w:color="auto" w:fill="auto"/>
            <w:noWrap/>
            <w:vAlign w:val="bottom"/>
            <w:hideMark/>
          </w:tcPr>
          <w:p w14:paraId="6C78EBB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17.54</w:t>
            </w:r>
          </w:p>
        </w:tc>
        <w:tc>
          <w:tcPr>
            <w:tcW w:w="378" w:type="pct"/>
            <w:tcBorders>
              <w:top w:val="single" w:sz="4" w:space="0" w:color="auto"/>
              <w:left w:val="nil"/>
              <w:bottom w:val="single" w:sz="4" w:space="0" w:color="auto"/>
              <w:right w:val="nil"/>
            </w:tcBorders>
            <w:shd w:val="clear" w:color="auto" w:fill="auto"/>
            <w:noWrap/>
            <w:vAlign w:val="bottom"/>
            <w:hideMark/>
          </w:tcPr>
          <w:p w14:paraId="75F7ED2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{"citationID":"a22am82au42","properties":{"formattedCitation":"[89]","plainCitation":"[89]","noteIndex":0},"citationItems":[{"id":564,"uris":["http://zotero.org/users/12909065/items/6ZVRG39Z"],"itemData":{"id":564,"type":"article-journal","abstract":"The large non-radiative recombination is the main factor that limits state-of-the-art organic solar cells (OSCs). In this work, two novel structurally similar oligomers (named 5BDTBDD and 5BDDBDT) with D-A-D-A-D and A-D-A-D-A configuration are synthesized for high-performance ternary OSCs with low energy loss. As third components, these PM6 analogue oligomers effectively suppress the non-radiative recombination in OSCs. Although the highest occupied molecular orbital (HOMO) levels of 5BDTBDD and 5BDDBDT are higher than that of PM6, the oligomers enabled ultra-high electroluminescence quantum efficiency (EQEEL) of 0.05% and improved VOC, indicating suppressing non-radiative recombination overweighs the common belief of deeper HOMO requirement in third component selection. Moreover, the different compatibility of 5BDTBDD and 5BDDBDT with PM6 and BTP-BO4Cl fine-tunes the active layer morphology with synergistic effects. The ternary devices based on PM6:5BDTBDD:BTPBO4Cl and PM6:5BDDBDT:BTP-BO4Cl achieve a significantly improved PCEs of 17.54% and 17.32%, representing the state-of-the art OSCs processed by green solvent of o-xylene. The strategy using novel oligomer as third component also has very wide composition tolerance in ternary OSCs. This is the first work that demonstrates novel structurally compatible D-A type oligomers are effective third components, and provides new understanding of synergetic energy loss mechanisms towards high performance OSCs. © 2022 Wiley-VCH GmbH","archive":"Scopus","container-title":"Advanced Materials","DOI":"10.1002/adma.202107659","ISSN":"0935-9648","issue":"10","language":"English","source":"Scopus","title":"Novel Oligomer Enables Green Solvent Processed 17.5% Ternary Organic Solar Cells: Synergistic Energy Loss Reduction and Morphology Fine-Tuning","title-short":"Novel Oligomer Enables Green Solvent Processed 17.5% Ternary Organic Solar Cells","volume":"34","author":[{"family":"Xia","given":"H."},{"family":"Zhang","given":"Y."},{"family":"Deng","given":"W."},{"family":"Liu","given":"K."},{"family":"Xia","given":"X."},{"family":"Su","given":"C.-J."},{"family":"Jeng","given":"U.-S."},{"family":"Zhang","given":"M."},{"family":"Huang","given":"J."},{"family":"Huang","given":"J."},{"family":"Yan","given":"C."},{"family":"Wong","given":"W.-Y."},{"family":"Lu","given":"X."},{"family":"Zhu","given":"W."},{"family":"Li","given":"G."}],"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[89]</w:t>
            </w:r>
            <w:r w:rsidRPr="00B55044">
              <w:rPr>
                <w:rFonts w:eastAsia="Times New Roman"/>
                <w:color w:val="0000FF"/>
                <w:sz w:val="16"/>
                <w:szCs w:val="16"/>
              </w:rPr>
              <w:fldChar w:fldCharType="end"/>
            </w:r>
          </w:p>
        </w:tc>
      </w:tr>
      <w:tr w:rsidR="00D47774" w:rsidRPr="00B55044" w14:paraId="19A81E0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64D513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143</w:t>
            </w:r>
          </w:p>
        </w:tc>
        <w:tc>
          <w:tcPr>
            <w:tcW w:w="1525" w:type="pct"/>
            <w:tcBorders>
              <w:top w:val="single" w:sz="4" w:space="0" w:color="auto"/>
              <w:left w:val="nil"/>
              <w:bottom w:val="single" w:sz="4" w:space="0" w:color="auto"/>
              <w:right w:val="nil"/>
            </w:tcBorders>
            <w:shd w:val="clear" w:color="auto" w:fill="auto"/>
            <w:noWrap/>
            <w:vAlign w:val="bottom"/>
            <w:hideMark/>
          </w:tcPr>
          <w:p w14:paraId="6F31AC4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5FAC19C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PM6:Y6:BTP-eC9 (20%)</w:t>
            </w:r>
          </w:p>
        </w:tc>
        <w:tc>
          <w:tcPr>
            <w:tcW w:w="379" w:type="pct"/>
            <w:tcBorders>
              <w:top w:val="single" w:sz="4" w:space="0" w:color="auto"/>
              <w:left w:val="nil"/>
              <w:bottom w:val="single" w:sz="4" w:space="0" w:color="auto"/>
              <w:right w:val="nil"/>
            </w:tcBorders>
            <w:shd w:val="clear" w:color="auto" w:fill="auto"/>
            <w:noWrap/>
            <w:vAlign w:val="bottom"/>
            <w:hideMark/>
          </w:tcPr>
          <w:p w14:paraId="6866DC3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4D1ADE6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24.94</w:t>
            </w:r>
          </w:p>
        </w:tc>
        <w:tc>
          <w:tcPr>
            <w:tcW w:w="378" w:type="pct"/>
            <w:tcBorders>
              <w:top w:val="single" w:sz="4" w:space="0" w:color="auto"/>
              <w:left w:val="nil"/>
              <w:bottom w:val="single" w:sz="4" w:space="0" w:color="auto"/>
              <w:right w:val="nil"/>
            </w:tcBorders>
            <w:shd w:val="clear" w:color="auto" w:fill="auto"/>
            <w:noWrap/>
            <w:vAlign w:val="bottom"/>
            <w:hideMark/>
          </w:tcPr>
          <w:p w14:paraId="1AD401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71.55</w:t>
            </w:r>
          </w:p>
        </w:tc>
        <w:tc>
          <w:tcPr>
            <w:tcW w:w="381" w:type="pct"/>
            <w:tcBorders>
              <w:top w:val="single" w:sz="4" w:space="0" w:color="auto"/>
              <w:left w:val="nil"/>
              <w:bottom w:val="single" w:sz="4" w:space="0" w:color="auto"/>
              <w:right w:val="nil"/>
            </w:tcBorders>
            <w:shd w:val="clear" w:color="auto" w:fill="auto"/>
            <w:noWrap/>
            <w:vAlign w:val="bottom"/>
            <w:hideMark/>
          </w:tcPr>
          <w:p w14:paraId="524A2F5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14.97</w:t>
            </w:r>
          </w:p>
        </w:tc>
        <w:tc>
          <w:tcPr>
            <w:tcW w:w="378" w:type="pct"/>
            <w:tcBorders>
              <w:top w:val="single" w:sz="4" w:space="0" w:color="auto"/>
              <w:left w:val="nil"/>
              <w:bottom w:val="single" w:sz="4" w:space="0" w:color="auto"/>
              <w:right w:val="nil"/>
            </w:tcBorders>
            <w:shd w:val="clear" w:color="auto" w:fill="auto"/>
            <w:noWrap/>
            <w:vAlign w:val="bottom"/>
            <w:hideMark/>
          </w:tcPr>
          <w:p w14:paraId="0306098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{"citationID":"amicpnkobt","properties":{"formattedCitation":"[90]","plainCitation":"[90]","noteIndex":0},"citationItems":[{"id":563,"uris":["http://zotero.org/users/12909065/items/ASYPSGJU"],"itemData":{"id":563,"type":"article-journal","abstract":"The addition of a functional third component in PM6:Y6 system has demonstrated great potential in achieving highly power conversion efficiency (PCE) for organic solar cells (OSCs). However, photocurrent generation is still limited by slow hole transfer from Y6 to PM6. Herein, a non-fullerene acceptor BTP-eC9, with high hole-mobility property, is incorporated into the PM6:Y6 blend to construct a ternary system. The good compatibility of acceptors with similar chemical structure is conducive to simultaneously fine-tune the morphology, energy level and spectra absorption. Moreover, the introduction of BTP-eC9 endows the active layer with high hole mobility and balanced electron and hole transfer, further achieving the increased short-circuit current density (JSC) and fill factor (FF). The optimized ternary OSCs give an improved PCE of 16.39%, which makes a significant enhancement compared to binary devices based on PM6:Y6 and PM6:BTP-eC9 (14.87% and 13.27%, respectively). © 2022 Elsevier Ltd","archive":"Scopus","container-title":"Dyes and Pigments","DOI":"10.1016/j.dyepig.2022.110083","ISSN":"0143-7208","language":"English","source":"Scopus","title":"Achieving high-performance ternary organic solar cells by adding a high hole-mobility non-fullerene acceptor","volume":"199","author":[{"family":"Wang","given":"R."},{"family":"Zhang","given":"D."},{"family":"Zhang","given":"X."},{"family":"Yu","given":"J."}],"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[90]</w:t>
            </w:r>
            <w:r w:rsidRPr="00B55044">
              <w:rPr>
                <w:rFonts w:eastAsia="Times New Roman"/>
                <w:color w:val="0000FF"/>
                <w:sz w:val="16"/>
                <w:szCs w:val="16"/>
              </w:rPr>
              <w:fldChar w:fldCharType="end"/>
            </w:r>
          </w:p>
        </w:tc>
      </w:tr>
      <w:tr w:rsidR="00D47774" w:rsidRPr="00B55044" w14:paraId="5BAF979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1944C1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144</w:t>
            </w:r>
          </w:p>
        </w:tc>
        <w:tc>
          <w:tcPr>
            <w:tcW w:w="1525" w:type="pct"/>
            <w:tcBorders>
              <w:top w:val="single" w:sz="4" w:space="0" w:color="auto"/>
              <w:left w:val="nil"/>
              <w:bottom w:val="single" w:sz="4" w:space="0" w:color="auto"/>
              <w:right w:val="nil"/>
            </w:tcBorders>
            <w:shd w:val="clear" w:color="auto" w:fill="auto"/>
            <w:noWrap/>
            <w:vAlign w:val="bottom"/>
            <w:hideMark/>
          </w:tcPr>
          <w:p w14:paraId="113891A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4239B34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PM6:Y6:BTP-eC9 (40%)</w:t>
            </w:r>
          </w:p>
        </w:tc>
        <w:tc>
          <w:tcPr>
            <w:tcW w:w="379" w:type="pct"/>
            <w:tcBorders>
              <w:top w:val="single" w:sz="4" w:space="0" w:color="auto"/>
              <w:left w:val="nil"/>
              <w:bottom w:val="single" w:sz="4" w:space="0" w:color="auto"/>
              <w:right w:val="nil"/>
            </w:tcBorders>
            <w:shd w:val="clear" w:color="auto" w:fill="auto"/>
            <w:noWrap/>
            <w:vAlign w:val="bottom"/>
            <w:hideMark/>
          </w:tcPr>
          <w:p w14:paraId="3AA06AD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372E7F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25.68</w:t>
            </w:r>
          </w:p>
        </w:tc>
        <w:tc>
          <w:tcPr>
            <w:tcW w:w="378" w:type="pct"/>
            <w:tcBorders>
              <w:top w:val="single" w:sz="4" w:space="0" w:color="auto"/>
              <w:left w:val="nil"/>
              <w:bottom w:val="single" w:sz="4" w:space="0" w:color="auto"/>
              <w:right w:val="nil"/>
            </w:tcBorders>
            <w:shd w:val="clear" w:color="auto" w:fill="auto"/>
            <w:noWrap/>
            <w:vAlign w:val="bottom"/>
            <w:hideMark/>
          </w:tcPr>
          <w:p w14:paraId="0DD3FA3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72.19</w:t>
            </w:r>
          </w:p>
        </w:tc>
        <w:tc>
          <w:tcPr>
            <w:tcW w:w="381" w:type="pct"/>
            <w:tcBorders>
              <w:top w:val="single" w:sz="4" w:space="0" w:color="auto"/>
              <w:left w:val="nil"/>
              <w:bottom w:val="single" w:sz="4" w:space="0" w:color="auto"/>
              <w:right w:val="nil"/>
            </w:tcBorders>
            <w:shd w:val="clear" w:color="auto" w:fill="auto"/>
            <w:noWrap/>
            <w:vAlign w:val="bottom"/>
            <w:hideMark/>
          </w:tcPr>
          <w:p w14:paraId="1831D1A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15.58</w:t>
            </w:r>
          </w:p>
        </w:tc>
        <w:tc>
          <w:tcPr>
            <w:tcW w:w="378" w:type="pct"/>
            <w:tcBorders>
              <w:top w:val="single" w:sz="4" w:space="0" w:color="auto"/>
              <w:left w:val="nil"/>
              <w:bottom w:val="single" w:sz="4" w:space="0" w:color="auto"/>
              <w:right w:val="nil"/>
            </w:tcBorders>
            <w:shd w:val="clear" w:color="auto" w:fill="auto"/>
            <w:noWrap/>
            <w:vAlign w:val="bottom"/>
            <w:hideMark/>
          </w:tcPr>
          <w:p w14:paraId="4A45328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{"citationID":"a5ebrfrlqh","properties":{"formattedCitation":"[90]","plainCitation":"[90]","noteIndex":0},"citationItems":[{"id":563,"uris":["http://zotero.org/users/12909065/items/ASYPSGJU"],"itemData":{"id":563,"type":"article-journal","abstract":"The addition of a functional third component in PM6:Y6 system has demonstrated great potential in achieving highly power conversion efficiency (PCE) for organic solar cells (OSCs). However, photocurrent generation is still limited by slow hole transfer from Y6 to PM6. Herein, a non-fullerene acceptor BTP-eC9, with high hole-mobility property, is incorporated into the PM6:Y6 blend to construct a ternary system. The good compatibility of acceptors with similar chemical structure is conducive to simultaneously fine-tune the morphology, energy level and spectra absorption. Moreover, the introduction of BTP-eC9 endows the active layer with high hole mobility and balanced electron and hole transfer, further achieving the increased short-circuit current density (JSC) and fill factor (FF). The optimized ternary OSCs give an improved PCE of 16.39%, which makes a significant enhancement compared to binary devices based on PM6:Y6 and PM6:BTP-eC9 (14.87% and 13.27%, respectively). © 2022 Elsevier Ltd","archive":"Scopus","container-title":"Dyes and Pigments","DOI":"10.1016/j.dyepig.2022.110083","ISSN":"0143-7208","language":"English","source":"Scopus","title":"Achieving high-performance ternary organic solar cells by adding a high hole-mobility non-fullerene acceptor","volume":"199","author":[{"family":"Wang","given":"R."},{"family":"Zhang","given":"D."},{"family":"Zhang","given":"X."},{"family":"Yu","given":"J."}],"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[90]</w:t>
            </w:r>
            <w:r w:rsidRPr="00B55044">
              <w:rPr>
                <w:rFonts w:eastAsia="Times New Roman"/>
                <w:color w:val="0000FF"/>
                <w:sz w:val="16"/>
                <w:szCs w:val="16"/>
              </w:rPr>
              <w:fldChar w:fldCharType="end"/>
            </w:r>
          </w:p>
        </w:tc>
      </w:tr>
      <w:tr w:rsidR="00D47774" w:rsidRPr="00B55044" w14:paraId="0CC3360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A56768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145</w:t>
            </w:r>
          </w:p>
        </w:tc>
        <w:tc>
          <w:tcPr>
            <w:tcW w:w="1525" w:type="pct"/>
            <w:tcBorders>
              <w:top w:val="single" w:sz="4" w:space="0" w:color="auto"/>
              <w:left w:val="nil"/>
              <w:bottom w:val="single" w:sz="4" w:space="0" w:color="auto"/>
              <w:right w:val="nil"/>
            </w:tcBorders>
            <w:shd w:val="clear" w:color="auto" w:fill="auto"/>
            <w:noWrap/>
            <w:vAlign w:val="bottom"/>
            <w:hideMark/>
          </w:tcPr>
          <w:p w14:paraId="620F207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795D71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PM6:Y6:BTP-eC9 (60%)</w:t>
            </w:r>
          </w:p>
        </w:tc>
        <w:tc>
          <w:tcPr>
            <w:tcW w:w="379" w:type="pct"/>
            <w:tcBorders>
              <w:top w:val="single" w:sz="4" w:space="0" w:color="auto"/>
              <w:left w:val="nil"/>
              <w:bottom w:val="single" w:sz="4" w:space="0" w:color="auto"/>
              <w:right w:val="nil"/>
            </w:tcBorders>
            <w:shd w:val="clear" w:color="auto" w:fill="auto"/>
            <w:noWrap/>
            <w:vAlign w:val="bottom"/>
            <w:hideMark/>
          </w:tcPr>
          <w:p w14:paraId="10CDFC3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49528A4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26.43</w:t>
            </w:r>
          </w:p>
        </w:tc>
        <w:tc>
          <w:tcPr>
            <w:tcW w:w="378" w:type="pct"/>
            <w:tcBorders>
              <w:top w:val="single" w:sz="4" w:space="0" w:color="auto"/>
              <w:left w:val="nil"/>
              <w:bottom w:val="single" w:sz="4" w:space="0" w:color="auto"/>
              <w:right w:val="nil"/>
            </w:tcBorders>
            <w:shd w:val="clear" w:color="auto" w:fill="auto"/>
            <w:noWrap/>
            <w:vAlign w:val="bottom"/>
            <w:hideMark/>
          </w:tcPr>
          <w:p w14:paraId="7E90732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72.97</w:t>
            </w:r>
          </w:p>
        </w:tc>
        <w:tc>
          <w:tcPr>
            <w:tcW w:w="381" w:type="pct"/>
            <w:tcBorders>
              <w:top w:val="single" w:sz="4" w:space="0" w:color="auto"/>
              <w:left w:val="nil"/>
              <w:bottom w:val="single" w:sz="4" w:space="0" w:color="auto"/>
              <w:right w:val="nil"/>
            </w:tcBorders>
            <w:shd w:val="clear" w:color="auto" w:fill="auto"/>
            <w:noWrap/>
            <w:vAlign w:val="bottom"/>
            <w:hideMark/>
          </w:tcPr>
          <w:p w14:paraId="069E8E7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16.39</w:t>
            </w:r>
          </w:p>
        </w:tc>
        <w:tc>
          <w:tcPr>
            <w:tcW w:w="378" w:type="pct"/>
            <w:tcBorders>
              <w:top w:val="single" w:sz="4" w:space="0" w:color="auto"/>
              <w:left w:val="nil"/>
              <w:bottom w:val="single" w:sz="4" w:space="0" w:color="auto"/>
              <w:right w:val="nil"/>
            </w:tcBorders>
            <w:shd w:val="clear" w:color="auto" w:fill="auto"/>
            <w:noWrap/>
            <w:vAlign w:val="bottom"/>
            <w:hideMark/>
          </w:tcPr>
          <w:p w14:paraId="0BCB2E7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{"citationID":"a1d44d87u9d","properties":{"formattedCitation":"[90]","plainCitation":"[90]","noteIndex":0},"citationItems":[{"id":563,"uris":["http://zotero.org/users/12909065/items/ASYPSGJU"],"itemData":{"id":563,"type":"article-journal","abstract":"The addition of a functional third component in PM6:Y6 system has demonstrated great potential in achieving highly power conversion efficiency (PCE) for organic solar cells (OSCs). However, photocurrent generation is still limited by slow hole transfer from Y6 to PM6. Herein, a non-fullerene acceptor BTP-eC9, with high hole-mobility property, is incorporated into the PM6:Y6 blend to construct a ternary system. The good compatibility of acceptors with similar chemical structure is conducive to simultaneously fine-tune the morphology, energy level and spectra absorption. Moreover, the introduction of BTP-eC9 endows the active layer with high hole mobility and balanced electron and hole transfer, further achieving the increased short-circuit current density (JSC) and fill factor (FF). The optimized ternary OSCs give an improved PCE of 16.39%, which makes a significant enhancement compared to binary devices based on PM6:Y6 and PM6:BTP-eC9 (14.87% and 13.27%, respectively). © 2022 Elsevier Ltd","archive":"Scopus","container-title":"Dyes and Pigments","DOI":"10.1016/j.dyepig.2022.110083","ISSN":"0143-7208","language":"English","source":"Scopus","title":"Achieving high-performance ternary organic solar cells by adding a high hole-mobility non-fullerene acceptor","volume":"199","author":[{"family":"Wang","given":"R."},{"family":"Zhang","given":"D."},{"family":"Zhang","given":"X."},{"family":"Yu","given":"J."}],"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[90]</w:t>
            </w:r>
            <w:r w:rsidRPr="00B55044">
              <w:rPr>
                <w:rFonts w:eastAsia="Times New Roman"/>
                <w:color w:val="0000FF"/>
                <w:sz w:val="16"/>
                <w:szCs w:val="16"/>
              </w:rPr>
              <w:fldChar w:fldCharType="end"/>
            </w:r>
          </w:p>
        </w:tc>
      </w:tr>
      <w:tr w:rsidR="00D47774" w:rsidRPr="00B55044" w14:paraId="0279DC2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7FD2C8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lastRenderedPageBreak/>
              <w:t>146</w:t>
            </w:r>
          </w:p>
        </w:tc>
        <w:tc>
          <w:tcPr>
            <w:tcW w:w="1525" w:type="pct"/>
            <w:tcBorders>
              <w:top w:val="single" w:sz="4" w:space="0" w:color="auto"/>
              <w:left w:val="nil"/>
              <w:bottom w:val="single" w:sz="4" w:space="0" w:color="auto"/>
              <w:right w:val="nil"/>
            </w:tcBorders>
            <w:shd w:val="clear" w:color="auto" w:fill="auto"/>
            <w:noWrap/>
            <w:vAlign w:val="bottom"/>
            <w:hideMark/>
          </w:tcPr>
          <w:p w14:paraId="06A1D31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092B0A7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PM6:Y6:BTP-eC9 (80%)</w:t>
            </w:r>
          </w:p>
        </w:tc>
        <w:tc>
          <w:tcPr>
            <w:tcW w:w="379" w:type="pct"/>
            <w:tcBorders>
              <w:top w:val="single" w:sz="4" w:space="0" w:color="auto"/>
              <w:left w:val="nil"/>
              <w:bottom w:val="single" w:sz="4" w:space="0" w:color="auto"/>
              <w:right w:val="nil"/>
            </w:tcBorders>
            <w:shd w:val="clear" w:color="auto" w:fill="auto"/>
            <w:noWrap/>
            <w:vAlign w:val="bottom"/>
            <w:hideMark/>
          </w:tcPr>
          <w:p w14:paraId="533D688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75DFA8B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w:t>
            </w:r>
          </w:p>
        </w:tc>
        <w:tc>
          <w:tcPr>
            <w:tcW w:w="378" w:type="pct"/>
            <w:tcBorders>
              <w:top w:val="single" w:sz="4" w:space="0" w:color="auto"/>
              <w:left w:val="nil"/>
              <w:bottom w:val="single" w:sz="4" w:space="0" w:color="auto"/>
              <w:right w:val="nil"/>
            </w:tcBorders>
            <w:shd w:val="clear" w:color="auto" w:fill="auto"/>
            <w:noWrap/>
            <w:vAlign w:val="bottom"/>
            <w:hideMark/>
          </w:tcPr>
          <w:p w14:paraId="2058F5C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70.87</w:t>
            </w:r>
          </w:p>
        </w:tc>
        <w:tc>
          <w:tcPr>
            <w:tcW w:w="381" w:type="pct"/>
            <w:tcBorders>
              <w:top w:val="single" w:sz="4" w:space="0" w:color="auto"/>
              <w:left w:val="nil"/>
              <w:bottom w:val="single" w:sz="4" w:space="0" w:color="auto"/>
              <w:right w:val="nil"/>
            </w:tcBorders>
            <w:shd w:val="clear" w:color="auto" w:fill="auto"/>
            <w:noWrap/>
            <w:vAlign w:val="bottom"/>
            <w:hideMark/>
          </w:tcPr>
          <w:p w14:paraId="0FD9F0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15.05</w:t>
            </w:r>
          </w:p>
        </w:tc>
        <w:tc>
          <w:tcPr>
            <w:tcW w:w="378" w:type="pct"/>
            <w:tcBorders>
              <w:top w:val="single" w:sz="4" w:space="0" w:color="auto"/>
              <w:left w:val="nil"/>
              <w:bottom w:val="single" w:sz="4" w:space="0" w:color="auto"/>
              <w:right w:val="nil"/>
            </w:tcBorders>
            <w:shd w:val="clear" w:color="auto" w:fill="auto"/>
            <w:noWrap/>
            <w:vAlign w:val="bottom"/>
            <w:hideMark/>
          </w:tcPr>
          <w:p w14:paraId="36EECEA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{"citationID":"a1tdmk2933e","properties":{"formattedCitation":"[90]","plainCitation":"[90]","noteIndex":0},"citationItems":[{"id":563,"uris":["http://zotero.org/users/12909065/items/ASYPSGJU"],"itemData":{"id":563,"type":"article-journal","abstract":"The addition of a functional third component in PM6:Y6 system has demonstrated great potential in achieving highly power conversion efficiency (PCE) for organic solar cells (OSCs). However, photocurrent generation is still limited by slow hole transfer from Y6 to PM6. Herein, a non-fullerene acceptor BTP-eC9, with high hole-mobility property, is incorporated into the PM6:Y6 blend to construct a ternary system. The good compatibility of acceptors with similar chemical structure is conducive to simultaneously fine-tune the morphology, energy level and spectra absorption. Moreover, the introduction of BTP-eC9 endows the active layer with high hole mobility and balanced electron and hole transfer, further achieving the increased short-circuit current density (JSC) and fill factor (FF). The optimized ternary OSCs give an improved PCE of 16.39%, which makes a significant enhancement compared to binary devices based on PM6:Y6 and PM6:BTP-eC9 (14.87% and 13.27%, respectively). © 2022 Elsevier Ltd","archive":"Scopus","container-title":"Dyes and Pigments","DOI":"10.1016/j.dyepig.2022.110083","ISSN":"0143-7208","language":"English","source":"Scopus","title":"Achieving high-performance ternary organic solar cells by adding a high hole-mobility non-fullerene acceptor","volume":"199","author":[{"family":"Wang","given":"R."},{"family":"Zhang","given":"D."},{"family":"Zhang","given":"X."},{"family":"Yu","given":"J."}],"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[90]</w:t>
            </w:r>
            <w:r w:rsidRPr="00B55044">
              <w:rPr>
                <w:rFonts w:eastAsia="Times New Roman"/>
                <w:color w:val="0000FF"/>
                <w:sz w:val="16"/>
                <w:szCs w:val="16"/>
              </w:rPr>
              <w:fldChar w:fldCharType="end"/>
            </w:r>
          </w:p>
        </w:tc>
      </w:tr>
      <w:tr w:rsidR="00D47774" w:rsidRPr="00B55044" w14:paraId="360143E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80023C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147</w:t>
            </w:r>
          </w:p>
        </w:tc>
        <w:tc>
          <w:tcPr>
            <w:tcW w:w="1525" w:type="pct"/>
            <w:tcBorders>
              <w:top w:val="single" w:sz="4" w:space="0" w:color="auto"/>
              <w:left w:val="nil"/>
              <w:bottom w:val="single" w:sz="4" w:space="0" w:color="auto"/>
              <w:right w:val="nil"/>
            </w:tcBorders>
            <w:shd w:val="clear" w:color="auto" w:fill="auto"/>
            <w:noWrap/>
            <w:vAlign w:val="bottom"/>
            <w:hideMark/>
          </w:tcPr>
          <w:p w14:paraId="58687D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3BA5844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PM6:ITIC-M:Y6</w:t>
            </w:r>
          </w:p>
        </w:tc>
        <w:tc>
          <w:tcPr>
            <w:tcW w:w="379" w:type="pct"/>
            <w:tcBorders>
              <w:top w:val="single" w:sz="4" w:space="0" w:color="auto"/>
              <w:left w:val="nil"/>
              <w:bottom w:val="single" w:sz="4" w:space="0" w:color="auto"/>
              <w:right w:val="nil"/>
            </w:tcBorders>
            <w:shd w:val="clear" w:color="auto" w:fill="auto"/>
            <w:noWrap/>
            <w:vAlign w:val="bottom"/>
            <w:hideMark/>
          </w:tcPr>
          <w:p w14:paraId="57D093E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0.859</w:t>
            </w:r>
          </w:p>
        </w:tc>
        <w:tc>
          <w:tcPr>
            <w:tcW w:w="379" w:type="pct"/>
            <w:tcBorders>
              <w:top w:val="single" w:sz="4" w:space="0" w:color="auto"/>
              <w:left w:val="nil"/>
              <w:bottom w:val="single" w:sz="4" w:space="0" w:color="auto"/>
              <w:right w:val="nil"/>
            </w:tcBorders>
            <w:shd w:val="clear" w:color="auto" w:fill="auto"/>
            <w:noWrap/>
            <w:vAlign w:val="bottom"/>
            <w:hideMark/>
          </w:tcPr>
          <w:p w14:paraId="77C5CA6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26.35</w:t>
            </w:r>
          </w:p>
        </w:tc>
        <w:tc>
          <w:tcPr>
            <w:tcW w:w="378" w:type="pct"/>
            <w:tcBorders>
              <w:top w:val="single" w:sz="4" w:space="0" w:color="auto"/>
              <w:left w:val="nil"/>
              <w:bottom w:val="single" w:sz="4" w:space="0" w:color="auto"/>
              <w:right w:val="nil"/>
            </w:tcBorders>
            <w:shd w:val="clear" w:color="auto" w:fill="auto"/>
            <w:noWrap/>
            <w:vAlign w:val="bottom"/>
            <w:hideMark/>
          </w:tcPr>
          <w:p w14:paraId="79F367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80.1</w:t>
            </w:r>
          </w:p>
        </w:tc>
        <w:tc>
          <w:tcPr>
            <w:tcW w:w="381" w:type="pct"/>
            <w:tcBorders>
              <w:top w:val="single" w:sz="4" w:space="0" w:color="auto"/>
              <w:left w:val="nil"/>
              <w:bottom w:val="single" w:sz="4" w:space="0" w:color="auto"/>
              <w:right w:val="nil"/>
            </w:tcBorders>
            <w:shd w:val="clear" w:color="auto" w:fill="auto"/>
            <w:noWrap/>
            <w:vAlign w:val="bottom"/>
            <w:hideMark/>
          </w:tcPr>
          <w:p w14:paraId="09C7309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18.13</w:t>
            </w:r>
          </w:p>
        </w:tc>
        <w:tc>
          <w:tcPr>
            <w:tcW w:w="378" w:type="pct"/>
            <w:tcBorders>
              <w:top w:val="single" w:sz="4" w:space="0" w:color="auto"/>
              <w:left w:val="nil"/>
              <w:bottom w:val="single" w:sz="4" w:space="0" w:color="auto"/>
              <w:right w:val="nil"/>
            </w:tcBorders>
            <w:shd w:val="clear" w:color="auto" w:fill="auto"/>
            <w:noWrap/>
            <w:vAlign w:val="bottom"/>
            <w:hideMark/>
          </w:tcPr>
          <w:p w14:paraId="399F796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{"citationID":"a18bmic2fll","properties":{"formattedCitation":"[91]","plainCitation":"[91]","noteIndex":0},"citationItems":[{"id":562,"uris":["http://zotero.org/users/12909065/items/UWBIUCKT"],"itemData":{"id":562,"type":"article-journal","abstract":"Ternary architecture is an efficient strategy to boost desired power conversion efficiency of single-junction organic solar cells (OSCs). Here, a ternary OSC by incorporating a compatible acceptor ITIC-M as a third component into state-of-the-art PM6:Y6 blend is reported, yielding a power conversion efficiency of 18.13% and an impressive fill factor of 80.10%. The efficiency is the highest record for the PM6:Y6 based ternary devices reported to date. The full advantages of the designed ternary heterojunction are the good complementary light absorption that increases the photocurrent, and the matched interfacial electronic structures featuring so-called pinning energies that facilitate exciton separation and suppress charge recombination loss. Furthermore, ITIC-M plays a vital role in optimizing the micromorphology of the ternary blend with better dispersity, well-formed fibrillar structure and enhanced crystallinity, thus boosting the charge transport and device performance. © 2021 Wiley-VCH GmbH.","archive":"Scopus","container-title":"Advanced Functional Materials","DOI":"10.1002/adfm.202110743","ISSN":"1616-301X","issue":"13","language":"English","source":"Scopus","title":"Enhanced Charge Transport and Broad Absorption Enabling Record 18.13% Efficiency of PM6:Y6 Based Ternary Organic Photovoltaics with a High Fill Factor Over 80%","title-short":"Enhanced Charge Transport and Broad Absorption Enabling Record 18.13% Efficiency of PM6","volume":"32","author":[{"family":"Zeng","given":"Y."},{"family":"Li","given":"D."},{"family":"Wu","given":"H."},{"family":"Chen","given":"Z."},{"family":"Leng","given":"S."},{"family":"Hao","given":"T."},{"family":"Xiong","given":"S."},{"family":"Xue","given":"Q."},{"family":"Ma","given":"Z."},{"family":"Zhu","given":"H."},{"family":"Bao","given":"Q."}],"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[91]</w:t>
            </w:r>
            <w:r w:rsidRPr="00B55044">
              <w:rPr>
                <w:rFonts w:eastAsia="Times New Roman"/>
                <w:color w:val="0000FF"/>
                <w:sz w:val="16"/>
                <w:szCs w:val="16"/>
              </w:rPr>
              <w:fldChar w:fldCharType="end"/>
            </w:r>
          </w:p>
        </w:tc>
      </w:tr>
      <w:tr w:rsidR="00D47774" w:rsidRPr="00B55044" w14:paraId="5B6EB26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995D1F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148</w:t>
            </w:r>
          </w:p>
        </w:tc>
        <w:tc>
          <w:tcPr>
            <w:tcW w:w="1525" w:type="pct"/>
            <w:tcBorders>
              <w:top w:val="single" w:sz="4" w:space="0" w:color="auto"/>
              <w:left w:val="nil"/>
              <w:bottom w:val="single" w:sz="4" w:space="0" w:color="auto"/>
              <w:right w:val="nil"/>
            </w:tcBorders>
            <w:shd w:val="clear" w:color="auto" w:fill="auto"/>
            <w:noWrap/>
            <w:vAlign w:val="bottom"/>
            <w:hideMark/>
          </w:tcPr>
          <w:p w14:paraId="33A42E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3C9882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PM6:PTO2:BTP-eC9</w:t>
            </w:r>
          </w:p>
        </w:tc>
        <w:tc>
          <w:tcPr>
            <w:tcW w:w="379" w:type="pct"/>
            <w:tcBorders>
              <w:top w:val="single" w:sz="4" w:space="0" w:color="auto"/>
              <w:left w:val="nil"/>
              <w:bottom w:val="single" w:sz="4" w:space="0" w:color="auto"/>
              <w:right w:val="nil"/>
            </w:tcBorders>
            <w:shd w:val="clear" w:color="auto" w:fill="auto"/>
            <w:noWrap/>
            <w:vAlign w:val="bottom"/>
            <w:hideMark/>
          </w:tcPr>
          <w:p w14:paraId="41C3C94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w:t>
            </w:r>
          </w:p>
        </w:tc>
        <w:tc>
          <w:tcPr>
            <w:tcW w:w="379" w:type="pct"/>
            <w:tcBorders>
              <w:top w:val="single" w:sz="4" w:space="0" w:color="auto"/>
              <w:left w:val="nil"/>
              <w:bottom w:val="single" w:sz="4" w:space="0" w:color="auto"/>
              <w:right w:val="nil"/>
            </w:tcBorders>
            <w:shd w:val="clear" w:color="auto" w:fill="auto"/>
            <w:noWrap/>
            <w:vAlign w:val="bottom"/>
            <w:hideMark/>
          </w:tcPr>
          <w:p w14:paraId="0F0CAA1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27.09</w:t>
            </w:r>
          </w:p>
        </w:tc>
        <w:tc>
          <w:tcPr>
            <w:tcW w:w="378" w:type="pct"/>
            <w:tcBorders>
              <w:top w:val="single" w:sz="4" w:space="0" w:color="auto"/>
              <w:left w:val="nil"/>
              <w:bottom w:val="single" w:sz="4" w:space="0" w:color="auto"/>
              <w:right w:val="nil"/>
            </w:tcBorders>
            <w:shd w:val="clear" w:color="auto" w:fill="auto"/>
            <w:noWrap/>
            <w:vAlign w:val="bottom"/>
            <w:hideMark/>
          </w:tcPr>
          <w:p w14:paraId="73E608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73.28</w:t>
            </w:r>
          </w:p>
        </w:tc>
        <w:tc>
          <w:tcPr>
            <w:tcW w:w="381" w:type="pct"/>
            <w:tcBorders>
              <w:top w:val="single" w:sz="4" w:space="0" w:color="auto"/>
              <w:left w:val="nil"/>
              <w:bottom w:val="single" w:sz="4" w:space="0" w:color="auto"/>
              <w:right w:val="nil"/>
            </w:tcBorders>
            <w:shd w:val="clear" w:color="auto" w:fill="auto"/>
            <w:noWrap/>
            <w:vAlign w:val="bottom"/>
            <w:hideMark/>
          </w:tcPr>
          <w:p w14:paraId="5AD8500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17.92</w:t>
            </w:r>
          </w:p>
        </w:tc>
        <w:tc>
          <w:tcPr>
            <w:tcW w:w="378" w:type="pct"/>
            <w:tcBorders>
              <w:top w:val="single" w:sz="4" w:space="0" w:color="auto"/>
              <w:left w:val="nil"/>
              <w:bottom w:val="single" w:sz="4" w:space="0" w:color="auto"/>
              <w:right w:val="nil"/>
            </w:tcBorders>
            <w:shd w:val="clear" w:color="auto" w:fill="auto"/>
            <w:noWrap/>
            <w:vAlign w:val="bottom"/>
            <w:hideMark/>
          </w:tcPr>
          <w:p w14:paraId="3783EED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{"citationID":"a2bno6aerde","properties":{"formattedCitation":"[92]","plainCitation":"[92]","noteIndex":0},"citationItems":[{"id":561,"uris":["http://zotero.org/users/12909065/items/ASAXSEX9"],"itemData":{"id":561,"type":"article-journal","abstract":"The success of ternary organic photovoltaics (OPVs) has led to more attention being placed on understanding the mechanism through which the third component can affect the performance. In this study we embedded the conjugated polymer PTO2 as the third component in PM6:Y6 and PM6:BTP-eC9 blends and investigated the optoelectronic properties of the resulting efficient and stable OPVs. PTO2 displayed complementary absorption, high miscibility, and a HOMO energy level deeper than that of PM6, thereby enhancing the degrees of light harvesting, forming suitable blend morphologies, and lowering the energy losses of the devices, respectively. The miscibility of PTO2 with the acceptor altered the molecular packing of the ternary blend films and resulted in the optimized PM6:Y6 and PM6:BTP-eC9 OPVs having power conversion efficiencies of up to 17.05 and 18.01%, respectively. Furthermore, the embedding of PTO2 improved the long-term stability of the devices when exposed to light (halogen lamp; 0.67 mW/cm2, 740 lx), heat (85 °C, argon), or water/oxygen (without encapsulation; air of 40% humidity). Our results provide guidelines for the design of stable high-performance ternary OPVs. © 2021 Elsevier B.V.","archive":"Scopus","container-title":"Chemical Engineering Journal","DOI":"10.1016/j.cej.2021.133950","ISSN":"1385-8947","language":"English","source":"Scopus","title":"A polymer donor with versatility for fabricating high-performance ternary organic photovoltaics","volume":"431","author":[{"family":"Jiang","given":"B.-H."},{"family":"Peng","given":"Y.-J."},{"family":"Su","given":"Y.-W."},{"family":"Chang","given":"J.-F."},{"family":"Chueh","given":"C.-C."},{"family":"Shieh","given":"T.-S."},{"family":"Huang","given":"C.-I."},{"family":"Chen","given":"C.-P."}],"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[92]</w:t>
            </w:r>
            <w:r w:rsidRPr="00B55044">
              <w:rPr>
                <w:rFonts w:eastAsia="Times New Roman"/>
                <w:color w:val="0000FF"/>
                <w:sz w:val="16"/>
                <w:szCs w:val="16"/>
              </w:rPr>
              <w:fldChar w:fldCharType="end"/>
            </w:r>
          </w:p>
        </w:tc>
      </w:tr>
      <w:tr w:rsidR="00D47774" w:rsidRPr="00B55044" w14:paraId="0E89275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0BFF74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149</w:t>
            </w:r>
          </w:p>
        </w:tc>
        <w:tc>
          <w:tcPr>
            <w:tcW w:w="1525" w:type="pct"/>
            <w:tcBorders>
              <w:top w:val="single" w:sz="4" w:space="0" w:color="auto"/>
              <w:left w:val="nil"/>
              <w:bottom w:val="single" w:sz="4" w:space="0" w:color="auto"/>
              <w:right w:val="nil"/>
            </w:tcBorders>
            <w:shd w:val="clear" w:color="auto" w:fill="auto"/>
            <w:noWrap/>
            <w:vAlign w:val="bottom"/>
            <w:hideMark/>
          </w:tcPr>
          <w:p w14:paraId="1F7D7BE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2C06964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PM6:PTO2:Y6</w:t>
            </w:r>
          </w:p>
        </w:tc>
        <w:tc>
          <w:tcPr>
            <w:tcW w:w="379" w:type="pct"/>
            <w:tcBorders>
              <w:top w:val="single" w:sz="4" w:space="0" w:color="auto"/>
              <w:left w:val="nil"/>
              <w:bottom w:val="single" w:sz="4" w:space="0" w:color="auto"/>
              <w:right w:val="nil"/>
            </w:tcBorders>
            <w:shd w:val="clear" w:color="auto" w:fill="auto"/>
            <w:noWrap/>
            <w:vAlign w:val="bottom"/>
            <w:hideMark/>
          </w:tcPr>
          <w:p w14:paraId="13C0AB7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w:t>
            </w:r>
          </w:p>
        </w:tc>
        <w:tc>
          <w:tcPr>
            <w:tcW w:w="379" w:type="pct"/>
            <w:tcBorders>
              <w:top w:val="single" w:sz="4" w:space="0" w:color="auto"/>
              <w:left w:val="nil"/>
              <w:bottom w:val="single" w:sz="4" w:space="0" w:color="auto"/>
              <w:right w:val="nil"/>
            </w:tcBorders>
            <w:shd w:val="clear" w:color="auto" w:fill="auto"/>
            <w:noWrap/>
            <w:vAlign w:val="bottom"/>
            <w:hideMark/>
          </w:tcPr>
          <w:p w14:paraId="617FB7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25.53</w:t>
            </w:r>
          </w:p>
        </w:tc>
        <w:tc>
          <w:tcPr>
            <w:tcW w:w="378" w:type="pct"/>
            <w:tcBorders>
              <w:top w:val="single" w:sz="4" w:space="0" w:color="auto"/>
              <w:left w:val="nil"/>
              <w:bottom w:val="single" w:sz="4" w:space="0" w:color="auto"/>
              <w:right w:val="nil"/>
            </w:tcBorders>
            <w:shd w:val="clear" w:color="auto" w:fill="auto"/>
            <w:noWrap/>
            <w:vAlign w:val="bottom"/>
            <w:hideMark/>
          </w:tcPr>
          <w:p w14:paraId="7BC2867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72.8</w:t>
            </w:r>
          </w:p>
        </w:tc>
        <w:tc>
          <w:tcPr>
            <w:tcW w:w="381" w:type="pct"/>
            <w:tcBorders>
              <w:top w:val="single" w:sz="4" w:space="0" w:color="auto"/>
              <w:left w:val="nil"/>
              <w:bottom w:val="single" w:sz="4" w:space="0" w:color="auto"/>
              <w:right w:val="nil"/>
            </w:tcBorders>
            <w:shd w:val="clear" w:color="auto" w:fill="auto"/>
            <w:noWrap/>
            <w:vAlign w:val="bottom"/>
            <w:hideMark/>
          </w:tcPr>
          <w:p w14:paraId="70AD01A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16.79</w:t>
            </w:r>
          </w:p>
        </w:tc>
        <w:tc>
          <w:tcPr>
            <w:tcW w:w="378" w:type="pct"/>
            <w:tcBorders>
              <w:top w:val="single" w:sz="4" w:space="0" w:color="auto"/>
              <w:left w:val="nil"/>
              <w:bottom w:val="single" w:sz="4" w:space="0" w:color="auto"/>
              <w:right w:val="nil"/>
            </w:tcBorders>
            <w:shd w:val="clear" w:color="auto" w:fill="auto"/>
            <w:noWrap/>
            <w:vAlign w:val="bottom"/>
            <w:hideMark/>
          </w:tcPr>
          <w:p w14:paraId="38256B1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{"citationID":"at63l235c6","properties":{"formattedCitation":"[92]","plainCitation":"[92]","noteIndex":0},"citationItems":[{"id":561,"uris":["http://zotero.org/users/12909065/items/ASAXSEX9"],"itemData":{"id":561,"type":"article-journal","abstract":"The success of ternary organic photovoltaics (OPVs) has led to more attention being placed on understanding the mechanism through which the third component can affect the performance. In this study we embedded the conjugated polymer PTO2 as the third component in PM6:Y6 and PM6:BTP-eC9 blends and investigated the optoelectronic properties of the resulting efficient and stable OPVs. PTO2 displayed complementary absorption, high miscibility, and a HOMO energy level deeper than that of PM6, thereby enhancing the degrees of light harvesting, forming suitable blend morphologies, and lowering the energy losses of the devices, respectively. The miscibility of PTO2 with the acceptor altered the molecular packing of the ternary blend films and resulted in the optimized PM6:Y6 and PM6:BTP-eC9 OPVs having power conversion efficiencies of up to 17.05 and 18.01%, respectively. Furthermore, the embedding of PTO2 improved the long-term stability of the devices when exposed to light (halogen lamp; 0.67 mW/cm2, 740 lx), heat (85 °C, argon), or water/oxygen (without encapsulation; air of 40% humidity). Our results provide guidelines for the design of stable high-performance ternary OPVs. © 2021 Elsevier B.V.","archive":"Scopus","container-title":"Chemical Engineering Journal","DOI":"10.1016/j.cej.2021.133950","ISSN":"1385-8947","language":"English","source":"Scopus","title":"A polymer donor with versatility for fabricating high-performance ternary organic photovoltaics","volume":"431","author":[{"family":"Jiang","given":"B.-H."},{"family":"Peng","given":"Y.-J."},{"family":"Su","given":"Y.-W."},{"family":"Chang","given":"J.-F."},{"family":"Chueh","given":"C.-C."},{"family":"Shieh","given":"T.-S."},{"family":"Huang","given":"C.-I."},{"family":"Chen","given":"C.-P."}],"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[92]</w:t>
            </w:r>
            <w:r w:rsidRPr="00B55044">
              <w:rPr>
                <w:rFonts w:eastAsia="Times New Roman"/>
                <w:color w:val="0000FF"/>
                <w:sz w:val="16"/>
                <w:szCs w:val="16"/>
              </w:rPr>
              <w:fldChar w:fldCharType="end"/>
            </w:r>
          </w:p>
        </w:tc>
      </w:tr>
      <w:tr w:rsidR="00D47774" w:rsidRPr="00B55044" w14:paraId="74E3BBD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EB72F5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150</w:t>
            </w:r>
          </w:p>
        </w:tc>
        <w:tc>
          <w:tcPr>
            <w:tcW w:w="1525" w:type="pct"/>
            <w:tcBorders>
              <w:top w:val="single" w:sz="4" w:space="0" w:color="auto"/>
              <w:left w:val="nil"/>
              <w:bottom w:val="single" w:sz="4" w:space="0" w:color="auto"/>
              <w:right w:val="nil"/>
            </w:tcBorders>
            <w:shd w:val="clear" w:color="auto" w:fill="auto"/>
            <w:noWrap/>
            <w:vAlign w:val="bottom"/>
            <w:hideMark/>
          </w:tcPr>
          <w:p w14:paraId="149FE45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5506A46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PM6:AITC:BTP-eC9</w:t>
            </w:r>
          </w:p>
        </w:tc>
        <w:tc>
          <w:tcPr>
            <w:tcW w:w="379" w:type="pct"/>
            <w:tcBorders>
              <w:top w:val="single" w:sz="4" w:space="0" w:color="auto"/>
              <w:left w:val="nil"/>
              <w:bottom w:val="single" w:sz="4" w:space="0" w:color="auto"/>
              <w:right w:val="nil"/>
            </w:tcBorders>
            <w:shd w:val="clear" w:color="auto" w:fill="auto"/>
            <w:noWrap/>
            <w:vAlign w:val="bottom"/>
            <w:hideMark/>
          </w:tcPr>
          <w:p w14:paraId="7ADD1CD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0FA84AC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27.2</w:t>
            </w:r>
          </w:p>
        </w:tc>
        <w:tc>
          <w:tcPr>
            <w:tcW w:w="378" w:type="pct"/>
            <w:tcBorders>
              <w:top w:val="single" w:sz="4" w:space="0" w:color="auto"/>
              <w:left w:val="nil"/>
              <w:bottom w:val="single" w:sz="4" w:space="0" w:color="auto"/>
              <w:right w:val="nil"/>
            </w:tcBorders>
            <w:shd w:val="clear" w:color="auto" w:fill="auto"/>
            <w:noWrap/>
            <w:vAlign w:val="bottom"/>
            <w:hideMark/>
          </w:tcPr>
          <w:p w14:paraId="4648C89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79.7</w:t>
            </w:r>
          </w:p>
        </w:tc>
        <w:tc>
          <w:tcPr>
            <w:tcW w:w="381" w:type="pct"/>
            <w:tcBorders>
              <w:top w:val="single" w:sz="4" w:space="0" w:color="auto"/>
              <w:left w:val="nil"/>
              <w:bottom w:val="single" w:sz="4" w:space="0" w:color="auto"/>
              <w:right w:val="nil"/>
            </w:tcBorders>
            <w:shd w:val="clear" w:color="auto" w:fill="auto"/>
            <w:noWrap/>
            <w:vAlign w:val="bottom"/>
            <w:hideMark/>
          </w:tcPr>
          <w:p w14:paraId="714554E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18.8</w:t>
            </w:r>
          </w:p>
        </w:tc>
        <w:tc>
          <w:tcPr>
            <w:tcW w:w="378" w:type="pct"/>
            <w:tcBorders>
              <w:top w:val="single" w:sz="4" w:space="0" w:color="auto"/>
              <w:left w:val="nil"/>
              <w:bottom w:val="single" w:sz="4" w:space="0" w:color="auto"/>
              <w:right w:val="nil"/>
            </w:tcBorders>
            <w:shd w:val="clear" w:color="auto" w:fill="auto"/>
            <w:noWrap/>
            <w:vAlign w:val="bottom"/>
            <w:hideMark/>
          </w:tcPr>
          <w:p w14:paraId="0BD7E7C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{"citationID":"a1cjasin1r","properties":{"formattedCitation":"[93]","plainCitation":"[93]","noteIndex":0},"citationItems":[{"id":560,"uris":["http://zotero.org/users/12909065/items/Y7CGXU26"],"itemData":{"id":560,"type":"article-journal","abstract":"Ternary and tandem strategies are effective methods for improving the photovoltaic performance of organic solar cells (OSCs). Here an asymmetric wide-bandgap nonfullerene acceptor named AITC is synthesized. AITC with a bandgap of 1.75 eV exhibits a good complementary absorption spectrum with the narrow bandgap acceptor BTP-eC9. AITC also shows good miscibility with BTP-eC9, which facilitates the formation of a stable mixing phase in blends. Moreover, the large dipole moment of AITC reinforces the molecular packing in the blend films of PM6 and BTP-eC9, thereby enhancing the photoconductivity, suppressing charge recombination and reducing nonradiative voltage loss in ternary OSCs. As a result, the ternary OSCs based on PM6:BTP-eC9:AITC achieve an outstanding power conversion efficiency (PCE) of 18.8%. In addition, tandem OSCs using PM6:AITC as a bottom subcell and the PM6:AITC:BTP-eC9 ternary active layer as a top subcell exhibit a remarkable efficiency of 19.4%, which is one of the highest PCEs in the field. © 2022 The Royal Society of Chemistry.","archive":"Scopus","container-title":"Energy and Environmental Science","DOI":"10.1039/d1ee03673d","ISSN":"1754-5692","issue":"4","language":"English","page":"1585-1593","source":"Scopus","title":"An asymmetric wide-bandgap acceptor simultaneously enabling highly efficient single-junction and tandem organic solar cells","volume":"15","author":[{"family":"Wang","given":"J."},{"family":"Zhang","given":"M."},{"family":"Lin","given":"J."},{"family":"Zheng","given":"Z."},{"family":"Zhu","given":"L."},{"family":"Bi","given":"P."},{"family":"Liang","given":"H."},{"family":"Guo","given":"X."},{"family":"Wu","given":"J."},{"family":"Wang","given":"Y."},{"family":"Yu","given":"L."},{"family":"Li","given":"J."},{"family":"Lv","given":"J."},{"family":"Liu","given":"X."},{"family":"Liu","given":"F."},{"family":"Hou","given":"J."},{"family":"Li","given":"Y."}],"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[93]</w:t>
            </w:r>
            <w:r w:rsidRPr="00B55044">
              <w:rPr>
                <w:rFonts w:eastAsia="Times New Roman"/>
                <w:color w:val="0000FF"/>
                <w:sz w:val="16"/>
                <w:szCs w:val="16"/>
              </w:rPr>
              <w:fldChar w:fldCharType="end"/>
            </w:r>
          </w:p>
        </w:tc>
      </w:tr>
      <w:tr w:rsidR="00D47774" w:rsidRPr="00B55044" w14:paraId="6FA6B13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FAA45A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151</w:t>
            </w:r>
          </w:p>
        </w:tc>
        <w:tc>
          <w:tcPr>
            <w:tcW w:w="1525" w:type="pct"/>
            <w:tcBorders>
              <w:top w:val="single" w:sz="4" w:space="0" w:color="auto"/>
              <w:left w:val="nil"/>
              <w:bottom w:val="single" w:sz="4" w:space="0" w:color="auto"/>
              <w:right w:val="nil"/>
            </w:tcBorders>
            <w:shd w:val="clear" w:color="auto" w:fill="auto"/>
            <w:noWrap/>
            <w:vAlign w:val="bottom"/>
            <w:hideMark/>
          </w:tcPr>
          <w:p w14:paraId="223EFEF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65C9429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PM6:BTP-eC9:ZY-4Cl</w:t>
            </w:r>
          </w:p>
        </w:tc>
        <w:tc>
          <w:tcPr>
            <w:tcW w:w="379" w:type="pct"/>
            <w:tcBorders>
              <w:top w:val="single" w:sz="4" w:space="0" w:color="auto"/>
              <w:left w:val="nil"/>
              <w:bottom w:val="single" w:sz="4" w:space="0" w:color="auto"/>
              <w:right w:val="nil"/>
            </w:tcBorders>
            <w:shd w:val="clear" w:color="auto" w:fill="auto"/>
            <w:noWrap/>
            <w:vAlign w:val="bottom"/>
            <w:hideMark/>
          </w:tcPr>
          <w:p w14:paraId="750D9A4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0.863</w:t>
            </w:r>
          </w:p>
        </w:tc>
        <w:tc>
          <w:tcPr>
            <w:tcW w:w="379" w:type="pct"/>
            <w:tcBorders>
              <w:top w:val="single" w:sz="4" w:space="0" w:color="auto"/>
              <w:left w:val="nil"/>
              <w:bottom w:val="single" w:sz="4" w:space="0" w:color="auto"/>
              <w:right w:val="nil"/>
            </w:tcBorders>
            <w:shd w:val="clear" w:color="auto" w:fill="auto"/>
            <w:noWrap/>
            <w:vAlign w:val="bottom"/>
            <w:hideMark/>
          </w:tcPr>
          <w:p w14:paraId="25E3E7A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27.4</w:t>
            </w:r>
          </w:p>
        </w:tc>
        <w:tc>
          <w:tcPr>
            <w:tcW w:w="378" w:type="pct"/>
            <w:tcBorders>
              <w:top w:val="single" w:sz="4" w:space="0" w:color="auto"/>
              <w:left w:val="nil"/>
              <w:bottom w:val="single" w:sz="4" w:space="0" w:color="auto"/>
              <w:right w:val="nil"/>
            </w:tcBorders>
            <w:shd w:val="clear" w:color="auto" w:fill="auto"/>
            <w:noWrap/>
            <w:vAlign w:val="bottom"/>
            <w:hideMark/>
          </w:tcPr>
          <w:p w14:paraId="333A364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w:t>
            </w:r>
          </w:p>
        </w:tc>
        <w:tc>
          <w:tcPr>
            <w:tcW w:w="381" w:type="pct"/>
            <w:tcBorders>
              <w:top w:val="single" w:sz="4" w:space="0" w:color="auto"/>
              <w:left w:val="nil"/>
              <w:bottom w:val="single" w:sz="4" w:space="0" w:color="auto"/>
              <w:right w:val="nil"/>
            </w:tcBorders>
            <w:shd w:val="clear" w:color="auto" w:fill="auto"/>
            <w:noWrap/>
            <w:vAlign w:val="bottom"/>
            <w:hideMark/>
          </w:tcPr>
          <w:p w14:paraId="5B400D8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18.69</w:t>
            </w:r>
          </w:p>
        </w:tc>
        <w:tc>
          <w:tcPr>
            <w:tcW w:w="378" w:type="pct"/>
            <w:tcBorders>
              <w:top w:val="single" w:sz="4" w:space="0" w:color="auto"/>
              <w:left w:val="nil"/>
              <w:bottom w:val="single" w:sz="4" w:space="0" w:color="auto"/>
              <w:right w:val="nil"/>
            </w:tcBorders>
            <w:shd w:val="clear" w:color="auto" w:fill="auto"/>
            <w:noWrap/>
            <w:vAlign w:val="bottom"/>
            <w:hideMark/>
          </w:tcPr>
          <w:p w14:paraId="435359B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{"citationID":"avpulg8poq","properties":{"formattedCitation":"[94]","plainCitation":"[94]","noteIndex":0},"citationItems":[{"id":559,"uris":["http://zotero.org/users/12909065/items/XFW48I7P"],"itemData":{"id":559,"type":"article-journal","abstract":"The ternary strategy has been identified as a feasible and effective way to obtain high-efficiency organic solar cells (OSCs). However, for most ternary OSCs, the voltage loss (Vloss) lies between those of the two binary devices, which inevitably limits the further efficiency improvements. Herein, a non-fullerene acceptor ZY-4Cl, possessing complementary absorption spectra and forming a cascade LUMO energy level alignment with the PM6:BTP-eC9 blend, was introduced as a third component to fabricate ternary OSCs. Compared to the binary blends, the ternary system exhibits reduced density of trap states, improved molecular ordering, and suppressed non-radiative recombination, and thereby yields an obviously lower Vloss than either of the binary OSCs. As a result, high efficiencies of 18.69% (certified as 18.2%) and 16.07% are obtained for the rigid and flexible OSCs, respectively. This work highlights the importance of suppressing non-radiative recombination in OSCs by using a ternary strategy and expands an effective avenue for the realization of efficient wearable electronics as novel photovoltaic power sources. © 2022 The Royal Society of Chemistry.","archive":"Scopus","container-title":"Energy and Environmental Science","DOI":"10.1039/d1ee03989j","ISSN":"1754-5692","issue":"4","language":"English","page":"1563-1572","source":"Scopus","title":"Ternary strategy enabling high-efficiency rigid and flexible organic solar cells with reduced non-radiative voltage loss","volume":"15","author":[{"family":"Duan","given":"X."},{"family":"Song","given":"W."},{"family":"Qiao","given":"J."},{"family":"Li","given":"X."},{"family":"Cai","given":"Y."},{"family":"Wu","given":"H."},{"family":"Zhang","given":"J."},{"family":"Hao","given":"X."},{"family":"Tang","given":"Z."},{"family":"Ge","given":"Z."},{"family":"Huang","given":"F."},{"family":"Sun","given":"Y."}],"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[94]</w:t>
            </w:r>
            <w:r w:rsidRPr="00B55044">
              <w:rPr>
                <w:rFonts w:eastAsia="Times New Roman"/>
                <w:color w:val="0000FF"/>
                <w:sz w:val="16"/>
                <w:szCs w:val="16"/>
              </w:rPr>
              <w:fldChar w:fldCharType="end"/>
            </w:r>
          </w:p>
        </w:tc>
      </w:tr>
      <w:tr w:rsidR="00D47774" w:rsidRPr="00B55044" w14:paraId="55978DB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8E9EAC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152</w:t>
            </w:r>
          </w:p>
        </w:tc>
        <w:tc>
          <w:tcPr>
            <w:tcW w:w="1525" w:type="pct"/>
            <w:tcBorders>
              <w:top w:val="single" w:sz="4" w:space="0" w:color="auto"/>
              <w:left w:val="nil"/>
              <w:bottom w:val="single" w:sz="4" w:space="0" w:color="auto"/>
              <w:right w:val="nil"/>
            </w:tcBorders>
            <w:shd w:val="clear" w:color="auto" w:fill="auto"/>
            <w:noWrap/>
            <w:vAlign w:val="bottom"/>
            <w:hideMark/>
          </w:tcPr>
          <w:p w14:paraId="70E136C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ITO/PEDOT:PSS-PA/AL/PNDIT-F3N/Ag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0B0034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PM6:J71:PY-IT</w:t>
            </w:r>
          </w:p>
        </w:tc>
        <w:tc>
          <w:tcPr>
            <w:tcW w:w="379" w:type="pct"/>
            <w:tcBorders>
              <w:top w:val="single" w:sz="4" w:space="0" w:color="auto"/>
              <w:left w:val="nil"/>
              <w:bottom w:val="single" w:sz="4" w:space="0" w:color="auto"/>
              <w:right w:val="nil"/>
            </w:tcBorders>
            <w:shd w:val="clear" w:color="auto" w:fill="auto"/>
            <w:noWrap/>
            <w:vAlign w:val="bottom"/>
            <w:hideMark/>
          </w:tcPr>
          <w:p w14:paraId="21DCD84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0.942</w:t>
            </w:r>
          </w:p>
        </w:tc>
        <w:tc>
          <w:tcPr>
            <w:tcW w:w="379" w:type="pct"/>
            <w:tcBorders>
              <w:top w:val="single" w:sz="4" w:space="0" w:color="auto"/>
              <w:left w:val="nil"/>
              <w:bottom w:val="single" w:sz="4" w:space="0" w:color="auto"/>
              <w:right w:val="nil"/>
            </w:tcBorders>
            <w:shd w:val="clear" w:color="auto" w:fill="auto"/>
            <w:noWrap/>
            <w:vAlign w:val="bottom"/>
            <w:hideMark/>
          </w:tcPr>
          <w:p w14:paraId="306263D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23.29</w:t>
            </w:r>
          </w:p>
        </w:tc>
        <w:tc>
          <w:tcPr>
            <w:tcW w:w="378" w:type="pct"/>
            <w:tcBorders>
              <w:top w:val="single" w:sz="4" w:space="0" w:color="auto"/>
              <w:left w:val="nil"/>
              <w:bottom w:val="single" w:sz="4" w:space="0" w:color="auto"/>
              <w:right w:val="nil"/>
            </w:tcBorders>
            <w:shd w:val="clear" w:color="auto" w:fill="auto"/>
            <w:noWrap/>
            <w:vAlign w:val="bottom"/>
            <w:hideMark/>
          </w:tcPr>
          <w:p w14:paraId="499D7B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75.2</w:t>
            </w:r>
          </w:p>
        </w:tc>
        <w:tc>
          <w:tcPr>
            <w:tcW w:w="381" w:type="pct"/>
            <w:tcBorders>
              <w:top w:val="single" w:sz="4" w:space="0" w:color="auto"/>
              <w:left w:val="nil"/>
              <w:bottom w:val="single" w:sz="4" w:space="0" w:color="auto"/>
              <w:right w:val="nil"/>
            </w:tcBorders>
            <w:shd w:val="clear" w:color="auto" w:fill="auto"/>
            <w:noWrap/>
            <w:vAlign w:val="bottom"/>
            <w:hideMark/>
          </w:tcPr>
          <w:p w14:paraId="398F78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16.52</w:t>
            </w:r>
          </w:p>
        </w:tc>
        <w:tc>
          <w:tcPr>
            <w:tcW w:w="378" w:type="pct"/>
            <w:tcBorders>
              <w:top w:val="single" w:sz="4" w:space="0" w:color="auto"/>
              <w:left w:val="nil"/>
              <w:bottom w:val="single" w:sz="4" w:space="0" w:color="auto"/>
              <w:right w:val="nil"/>
            </w:tcBorders>
            <w:shd w:val="clear" w:color="auto" w:fill="auto"/>
            <w:noWrap/>
            <w:vAlign w:val="bottom"/>
            <w:hideMark/>
          </w:tcPr>
          <w:p w14:paraId="5004720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{"citationID":"a1r6ko6n268","properties":{"formattedCitation":"[95]","plainCitation":"[95]","noteIndex":0},"citationItems":[{"id":558,"uris":["http://zotero.org/users/12909065/items/QGQTD6SJ"],"itemData":{"id":558,"type":"article-journal","abstract":"All-polymer solar cells (APSCs) are one of the most promising types of application-oriented photovoltaic technologies because they are operationally and mechanically stable; however, their low power conversion efficiency (PCE) restricts the core competitiveness against other types of solar cells. Besides, poor insight of mechanical performance, such as ductility, has been revealed for cutting-edge APSCs. Herein, we chose two well miscible polymer donors, PM6 and J71, and achieved a PCE of 16.52% for APSCs in a ternary blend with PY-IT and 15.74% for air-processed devices. The improvement is enabled by effective energy transfer, tuned crystallinity, and improved phase separation, which resulted in faster charge transfer and more balanced charge transport, suppressed exciton recombination, and more efficient charge extraction. Furthermore, the good miscibility between two donors enabled the target to have well-maintained film morphology without damaging the initial nanoscale network, bringing comparable film ductility. Last, the inner structure-property relationship of photovoltaic and morphological parameters, and film ductility was illustrated by a correlation study.","container-title":"Matter","DOI":"10.1016/j.matt.2021.12.002","ISSN":"2590-2385","issue":"2","journalAbbreviation":"Matter","page":"725-734","source":"ScienceDirect","title":"Achieving high efficiency and well-kept ductility in ternary all-polymer organic photovoltaic blends thanks to two well miscible donors","volume":"5","author":[{"family":"Ma","given":"Ruijie"},{"family":"Zhou","given":"Kangkang"},{"family":"Sun","given":"Yanna"},{"family":"Liu","given":"Tao"},{"family":"Kan","given":"Yuanyuan"},{"family":"Xiao","given":"Yiqun"},{"family":"Dela Peña","given":"Top Archie"},{"family":"Li","given":"Yixin"},{"family":"Zou","given":"Xinhui"},{"family":"Xing","given":"Zengshan"},{"family":"Luo","given":"Zhenghui"},{"family":"Wong","given":"Kam Sing"},{"family":"Lu","given":"Xinhui"},{"family":"Ye","given":"Long"},{"family":"Yan","given":"He"},{"family":"Gao","given":"Ke"}],"issued":{"date-parts":[["2022",2,2]]}}}],"schema":"https://github.com/citation-style-language/schema/raw/master/csl-citation.json"}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[95]</w:t>
            </w:r>
            <w:r w:rsidRPr="00B55044">
              <w:rPr>
                <w:rFonts w:eastAsia="Times New Roman"/>
                <w:color w:val="0000FF"/>
                <w:sz w:val="16"/>
                <w:szCs w:val="16"/>
              </w:rPr>
              <w:fldChar w:fldCharType="end"/>
            </w:r>
          </w:p>
        </w:tc>
      </w:tr>
      <w:tr w:rsidR="00D47774" w:rsidRPr="00B55044" w14:paraId="610630C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225C75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153</w:t>
            </w:r>
          </w:p>
        </w:tc>
        <w:tc>
          <w:tcPr>
            <w:tcW w:w="1525" w:type="pct"/>
            <w:tcBorders>
              <w:top w:val="single" w:sz="4" w:space="0" w:color="auto"/>
              <w:left w:val="nil"/>
              <w:bottom w:val="single" w:sz="4" w:space="0" w:color="auto"/>
              <w:right w:val="nil"/>
            </w:tcBorders>
            <w:shd w:val="clear" w:color="auto" w:fill="auto"/>
            <w:noWrap/>
            <w:vAlign w:val="bottom"/>
            <w:hideMark/>
          </w:tcPr>
          <w:p w14:paraId="6E5DC84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1ED8F39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PM6:Y6:T-C61DMI</w:t>
            </w:r>
          </w:p>
        </w:tc>
        <w:tc>
          <w:tcPr>
            <w:tcW w:w="379" w:type="pct"/>
            <w:tcBorders>
              <w:top w:val="single" w:sz="4" w:space="0" w:color="auto"/>
              <w:left w:val="nil"/>
              <w:bottom w:val="single" w:sz="4" w:space="0" w:color="auto"/>
              <w:right w:val="nil"/>
            </w:tcBorders>
            <w:shd w:val="clear" w:color="auto" w:fill="auto"/>
            <w:noWrap/>
            <w:vAlign w:val="bottom"/>
            <w:hideMark/>
          </w:tcPr>
          <w:p w14:paraId="04055F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0.848</w:t>
            </w:r>
          </w:p>
        </w:tc>
        <w:tc>
          <w:tcPr>
            <w:tcW w:w="379" w:type="pct"/>
            <w:tcBorders>
              <w:top w:val="single" w:sz="4" w:space="0" w:color="auto"/>
              <w:left w:val="nil"/>
              <w:bottom w:val="single" w:sz="4" w:space="0" w:color="auto"/>
              <w:right w:val="nil"/>
            </w:tcBorders>
            <w:shd w:val="clear" w:color="auto" w:fill="auto"/>
            <w:noWrap/>
            <w:vAlign w:val="bottom"/>
            <w:hideMark/>
          </w:tcPr>
          <w:p w14:paraId="5D4043F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26.61</w:t>
            </w:r>
          </w:p>
        </w:tc>
        <w:tc>
          <w:tcPr>
            <w:tcW w:w="378" w:type="pct"/>
            <w:tcBorders>
              <w:top w:val="single" w:sz="4" w:space="0" w:color="auto"/>
              <w:left w:val="nil"/>
              <w:bottom w:val="single" w:sz="4" w:space="0" w:color="auto"/>
              <w:right w:val="nil"/>
            </w:tcBorders>
            <w:shd w:val="clear" w:color="auto" w:fill="auto"/>
            <w:noWrap/>
            <w:vAlign w:val="bottom"/>
            <w:hideMark/>
          </w:tcPr>
          <w:p w14:paraId="057CAA3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77.7</w:t>
            </w:r>
          </w:p>
        </w:tc>
        <w:tc>
          <w:tcPr>
            <w:tcW w:w="381" w:type="pct"/>
            <w:tcBorders>
              <w:top w:val="single" w:sz="4" w:space="0" w:color="auto"/>
              <w:left w:val="nil"/>
              <w:bottom w:val="single" w:sz="4" w:space="0" w:color="auto"/>
              <w:right w:val="nil"/>
            </w:tcBorders>
            <w:shd w:val="clear" w:color="auto" w:fill="auto"/>
            <w:noWrap/>
            <w:vAlign w:val="bottom"/>
            <w:hideMark/>
          </w:tcPr>
          <w:p w14:paraId="1A9A8BA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17.53</w:t>
            </w:r>
          </w:p>
        </w:tc>
        <w:tc>
          <w:tcPr>
            <w:tcW w:w="378" w:type="pct"/>
            <w:tcBorders>
              <w:top w:val="single" w:sz="4" w:space="0" w:color="auto"/>
              <w:left w:val="nil"/>
              <w:bottom w:val="single" w:sz="4" w:space="0" w:color="auto"/>
              <w:right w:val="nil"/>
            </w:tcBorders>
            <w:shd w:val="clear" w:color="auto" w:fill="auto"/>
            <w:noWrap/>
            <w:vAlign w:val="bottom"/>
            <w:hideMark/>
          </w:tcPr>
          <w:p w14:paraId="35ED05D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{"citationID":"a8jr38msju","properties":{"formattedCitation":"[96]","plainCitation":"[96]","noteIndex":0},"citationItems":[{"id":557,"uris":["http://zotero.org/users/12909065/items/FW59YJMD"],"itemData":{"id":557,"type":"article-journal","abstract":"The donor/acceptor interaction in non-fullerene organic photovoltaics leads to the mixing domain that dictates the morphology and electronic structure of the blended thin film. Initiative effort is paid to understand how these domain properties affect the device performances on high-efficiency PM6:Y6 blends. Different fullerenes acceptors are used to manipulate the feature of mixing domain. It is seen that a tight packing in the mixing region is critical, which could effectively enhance the hole transfer and lead to the enlarged and narrow electron density of state (DOS). As a result, short-circuit current (JSC) and fill factor (FF) are improved. The distribution of DOS and energy levels strongly influences open-circuit voltage (VOC). The raised filling state of electron Fermi level is seen to be key in determining device VOC. Energy disorder is found to be a key factor to energy loss, which is highly correlated with the intermolecular distance in the mixing region. A 17.53% efficiency is obtained for optimized ternary devices, which is the highest value for similar systems. The current results indicate that a delicate optimization of the mixing domain property is an effective route to improve the VOC, JSC, and FF simultaneously, which provides new guidelines for morphology control toward high-performance organic solar cells.","container-title":"Advanced Science","DOI":"10.1002/advs.202104613","ISSN":"2198-3844","issue":"6","language":"en","license":"© 2022 The Authors. Advanced Science published by Wiley-VCH GmbH","note":"_eprint: https://onlinelibrary.wiley.com/doi/pdf/10.1002/advs.202104613","page":"2104613","source":"Wiley Online Library","title":"Correlating Electronic Structure and Device Physics with Mixing Region Morphology in High-Efficiency Organic Solar Cells","volume":"9","author":[{"family":"Leng","given":"Shifeng"},{"family":"Hao","given":"Tianyu"},{"family":"Zhou","given":"Guanqing"},{"family":"Zhu","given":"Lei"},{"family":"Zhong","given":"Wenkai"},{"family":"Yang","given":"Yankang"},{"family":"Zhang","given":"Ming"},{"family":"Xu","given":"Jinqiu"},{"family":"Zhan","given":"Junzhe"},{"family":"Zhou","given":"Zichun"},{"family":"Chen","given":"Jiajun"},{"family":"Lu","given":"Shirong"},{"family":"Tang","given":"Zheng"},{"family":"Shi","given":"Zhiwen"},{"family":"Zhu","given":"Haiming"},{"family":"Zhang","given":"Yongming"},{"family":"Liu","given":"Feng"}],"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[96]</w:t>
            </w:r>
            <w:r w:rsidRPr="00B55044">
              <w:rPr>
                <w:rFonts w:eastAsia="Times New Roman"/>
                <w:color w:val="0000FF"/>
                <w:sz w:val="16"/>
                <w:szCs w:val="16"/>
              </w:rPr>
              <w:fldChar w:fldCharType="end"/>
            </w:r>
          </w:p>
        </w:tc>
      </w:tr>
      <w:tr w:rsidR="00D47774" w:rsidRPr="00B55044" w14:paraId="361CF9B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58AC93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154</w:t>
            </w:r>
          </w:p>
        </w:tc>
        <w:tc>
          <w:tcPr>
            <w:tcW w:w="1525" w:type="pct"/>
            <w:tcBorders>
              <w:top w:val="single" w:sz="4" w:space="0" w:color="auto"/>
              <w:left w:val="nil"/>
              <w:bottom w:val="single" w:sz="4" w:space="0" w:color="auto"/>
              <w:right w:val="nil"/>
            </w:tcBorders>
            <w:shd w:val="clear" w:color="auto" w:fill="auto"/>
            <w:noWrap/>
            <w:vAlign w:val="bottom"/>
            <w:hideMark/>
          </w:tcPr>
          <w:p w14:paraId="78562B4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1CC73D0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PM6:Y6:T-PC</w:t>
            </w:r>
            <w:r w:rsidRPr="00B55044">
              <w:rPr>
                <w:rFonts w:eastAsia="Times New Roman"/>
                <w:sz w:val="16"/>
                <w:szCs w:val="16"/>
                <w:vertAlign w:val="subscript"/>
              </w:rPr>
              <w:t>61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227C0CB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0.846</w:t>
            </w:r>
          </w:p>
        </w:tc>
        <w:tc>
          <w:tcPr>
            <w:tcW w:w="379" w:type="pct"/>
            <w:tcBorders>
              <w:top w:val="single" w:sz="4" w:space="0" w:color="auto"/>
              <w:left w:val="nil"/>
              <w:bottom w:val="single" w:sz="4" w:space="0" w:color="auto"/>
              <w:right w:val="nil"/>
            </w:tcBorders>
            <w:shd w:val="clear" w:color="auto" w:fill="auto"/>
            <w:noWrap/>
            <w:vAlign w:val="bottom"/>
            <w:hideMark/>
          </w:tcPr>
          <w:p w14:paraId="0C0132B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26.51</w:t>
            </w:r>
          </w:p>
        </w:tc>
        <w:tc>
          <w:tcPr>
            <w:tcW w:w="378" w:type="pct"/>
            <w:tcBorders>
              <w:top w:val="single" w:sz="4" w:space="0" w:color="auto"/>
              <w:left w:val="nil"/>
              <w:bottom w:val="single" w:sz="4" w:space="0" w:color="auto"/>
              <w:right w:val="nil"/>
            </w:tcBorders>
            <w:shd w:val="clear" w:color="auto" w:fill="auto"/>
            <w:noWrap/>
            <w:vAlign w:val="bottom"/>
            <w:hideMark/>
          </w:tcPr>
          <w:p w14:paraId="25031C4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77.4</w:t>
            </w:r>
          </w:p>
        </w:tc>
        <w:tc>
          <w:tcPr>
            <w:tcW w:w="381" w:type="pct"/>
            <w:tcBorders>
              <w:top w:val="single" w:sz="4" w:space="0" w:color="auto"/>
              <w:left w:val="nil"/>
              <w:bottom w:val="single" w:sz="4" w:space="0" w:color="auto"/>
              <w:right w:val="nil"/>
            </w:tcBorders>
            <w:shd w:val="clear" w:color="auto" w:fill="auto"/>
            <w:noWrap/>
            <w:vAlign w:val="bottom"/>
            <w:hideMark/>
          </w:tcPr>
          <w:p w14:paraId="035F9C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17.36</w:t>
            </w:r>
          </w:p>
        </w:tc>
        <w:tc>
          <w:tcPr>
            <w:tcW w:w="378" w:type="pct"/>
            <w:tcBorders>
              <w:top w:val="single" w:sz="4" w:space="0" w:color="auto"/>
              <w:left w:val="nil"/>
              <w:bottom w:val="single" w:sz="4" w:space="0" w:color="auto"/>
              <w:right w:val="nil"/>
            </w:tcBorders>
            <w:shd w:val="clear" w:color="auto" w:fill="auto"/>
            <w:noWrap/>
            <w:vAlign w:val="bottom"/>
            <w:hideMark/>
          </w:tcPr>
          <w:p w14:paraId="06062DF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{"citationID":"ajompr9o8p","properties":{"formattedCitation":"[96]","plainCitation":"[96]","noteIndex":0},"citationItems":[{"id":557,"uris":["http://zotero.org/users/12909065/items/FW59YJMD"],"itemData":{"id":557,"type":"article-journal","abstract":"The donor/acceptor interaction in non-fullerene organic photovoltaics leads to the mixing domain that dictates the morphology and electronic structure of the blended thin film. Initiative effort is paid to understand how these domain properties affect the device performances on high-efficiency PM6:Y6 blends. Different fullerenes acceptors are used to manipulate the feature of mixing domain. It is seen that a tight packing in the mixing region is critical, which could effectively enhance the hole transfer and lead to the enlarged and narrow electron density of state (DOS). As a result, short-circuit current (JSC) and fill factor (FF) are improved. The distribution of DOS and energy levels strongly influences open-circuit voltage (VOC). The raised filling state of electron Fermi level is seen to be key in determining device VOC. Energy disorder is found to be a key factor to energy loss, which is highly correlated with the intermolecular distance in the mixing region. A 17.53% efficiency is obtained for optimized ternary devices, which is the highest value for similar systems. The current results indicate that a delicate optimization of the mixing domain property is an effective route to improve the VOC, JSC, and FF simultaneously, which provides new guidelines for morphology control toward high-performance organic solar cells.","container-title":"Advanced Science","DOI":"10.1002/advs.202104613","ISSN":"2198-3844","issue":"6","language":"en","license":"© 2022 The Authors. Advanced Science published by Wiley-VCH GmbH","note":"_eprint: https://onlinelibrary.wiley.com/doi/pdf/10.1002/advs.202104613","page":"2104613","source":"Wiley Online Library","title":"Correlating Electronic Structure and Device Physics with Mixing Region Morphology in High-Efficiency Organic Solar Cells","volume":"9","author":[{"family":"Leng","given":"Shifeng"},{"family":"Hao","given":"Tianyu"},{"family":"Zhou","given":"Guanqing"},{"family":"Zhu","given":"Lei"},{"family":"Zhong","given":"Wenkai"},{"family":"Yang","given":"Yankang"},{"family":"Zhang","given":"Ming"},{"family":"Xu","given":"Jinqiu"},{"family":"Zhan","given":"Junzhe"},{"family":"Zhou","given":"Zichun"},{"family":"Chen","given":"Jiajun"},{"family":"Lu","given":"Shirong"},{"family":"Tang","given":"Zheng"},{"family":"Shi","given":"Zhiwen"},{"family":"Zhu","given":"Haiming"},{"family":"Zhang","given":"Yongming"},{"family":"Liu","given":"Feng"}],"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[96]</w:t>
            </w:r>
            <w:r w:rsidRPr="00B55044">
              <w:rPr>
                <w:rFonts w:eastAsia="Times New Roman"/>
                <w:color w:val="0000FF"/>
                <w:sz w:val="16"/>
                <w:szCs w:val="16"/>
              </w:rPr>
              <w:fldChar w:fldCharType="end"/>
            </w:r>
          </w:p>
        </w:tc>
      </w:tr>
      <w:tr w:rsidR="00D47774" w:rsidRPr="00B55044" w14:paraId="6B338AE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0A413A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155</w:t>
            </w:r>
          </w:p>
        </w:tc>
        <w:tc>
          <w:tcPr>
            <w:tcW w:w="1525" w:type="pct"/>
            <w:tcBorders>
              <w:top w:val="single" w:sz="4" w:space="0" w:color="auto"/>
              <w:left w:val="nil"/>
              <w:bottom w:val="single" w:sz="4" w:space="0" w:color="auto"/>
              <w:right w:val="nil"/>
            </w:tcBorders>
            <w:shd w:val="clear" w:color="auto" w:fill="auto"/>
            <w:noWrap/>
            <w:vAlign w:val="bottom"/>
            <w:hideMark/>
          </w:tcPr>
          <w:p w14:paraId="0191EBE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561372F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PM6:Y6:T-Bis-PC</w:t>
            </w:r>
            <w:r w:rsidRPr="00B55044">
              <w:rPr>
                <w:rFonts w:eastAsia="Times New Roman"/>
                <w:sz w:val="16"/>
                <w:szCs w:val="16"/>
                <w:vertAlign w:val="subscript"/>
              </w:rPr>
              <w:t>61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432DCE6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0.858</w:t>
            </w:r>
          </w:p>
        </w:tc>
        <w:tc>
          <w:tcPr>
            <w:tcW w:w="379" w:type="pct"/>
            <w:tcBorders>
              <w:top w:val="single" w:sz="4" w:space="0" w:color="auto"/>
              <w:left w:val="nil"/>
              <w:bottom w:val="single" w:sz="4" w:space="0" w:color="auto"/>
              <w:right w:val="nil"/>
            </w:tcBorders>
            <w:shd w:val="clear" w:color="auto" w:fill="auto"/>
            <w:noWrap/>
            <w:vAlign w:val="bottom"/>
            <w:hideMark/>
          </w:tcPr>
          <w:p w14:paraId="4F547A4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25.87</w:t>
            </w:r>
          </w:p>
        </w:tc>
        <w:tc>
          <w:tcPr>
            <w:tcW w:w="378" w:type="pct"/>
            <w:tcBorders>
              <w:top w:val="single" w:sz="4" w:space="0" w:color="auto"/>
              <w:left w:val="nil"/>
              <w:bottom w:val="single" w:sz="4" w:space="0" w:color="auto"/>
              <w:right w:val="nil"/>
            </w:tcBorders>
            <w:shd w:val="clear" w:color="auto" w:fill="auto"/>
            <w:noWrap/>
            <w:vAlign w:val="bottom"/>
            <w:hideMark/>
          </w:tcPr>
          <w:p w14:paraId="76E47B8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75.6</w:t>
            </w:r>
          </w:p>
        </w:tc>
        <w:tc>
          <w:tcPr>
            <w:tcW w:w="381" w:type="pct"/>
            <w:tcBorders>
              <w:top w:val="single" w:sz="4" w:space="0" w:color="auto"/>
              <w:left w:val="nil"/>
              <w:bottom w:val="single" w:sz="4" w:space="0" w:color="auto"/>
              <w:right w:val="nil"/>
            </w:tcBorders>
            <w:shd w:val="clear" w:color="auto" w:fill="auto"/>
            <w:noWrap/>
            <w:vAlign w:val="bottom"/>
            <w:hideMark/>
          </w:tcPr>
          <w:p w14:paraId="366362D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16.78</w:t>
            </w:r>
          </w:p>
        </w:tc>
        <w:tc>
          <w:tcPr>
            <w:tcW w:w="378" w:type="pct"/>
            <w:tcBorders>
              <w:top w:val="single" w:sz="4" w:space="0" w:color="auto"/>
              <w:left w:val="nil"/>
              <w:bottom w:val="single" w:sz="4" w:space="0" w:color="auto"/>
              <w:right w:val="nil"/>
            </w:tcBorders>
            <w:shd w:val="clear" w:color="auto" w:fill="auto"/>
            <w:noWrap/>
            <w:vAlign w:val="bottom"/>
            <w:hideMark/>
          </w:tcPr>
          <w:p w14:paraId="1DD40E4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{"citationID":"a283j7mjng8","properties":{"formattedCitation":"[96]","plainCitation":"[96]","noteIndex":0},"citationItems":[{"id":557,"uris":["http://zotero.org/users/12909065/items/FW59YJMD"],"itemData":{"id":557,"type":"article-journal","abstract":"The donor/acceptor interaction in non-fullerene organic photovoltaics leads to the mixing domain that dictates the morphology and electronic structure of the blended thin film. Initiative effort is paid to understand how these domain properties affect the device performances on high-efficiency PM6:Y6 blends. Different fullerenes acceptors are used to manipulate the feature of mixing domain. It is seen that a tight packing in the mixing region is critical, which could effectively enhance the hole transfer and lead to the enlarged and narrow electron density of state (DOS). As a result, short-circuit current (JSC) and fill factor (FF) are improved. The distribution of DOS and energy levels strongly influences open-circuit voltage (VOC). The raised filling state of electron Fermi level is seen to be key in determining device VOC. Energy disorder is found to be a key factor to energy loss, which is highly correlated with the intermolecular distance in the mixing region. A 17.53% efficiency is obtained for optimized ternary devices, which is the highest value for similar systems. The current results indicate that a delicate optimization of the mixing domain property is an effective route to improve the VOC, JSC, and FF simultaneously, which provides new guidelines for morphology control toward high-performance organic solar cells.","container-title":"Advanced Science","DOI":"10.1002/advs.202104613","ISSN":"2198-3844","issue":"6","language":"en","license":"© 2022 The Authors. Advanced Science published by Wiley-VCH GmbH","note":"_eprint: https://onlinelibrary.wiley.com/doi/pdf/10.1002/advs.202104613","page":"2104613","source":"Wiley Online Library","title":"Correlating Electronic Structure and Device Physics with Mixing Region Morphology in High-Efficiency Organic Solar Cells","volume":"9","author":[{"family":"Leng","given":"Shifeng"},{"family":"Hao","given":"Tianyu"},{"family":"Zhou","given":"Guanqing"},{"family":"Zhu","given":"Lei"},{"family":"Zhong","given":"Wenkai"},{"family":"Yang","given":"Yankang"},{"family":"Zhang","given":"Ming"},{"family":"Xu","given":"Jinqiu"},{"family":"Zhan","given":"Junzhe"},{"family":"Zhou","given":"Zichun"},{"family":"Chen","given":"Jiajun"},{"family":"Lu","given":"Shirong"},{"family":"Tang","given":"Zheng"},{"family":"Shi","given":"Zhiwen"},{"family":"Zhu","given":"Haiming"},{"family":"Zhang","given":"Yongming"},{"family":"Liu","given":"Feng"}],"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[96]</w:t>
            </w:r>
            <w:r w:rsidRPr="00B55044">
              <w:rPr>
                <w:rFonts w:eastAsia="Times New Roman"/>
                <w:color w:val="0000FF"/>
                <w:sz w:val="16"/>
                <w:szCs w:val="16"/>
              </w:rPr>
              <w:fldChar w:fldCharType="end"/>
            </w:r>
          </w:p>
        </w:tc>
      </w:tr>
      <w:tr w:rsidR="00D47774" w:rsidRPr="00B55044" w14:paraId="4C935C1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364E86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156</w:t>
            </w:r>
          </w:p>
        </w:tc>
        <w:tc>
          <w:tcPr>
            <w:tcW w:w="1525" w:type="pct"/>
            <w:tcBorders>
              <w:top w:val="single" w:sz="4" w:space="0" w:color="auto"/>
              <w:left w:val="nil"/>
              <w:bottom w:val="single" w:sz="4" w:space="0" w:color="auto"/>
              <w:right w:val="nil"/>
            </w:tcBorders>
            <w:shd w:val="clear" w:color="auto" w:fill="auto"/>
            <w:noWrap/>
            <w:vAlign w:val="bottom"/>
            <w:hideMark/>
          </w:tcPr>
          <w:p w14:paraId="4135B16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43E4B14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PM6:Y6:T-IC61BA</w:t>
            </w:r>
          </w:p>
        </w:tc>
        <w:tc>
          <w:tcPr>
            <w:tcW w:w="379" w:type="pct"/>
            <w:tcBorders>
              <w:top w:val="single" w:sz="4" w:space="0" w:color="auto"/>
              <w:left w:val="nil"/>
              <w:bottom w:val="single" w:sz="4" w:space="0" w:color="auto"/>
              <w:right w:val="nil"/>
            </w:tcBorders>
            <w:shd w:val="clear" w:color="auto" w:fill="auto"/>
            <w:noWrap/>
            <w:vAlign w:val="bottom"/>
            <w:hideMark/>
          </w:tcPr>
          <w:p w14:paraId="37712B2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0.856</w:t>
            </w:r>
          </w:p>
        </w:tc>
        <w:tc>
          <w:tcPr>
            <w:tcW w:w="379" w:type="pct"/>
            <w:tcBorders>
              <w:top w:val="single" w:sz="4" w:space="0" w:color="auto"/>
              <w:left w:val="nil"/>
              <w:bottom w:val="single" w:sz="4" w:space="0" w:color="auto"/>
              <w:right w:val="nil"/>
            </w:tcBorders>
            <w:shd w:val="clear" w:color="auto" w:fill="auto"/>
            <w:noWrap/>
            <w:vAlign w:val="bottom"/>
            <w:hideMark/>
          </w:tcPr>
          <w:p w14:paraId="0B928DB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25.76</w:t>
            </w:r>
          </w:p>
        </w:tc>
        <w:tc>
          <w:tcPr>
            <w:tcW w:w="378" w:type="pct"/>
            <w:tcBorders>
              <w:top w:val="single" w:sz="4" w:space="0" w:color="auto"/>
              <w:left w:val="nil"/>
              <w:bottom w:val="single" w:sz="4" w:space="0" w:color="auto"/>
              <w:right w:val="nil"/>
            </w:tcBorders>
            <w:shd w:val="clear" w:color="auto" w:fill="auto"/>
            <w:noWrap/>
            <w:vAlign w:val="bottom"/>
            <w:hideMark/>
          </w:tcPr>
          <w:p w14:paraId="105408B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75.1</w:t>
            </w:r>
          </w:p>
        </w:tc>
        <w:tc>
          <w:tcPr>
            <w:tcW w:w="381" w:type="pct"/>
            <w:tcBorders>
              <w:top w:val="single" w:sz="4" w:space="0" w:color="auto"/>
              <w:left w:val="nil"/>
              <w:bottom w:val="single" w:sz="4" w:space="0" w:color="auto"/>
              <w:right w:val="nil"/>
            </w:tcBorders>
            <w:shd w:val="clear" w:color="auto" w:fill="auto"/>
            <w:noWrap/>
            <w:vAlign w:val="bottom"/>
            <w:hideMark/>
          </w:tcPr>
          <w:p w14:paraId="02E0114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16.56</w:t>
            </w:r>
          </w:p>
        </w:tc>
        <w:tc>
          <w:tcPr>
            <w:tcW w:w="378" w:type="pct"/>
            <w:tcBorders>
              <w:top w:val="single" w:sz="4" w:space="0" w:color="auto"/>
              <w:left w:val="nil"/>
              <w:bottom w:val="single" w:sz="4" w:space="0" w:color="auto"/>
              <w:right w:val="nil"/>
            </w:tcBorders>
            <w:shd w:val="clear" w:color="auto" w:fill="auto"/>
            <w:noWrap/>
            <w:vAlign w:val="bottom"/>
            <w:hideMark/>
          </w:tcPr>
          <w:p w14:paraId="6903A9B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{"citationID":"a10f8ad6ni6","properties":{"formattedCitation":"[96]","plainCitation":"[96]","noteIndex":0},"citationItems":[{"id":557,"uris":["http://zotero.org/users/12909065/items/FW59YJMD"],"itemData":{"id":557,"type":"article-journal","abstract":"The donor/acceptor interaction in non-fullerene organic photovoltaics leads to the mixing domain that dictates the morphology and electronic structure of the blended thin film. Initiative effort is paid to understand how these domain properties affect the device performances on high-efficiency PM6:Y6 blends. Different fullerenes acceptors are used to manipulate the feature of mixing domain. It is seen that a tight packing in the mixing region is critical, which could effectively enhance the hole transfer and lead to the enlarged and narrow electron density of state (DOS). As a result, short-circuit current (JSC) and fill factor (FF) are improved. The distribution of DOS and energy levels strongly influences open-circuit voltage (VOC). The raised filling state of electron Fermi level is seen to be key in determining device VOC. Energy disorder is found to be a key factor to energy loss, which is highly correlated with the intermolecular distance in the mixing region. A 17.53% efficiency is obtained for optimized ternary devices, which is the highest value for similar systems. The current results indicate that a delicate optimization of the mixing domain property is an effective route to improve the VOC, JSC, and FF simultaneously, which provides new guidelines for morphology control toward high-performance organic solar cells.","container-title":"Advanced Science","DOI":"10.1002/advs.202104613","ISSN":"2198-3844","issue":"6","language":"en","license":"© 2022 The Authors. Advanced Science published by Wiley-VCH GmbH","note":"_eprint: https://onlinelibrary.wiley.com/doi/pdf/10.1002/advs.202104613","page":"2104613","source":"Wiley Online Library","title":"Correlating Electronic Structure and Device Physics with Mixing Region Morphology in High-Efficiency Organic Solar Cells","volume":"9","author":[{"family":"Leng","given":"Shifeng"},{"family":"Hao","given":"Tianyu"},{"family":"Zhou","given":"Guanqing"},{"family":"Zhu","given":"Lei"},{"family":"Zhong","given":"Wenkai"},{"family":"Yang","given":"Yankang"},{"family":"Zhang","given":"Ming"},{"family":"Xu","given":"Jinqiu"},{"family":"Zhan","given":"Junzhe"},{"family":"Zhou","given":"Zichun"},{"family":"Chen","given":"Jiajun"},{"family":"Lu","given":"Shirong"},{"family":"Tang","given":"Zheng"},{"family":"Shi","given":"Zhiwen"},{"family":"Zhu","given":"Haiming"},{"family":"Zhang","given":"Yongming"},{"family":"Liu","given":"Feng"}],"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[96]</w:t>
            </w:r>
            <w:r w:rsidRPr="00B55044">
              <w:rPr>
                <w:rFonts w:eastAsia="Times New Roman"/>
                <w:color w:val="0000FF"/>
                <w:sz w:val="16"/>
                <w:szCs w:val="16"/>
              </w:rPr>
              <w:fldChar w:fldCharType="end"/>
            </w:r>
          </w:p>
        </w:tc>
      </w:tr>
      <w:tr w:rsidR="00D47774" w:rsidRPr="00B55044" w14:paraId="694B753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C40406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157</w:t>
            </w:r>
          </w:p>
        </w:tc>
        <w:tc>
          <w:tcPr>
            <w:tcW w:w="1525" w:type="pct"/>
            <w:tcBorders>
              <w:top w:val="single" w:sz="4" w:space="0" w:color="auto"/>
              <w:left w:val="nil"/>
              <w:bottom w:val="single" w:sz="4" w:space="0" w:color="auto"/>
              <w:right w:val="nil"/>
            </w:tcBorders>
            <w:shd w:val="clear" w:color="auto" w:fill="auto"/>
            <w:noWrap/>
            <w:vAlign w:val="bottom"/>
            <w:hideMark/>
          </w:tcPr>
          <w:p w14:paraId="57F2D6A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ITO/Br-2PACz/AL/PNDIT-F3N/Ag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1A20AEF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PM6:PM6-Si30:BTP-eC9</w:t>
            </w:r>
          </w:p>
        </w:tc>
        <w:tc>
          <w:tcPr>
            <w:tcW w:w="379" w:type="pct"/>
            <w:tcBorders>
              <w:top w:val="single" w:sz="4" w:space="0" w:color="auto"/>
              <w:left w:val="nil"/>
              <w:bottom w:val="single" w:sz="4" w:space="0" w:color="auto"/>
              <w:right w:val="nil"/>
            </w:tcBorders>
            <w:shd w:val="clear" w:color="auto" w:fill="auto"/>
            <w:noWrap/>
            <w:vAlign w:val="bottom"/>
            <w:hideMark/>
          </w:tcPr>
          <w:p w14:paraId="72E4F0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53E5967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26.9</w:t>
            </w:r>
          </w:p>
        </w:tc>
        <w:tc>
          <w:tcPr>
            <w:tcW w:w="378" w:type="pct"/>
            <w:tcBorders>
              <w:top w:val="single" w:sz="4" w:space="0" w:color="auto"/>
              <w:left w:val="nil"/>
              <w:bottom w:val="single" w:sz="4" w:space="0" w:color="auto"/>
              <w:right w:val="nil"/>
            </w:tcBorders>
            <w:shd w:val="clear" w:color="auto" w:fill="auto"/>
            <w:noWrap/>
            <w:vAlign w:val="bottom"/>
            <w:hideMark/>
          </w:tcPr>
          <w:p w14:paraId="29CB4BE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78.04</w:t>
            </w:r>
          </w:p>
        </w:tc>
        <w:tc>
          <w:tcPr>
            <w:tcW w:w="381" w:type="pct"/>
            <w:tcBorders>
              <w:top w:val="single" w:sz="4" w:space="0" w:color="auto"/>
              <w:left w:val="nil"/>
              <w:bottom w:val="single" w:sz="4" w:space="0" w:color="auto"/>
              <w:right w:val="nil"/>
            </w:tcBorders>
            <w:shd w:val="clear" w:color="auto" w:fill="auto"/>
            <w:noWrap/>
            <w:vAlign w:val="bottom"/>
            <w:hideMark/>
          </w:tcPr>
          <w:p w14:paraId="772B6E2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18.27</w:t>
            </w:r>
          </w:p>
        </w:tc>
        <w:tc>
          <w:tcPr>
            <w:tcW w:w="378" w:type="pct"/>
            <w:tcBorders>
              <w:top w:val="single" w:sz="4" w:space="0" w:color="auto"/>
              <w:left w:val="nil"/>
              <w:bottom w:val="single" w:sz="4" w:space="0" w:color="auto"/>
              <w:right w:val="nil"/>
            </w:tcBorders>
            <w:shd w:val="clear" w:color="auto" w:fill="auto"/>
            <w:noWrap/>
            <w:vAlign w:val="bottom"/>
            <w:hideMark/>
          </w:tcPr>
          <w:p w14:paraId="582D9F7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{"citationID":"a298e0qj4h5","properties":{"formattedCitation":"[97]","plainCitation":"[97]","noteIndex":0},"citationItems":[{"id":556,"uris":["http://zotero.org/users/12909065/items/SGPGFE7J"],"itemData":{"id":556,"type":"article-journal","abstract":"“Ternary blending” and “random terpolymerization” strategies have both proven effective for enhancing the performance of organic solar cells (OSCs). However, reports on the combination of the two strategies remain rare. Here, a terpolymer PM6-Si30 was constructed by inserting chlorine and alkylsilyl-substituted benzodithiophene (BDT) unit (0.3 equivalent) into the state-of-the-art polymer PM6. The terpolymer exhibitsadeep highest-occupied-molecular-orbital energy and good miscibility with both PM6 and BTP-eC9 (C9) and enables its use as a third component into PM6:PM6-Si30:C9 bulk-heterojunction for OSCs. The resulting cells exhibit maximum power conversion efficiency (PCE) of 18.27%, which is higher than that obtained for the optimized control binary PM6:C9-based OSC (17.38%). The enhanced performance of the PM6:PM6-Si30:C9 cells is attributed to improved charge transport, favorable molecular arrangement, reduced energy loss and suppressed bimolecular recombination. The work demonstrates the potential of random terpolymer as a third component in OSCs and highlights a new strategy for the construction of a ternary system with improved photovoltaic performance.","container-title":"Nano Energy","DOI":"10.1016/j.nanoen.2021.106681","ISSN":"2211-2855","journalAbbreviation":"Nano Energy","page":"106681","source":"ScienceDirect","title":"Over 18% ternary polymer solar cells enabled by a terpolymer as the third component","volume":"92","author":[{"family":"Peng","given":"Wenhong"},{"family":"Lin","given":"Yuanbao"},{"family":"Jeong","given":"Sang Young"},{"family":"Genene","given":"Zewdneh"},{"family":"Magomedov","given":"Artiom"},{"family":"Woo","given":"Han Young"},{"family":"Chen","given":"Cailing"},{"family":"Wahyudi","given":"Wandi"},{"family":"Tao","given":"Qiang"},{"family":"Deng","given":"Jiyong"},{"family":"Han","given":"Yu"},{"family":"Getautis","given":"Vytautas"},{"family":"Zhu","given":"Weiguo"},{"family":"Anthopoulos","given":"Thomas D."},{"family":"Wang","given":"Ergang"}],"issued":{"date-parts":[["2022",2,1]]}}}],"schema":"https://github.com/citation-style-language/schema/raw/master/csl-citation.json"}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[97]</w:t>
            </w:r>
            <w:r w:rsidRPr="00B55044">
              <w:rPr>
                <w:rFonts w:eastAsia="Times New Roman"/>
                <w:color w:val="0000FF"/>
                <w:sz w:val="16"/>
                <w:szCs w:val="16"/>
              </w:rPr>
              <w:fldChar w:fldCharType="end"/>
            </w:r>
          </w:p>
        </w:tc>
      </w:tr>
      <w:tr w:rsidR="00D47774" w:rsidRPr="00B55044" w14:paraId="3C05436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EDCA8C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158</w:t>
            </w:r>
          </w:p>
        </w:tc>
        <w:tc>
          <w:tcPr>
            <w:tcW w:w="1525" w:type="pct"/>
            <w:tcBorders>
              <w:top w:val="single" w:sz="4" w:space="0" w:color="auto"/>
              <w:left w:val="nil"/>
              <w:bottom w:val="single" w:sz="4" w:space="0" w:color="auto"/>
              <w:right w:val="nil"/>
            </w:tcBorders>
            <w:shd w:val="clear" w:color="auto" w:fill="auto"/>
            <w:noWrap/>
            <w:vAlign w:val="bottom"/>
            <w:hideMark/>
          </w:tcPr>
          <w:p w14:paraId="4243C6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3D1FAE7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PM6:IFL-ED-4F:BTP-BO-4Cl</w:t>
            </w:r>
          </w:p>
        </w:tc>
        <w:tc>
          <w:tcPr>
            <w:tcW w:w="379" w:type="pct"/>
            <w:tcBorders>
              <w:top w:val="single" w:sz="4" w:space="0" w:color="auto"/>
              <w:left w:val="nil"/>
              <w:bottom w:val="single" w:sz="4" w:space="0" w:color="auto"/>
              <w:right w:val="nil"/>
            </w:tcBorders>
            <w:shd w:val="clear" w:color="auto" w:fill="auto"/>
            <w:noWrap/>
            <w:vAlign w:val="bottom"/>
            <w:hideMark/>
          </w:tcPr>
          <w:p w14:paraId="037502E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3AFCC1B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25.23</w:t>
            </w:r>
          </w:p>
        </w:tc>
        <w:tc>
          <w:tcPr>
            <w:tcW w:w="378" w:type="pct"/>
            <w:tcBorders>
              <w:top w:val="single" w:sz="4" w:space="0" w:color="auto"/>
              <w:left w:val="nil"/>
              <w:bottom w:val="single" w:sz="4" w:space="0" w:color="auto"/>
              <w:right w:val="nil"/>
            </w:tcBorders>
            <w:shd w:val="clear" w:color="auto" w:fill="auto"/>
            <w:noWrap/>
            <w:vAlign w:val="bottom"/>
            <w:hideMark/>
          </w:tcPr>
          <w:p w14:paraId="0DA1527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68.54</w:t>
            </w:r>
          </w:p>
        </w:tc>
        <w:tc>
          <w:tcPr>
            <w:tcW w:w="381" w:type="pct"/>
            <w:tcBorders>
              <w:top w:val="single" w:sz="4" w:space="0" w:color="auto"/>
              <w:left w:val="nil"/>
              <w:bottom w:val="single" w:sz="4" w:space="0" w:color="auto"/>
              <w:right w:val="nil"/>
            </w:tcBorders>
            <w:shd w:val="clear" w:color="auto" w:fill="auto"/>
            <w:noWrap/>
            <w:vAlign w:val="bottom"/>
            <w:hideMark/>
          </w:tcPr>
          <w:p w14:paraId="00E675A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14.7</w:t>
            </w:r>
          </w:p>
        </w:tc>
        <w:tc>
          <w:tcPr>
            <w:tcW w:w="378" w:type="pct"/>
            <w:tcBorders>
              <w:top w:val="single" w:sz="4" w:space="0" w:color="auto"/>
              <w:left w:val="nil"/>
              <w:bottom w:val="single" w:sz="4" w:space="0" w:color="auto"/>
              <w:right w:val="nil"/>
            </w:tcBorders>
            <w:shd w:val="clear" w:color="auto" w:fill="auto"/>
            <w:noWrap/>
            <w:vAlign w:val="bottom"/>
            <w:hideMark/>
          </w:tcPr>
          <w:p w14:paraId="243C654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{"citationID":"au6r408j7e","properties":{"formattedCitation":"[98]","plainCitation":"[98]","noteIndex":0},"citationItems":[{"id":555,"uris":["http://zotero.org/users/12909065/items/VZ76PZ4C"],"itemData":{"id":555,"type":"article-journal","abstract":"A rational design of efficient low-band-gap non-fullerene acceptors (NFAs) for high-performance organic solar cells (OSCs) remains challenging; the main constraint being the decrease in the energy level of the lowest unoccupied molecular orbitals (LUMOs) as the bandgap of A-D-A-type NFAs decrease. Therefore, the short current density (Jsc) and open-circuit voltage (Voc) result in a trade-off relationship, making it difficult to obtain efficient OSCs. Herein, three NFAs (IFL-ED-4F, IDT-ED-4F, and IDTT-ED-2F) were synthesized to address the above-mentioned issue by introducing 3,4-ethylenedioxythiophene (EDOT) as a π-bridge. These NFAs exhibit relatively low bandgaps (1.67, 1.42, and 1.49 eV, respectively) and upshifted LUMO levels (-3.88, −3.84, and −3.81 eV, respectively) compared with most reported low-band-gap NFAs. Consequently, the photovoltaic devices based on IDT-ED-4F blended with a PBDB-T donor polymer showed the best power conversion efficiency (PCE) of 10.4% with a high Jsc of 22.1 mA cm−2 and Voc of 0.884 V among the examined NFAs. In contrast, IDTT-ED-4F, which was designed with an asymmetric structure of the D-π-A type, showed the lowest efficiency of 1.5% owing to the poor morphology and charge transport properties of the binary blend. However, when this was introduced as the third component of the PM6:BTP-BO-4Cl, complementary absorption and cascade energy-level alignment between the two substances could be achieved. Surprisingly, the IDTT-ED-4F-based ternary blend device not only improved the Jsc and Voc, but also achieved a PCE of 15.2%, which is approximately 5.3% higher than that of the reference device with a minimized energy loss of 0.488 eV. In addition, the universality of IDTT-ED-2F as a third component was effectively demonstrated in other photoactive systems, specifically, PM6:BTP-eC9 and PTB7-Th:IEICO-4F. This work facilitates a better understanding of the structure–property relationship for utilizing efficient EDOT-bridged NFAs in high-performance OSC applications.","container-title":"Journal of Energy Chemistry","DOI":"10.1016/j.jechem.2021.05.032","ISSN":"2095-4956","journalAbbreviation":"Journal of Energy Chemistry","page":"194-204","source":"ScienceDirect","title":"Utilizing 3,4-ethylenedioxythiophene (EDOT)-bridged non-fullerene acceptors for efficient organic solar cells","volume":"65","author":[{"family":"Jeon","given":"Sung Jae"},{"family":"Kim","given":"Young Hoon"},{"family":"Kim","given":"Ie Na"},{"family":"Yang","given":"Nam Gyu"},{"family":"Yun","given":"Ji Hee"},{"family":"Moon","given":"Doo Kyung"}],"issued":{"date-parts":[["2022",2,1]]}}}],"schema":"https://github.com/citation-style-language/schema/raw/master/csl-citation.json"}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[98]</w:t>
            </w:r>
            <w:r w:rsidRPr="00B55044">
              <w:rPr>
                <w:rFonts w:eastAsia="Times New Roman"/>
                <w:color w:val="0000FF"/>
                <w:sz w:val="16"/>
                <w:szCs w:val="16"/>
              </w:rPr>
              <w:fldChar w:fldCharType="end"/>
            </w:r>
          </w:p>
        </w:tc>
      </w:tr>
      <w:tr w:rsidR="00D47774" w:rsidRPr="00B55044" w14:paraId="0668B1E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0F8CFF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159</w:t>
            </w:r>
          </w:p>
        </w:tc>
        <w:tc>
          <w:tcPr>
            <w:tcW w:w="1525" w:type="pct"/>
            <w:tcBorders>
              <w:top w:val="single" w:sz="4" w:space="0" w:color="auto"/>
              <w:left w:val="nil"/>
              <w:bottom w:val="single" w:sz="4" w:space="0" w:color="auto"/>
              <w:right w:val="nil"/>
            </w:tcBorders>
            <w:shd w:val="clear" w:color="auto" w:fill="auto"/>
            <w:noWrap/>
            <w:vAlign w:val="bottom"/>
            <w:hideMark/>
          </w:tcPr>
          <w:p w14:paraId="544F997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0CBF367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PM6:IDT-ED-4F:BTP-BO-4Cl</w:t>
            </w:r>
          </w:p>
        </w:tc>
        <w:tc>
          <w:tcPr>
            <w:tcW w:w="379" w:type="pct"/>
            <w:tcBorders>
              <w:top w:val="single" w:sz="4" w:space="0" w:color="auto"/>
              <w:left w:val="nil"/>
              <w:bottom w:val="single" w:sz="4" w:space="0" w:color="auto"/>
              <w:right w:val="nil"/>
            </w:tcBorders>
            <w:shd w:val="clear" w:color="auto" w:fill="auto"/>
            <w:noWrap/>
            <w:vAlign w:val="bottom"/>
            <w:hideMark/>
          </w:tcPr>
          <w:p w14:paraId="1E980FC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4AA100E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24.91</w:t>
            </w:r>
          </w:p>
        </w:tc>
        <w:tc>
          <w:tcPr>
            <w:tcW w:w="378" w:type="pct"/>
            <w:tcBorders>
              <w:top w:val="single" w:sz="4" w:space="0" w:color="auto"/>
              <w:left w:val="nil"/>
              <w:bottom w:val="single" w:sz="4" w:space="0" w:color="auto"/>
              <w:right w:val="nil"/>
            </w:tcBorders>
            <w:shd w:val="clear" w:color="auto" w:fill="auto"/>
            <w:noWrap/>
            <w:vAlign w:val="bottom"/>
            <w:hideMark/>
          </w:tcPr>
          <w:p w14:paraId="1DAC9B0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68.01</w:t>
            </w:r>
          </w:p>
        </w:tc>
        <w:tc>
          <w:tcPr>
            <w:tcW w:w="381" w:type="pct"/>
            <w:tcBorders>
              <w:top w:val="single" w:sz="4" w:space="0" w:color="auto"/>
              <w:left w:val="nil"/>
              <w:bottom w:val="single" w:sz="4" w:space="0" w:color="auto"/>
              <w:right w:val="nil"/>
            </w:tcBorders>
            <w:shd w:val="clear" w:color="auto" w:fill="auto"/>
            <w:noWrap/>
            <w:vAlign w:val="bottom"/>
            <w:hideMark/>
          </w:tcPr>
          <w:p w14:paraId="01C5023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14.4</w:t>
            </w:r>
          </w:p>
        </w:tc>
        <w:tc>
          <w:tcPr>
            <w:tcW w:w="378" w:type="pct"/>
            <w:tcBorders>
              <w:top w:val="single" w:sz="4" w:space="0" w:color="auto"/>
              <w:left w:val="nil"/>
              <w:bottom w:val="single" w:sz="4" w:space="0" w:color="auto"/>
              <w:right w:val="nil"/>
            </w:tcBorders>
            <w:shd w:val="clear" w:color="auto" w:fill="auto"/>
            <w:noWrap/>
            <w:vAlign w:val="bottom"/>
            <w:hideMark/>
          </w:tcPr>
          <w:p w14:paraId="7DF3A0B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{"citationID":"a2pbq95f6v","properties":{"formattedCitation":"[98]","plainCitation":"[98]","noteIndex":0},"citationItems":[{"id":555,"uris":["http://zotero.org/users/12909065/items/VZ76PZ4C"],"itemData":{"id":555,"type":"article-journal","abstract":"A rational design of efficient low-band-gap non-fullerene acceptors (NFAs) for high-performance organic solar cells (OSCs) remains challenging; the main constraint being the decrease in the energy level of the lowest unoccupied molecular orbitals (LUMOs) as the bandgap of A-D-A-type NFAs decrease. Therefore, the short current density (Jsc) and open-circuit voltage (Voc) result in a trade-off relationship, making it difficult to obtain efficient OSCs. Herein, three NFAs (IFL-ED-4F, IDT-ED-4F, and IDTT-ED-2F) were synthesized to address the above-mentioned issue by introducing 3,4-ethylenedioxythiophene (EDOT) as a π-bridge. These NFAs exhibit relatively low bandgaps (1.67, 1.42, and 1.49 eV, respectively) and upshifted LUMO levels (-3.88, −3.84, and −3.81 eV, respectively) compared with most reported low-band-gap NFAs. Consequently, the photovoltaic devices based on IDT-ED-4F blended with a PBDB-T donor polymer showed the best power conversion efficiency (PCE) of 10.4% with a high Jsc of 22.1 mA cm−2 and Voc of 0.884 V among the examined NFAs. In contrast, IDTT-ED-4F, which was designed with an asymmetric structure of the D-π-A type, showed the lowest efficiency of 1.5% owing to the poor morphology and charge transport properties of the binary blend. However, when this was introduced as the third component of the PM6:BTP-BO-4Cl, complementary absorption and cascade energy-level alignment between the two substances could be achieved. Surprisingly, the IDTT-ED-4F-based ternary blend device not only improved the Jsc and Voc, but also achieved a PCE of 15.2%, which is approximately 5.3% higher than that of the reference device with a minimized energy loss of 0.488 eV. In addition, the universality of IDTT-ED-2F as a third component was effectively demonstrated in other photoactive systems, specifically, PM6:BTP-eC9 and PTB7-Th:IEICO-4F. This work facilitates a better understanding of the structure–property relationship for utilizing efficient EDOT-bridged NFAs in high-performance OSC applications.","container-title":"Journal of Energy Chemistry","DOI":"10.1016/j.jechem.2021.05.032","ISSN":"2095-4956","journalAbbreviation":"Journal of Energy Chemistry","page":"194-204","source":"ScienceDirect","title":"Utilizing 3,4-ethylenedioxythiophene (EDOT)-bridged non-fullerene acceptors for efficient organic solar cells","volume":"65","author":[{"family":"Jeon","given":"Sung Jae"},{"family":"Kim","given":"Young Hoon"},{"family":"Kim","given":"Ie Na"},{"family":"Yang","given":"Nam Gyu"},{"family":"Yun","given":"Ji Hee"},{"family":"Moon","given":"Doo Kyung"}],"issued":{"date-parts":[["2022",2,1]]}}}],"schema":"https://github.com/citation-style-language/schema/raw/master/csl-citation.json"}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[98]</w:t>
            </w:r>
            <w:r w:rsidRPr="00B55044">
              <w:rPr>
                <w:rFonts w:eastAsia="Times New Roman"/>
                <w:color w:val="0000FF"/>
                <w:sz w:val="16"/>
                <w:szCs w:val="16"/>
              </w:rPr>
              <w:fldChar w:fldCharType="end"/>
            </w:r>
          </w:p>
        </w:tc>
      </w:tr>
      <w:tr w:rsidR="00D47774" w:rsidRPr="00B55044" w14:paraId="38BA522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97D77E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160</w:t>
            </w:r>
          </w:p>
        </w:tc>
        <w:tc>
          <w:tcPr>
            <w:tcW w:w="1525" w:type="pct"/>
            <w:tcBorders>
              <w:top w:val="single" w:sz="4" w:space="0" w:color="auto"/>
              <w:left w:val="nil"/>
              <w:bottom w:val="single" w:sz="4" w:space="0" w:color="auto"/>
              <w:right w:val="nil"/>
            </w:tcBorders>
            <w:shd w:val="clear" w:color="auto" w:fill="auto"/>
            <w:noWrap/>
            <w:vAlign w:val="bottom"/>
            <w:hideMark/>
          </w:tcPr>
          <w:p w14:paraId="5D6CDCD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3460DF6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PM6:IDTT-ED-2F:BTP-BO-4Cl</w:t>
            </w:r>
          </w:p>
        </w:tc>
        <w:tc>
          <w:tcPr>
            <w:tcW w:w="379" w:type="pct"/>
            <w:tcBorders>
              <w:top w:val="single" w:sz="4" w:space="0" w:color="auto"/>
              <w:left w:val="nil"/>
              <w:bottom w:val="single" w:sz="4" w:space="0" w:color="auto"/>
              <w:right w:val="nil"/>
            </w:tcBorders>
            <w:shd w:val="clear" w:color="auto" w:fill="auto"/>
            <w:noWrap/>
            <w:vAlign w:val="bottom"/>
            <w:hideMark/>
          </w:tcPr>
          <w:p w14:paraId="0366335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02CCD6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25.16</w:t>
            </w:r>
          </w:p>
        </w:tc>
        <w:tc>
          <w:tcPr>
            <w:tcW w:w="378" w:type="pct"/>
            <w:tcBorders>
              <w:top w:val="single" w:sz="4" w:space="0" w:color="auto"/>
              <w:left w:val="nil"/>
              <w:bottom w:val="single" w:sz="4" w:space="0" w:color="auto"/>
              <w:right w:val="nil"/>
            </w:tcBorders>
            <w:shd w:val="clear" w:color="auto" w:fill="auto"/>
            <w:noWrap/>
            <w:vAlign w:val="bottom"/>
            <w:hideMark/>
          </w:tcPr>
          <w:p w14:paraId="074D6E9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71.26</w:t>
            </w:r>
          </w:p>
        </w:tc>
        <w:tc>
          <w:tcPr>
            <w:tcW w:w="381" w:type="pct"/>
            <w:tcBorders>
              <w:top w:val="single" w:sz="4" w:space="0" w:color="auto"/>
              <w:left w:val="nil"/>
              <w:bottom w:val="single" w:sz="4" w:space="0" w:color="auto"/>
              <w:right w:val="nil"/>
            </w:tcBorders>
            <w:shd w:val="clear" w:color="auto" w:fill="auto"/>
            <w:noWrap/>
            <w:vAlign w:val="bottom"/>
            <w:hideMark/>
          </w:tcPr>
          <w:p w14:paraId="4098C0B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15.2</w:t>
            </w:r>
          </w:p>
        </w:tc>
        <w:tc>
          <w:tcPr>
            <w:tcW w:w="378" w:type="pct"/>
            <w:tcBorders>
              <w:top w:val="single" w:sz="4" w:space="0" w:color="auto"/>
              <w:left w:val="nil"/>
              <w:bottom w:val="single" w:sz="4" w:space="0" w:color="auto"/>
              <w:right w:val="nil"/>
            </w:tcBorders>
            <w:shd w:val="clear" w:color="auto" w:fill="auto"/>
            <w:noWrap/>
            <w:vAlign w:val="bottom"/>
            <w:hideMark/>
          </w:tcPr>
          <w:p w14:paraId="3F263B3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{"citationID":"a1671acjvpo","properties":{"formattedCitation":"[98]","plainCitation":"[98]","noteIndex":0},"citationItems":[{"id":555,"uris":["http://zotero.org/users/12909065/items/VZ76PZ4C"],"itemData":{"id":555,"type":"article-journal","abstract":"A rational design of efficient low-band-gap non-fullerene acceptors (NFAs) for high-performance organic solar cells (OSCs) remains challenging; the main constraint being the decrease in the energy level of the lowest unoccupied molecular orbitals (LUMOs) as the bandgap of A-D-A-type NFAs decrease. Therefore, the short current density (Jsc) and open-circuit voltage (Voc) result in a trade-off relationship, making it difficult to obtain efficient OSCs. Herein, three NFAs (IFL-ED-4F, IDT-ED-4F, and IDTT-ED-2F) were synthesized to address the above-mentioned issue by introducing 3,4-ethylenedioxythiophene (EDOT) as a π-bridge. These NFAs exhibit relatively low bandgaps (1.67, 1.42, and 1.49 eV, respectively) and upshifted LUMO levels (-3.88, −3.84, and −3.81 eV, respectively) compared with most reported low-band-gap NFAs. Consequently, the photovoltaic devices based on IDT-ED-4F blended with a PBDB-T donor polymer showed the best power conversion efficiency (PCE) of 10.4% with a high Jsc of 22.1 mA cm−2 and Voc of 0.884 V among the examined NFAs. In contrast, IDTT-ED-4F, which was designed with an asymmetric structure of the D-π-A type, showed the lowest efficiency of 1.5% owing to the poor morphology and charge transport properties of the binary blend. However, when this was introduced as the third component of the PM6:BTP-BO-4Cl, complementary absorption and cascade energy-level alignment between the two substances could be achieved. Surprisingly, the IDTT-ED-4F-based ternary blend device not only improved the Jsc and Voc, but also achieved a PCE of 15.2%, which is approximately 5.3% higher than that of the reference device with a minimized energy loss of 0.488 eV. In addition, the universality of IDTT-ED-2F as a third component was effectively demonstrated in other photoactive systems, specifically, PM6:BTP-eC9 and PTB7-Th:IEICO-4F. This work facilitates a better understanding of the structure–property relationship for utilizing efficient EDOT-bridged NFAs in high-performance OSC applications.","container-title":"Journal of Energy Chemistry","DOI":"10.1016/j.jechem.2021.05.032","ISSN":"2095-4956","journalAbbreviation":"Journal of Energy Chemistry","page":"194-204","source":"ScienceDirect","title":"Utilizing 3,4-ethylenedioxythiophene (EDOT)-bridged non-fullerene acceptors for efficient organic solar cells","volume":"65","author":[{"family":"Jeon","given":"Sung Jae"},{"family":"Kim","given":"Young Hoon"},{"family":"Kim","given":"Ie Na"},{"family":"Yang","given":"Nam Gyu"},{"family":"Yun","given":"Ji Hee"},{"family":"Moon","given":"Doo Kyung"}],"issued":{"date-parts":[["2022",2,1]]}}}],"schema":"https://github.com/citation-style-language/schema/raw/master/csl-citation.json"}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[98]</w:t>
            </w:r>
            <w:r w:rsidRPr="00B55044">
              <w:rPr>
                <w:rFonts w:eastAsia="Times New Roman"/>
                <w:color w:val="0000FF"/>
                <w:sz w:val="16"/>
                <w:szCs w:val="16"/>
              </w:rPr>
              <w:fldChar w:fldCharType="end"/>
            </w:r>
          </w:p>
        </w:tc>
      </w:tr>
      <w:tr w:rsidR="00D47774" w:rsidRPr="00B55044" w14:paraId="1D4DD62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EEE32E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161</w:t>
            </w:r>
          </w:p>
        </w:tc>
        <w:tc>
          <w:tcPr>
            <w:tcW w:w="1525" w:type="pct"/>
            <w:tcBorders>
              <w:top w:val="single" w:sz="4" w:space="0" w:color="auto"/>
              <w:left w:val="nil"/>
              <w:bottom w:val="single" w:sz="4" w:space="0" w:color="auto"/>
              <w:right w:val="nil"/>
            </w:tcBorders>
            <w:shd w:val="clear" w:color="auto" w:fill="auto"/>
            <w:noWrap/>
            <w:vAlign w:val="bottom"/>
            <w:hideMark/>
          </w:tcPr>
          <w:p w14:paraId="7322A89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13ABAF2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PM6:Y6:N2200</w:t>
            </w:r>
          </w:p>
        </w:tc>
        <w:tc>
          <w:tcPr>
            <w:tcW w:w="379" w:type="pct"/>
            <w:tcBorders>
              <w:top w:val="single" w:sz="4" w:space="0" w:color="auto"/>
              <w:left w:val="nil"/>
              <w:bottom w:val="single" w:sz="4" w:space="0" w:color="auto"/>
              <w:right w:val="nil"/>
            </w:tcBorders>
            <w:shd w:val="clear" w:color="auto" w:fill="auto"/>
            <w:noWrap/>
            <w:vAlign w:val="bottom"/>
            <w:hideMark/>
          </w:tcPr>
          <w:p w14:paraId="3C6B71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00FA221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25.06</w:t>
            </w:r>
          </w:p>
        </w:tc>
        <w:tc>
          <w:tcPr>
            <w:tcW w:w="378" w:type="pct"/>
            <w:tcBorders>
              <w:top w:val="single" w:sz="4" w:space="0" w:color="auto"/>
              <w:left w:val="nil"/>
              <w:bottom w:val="single" w:sz="4" w:space="0" w:color="auto"/>
              <w:right w:val="nil"/>
            </w:tcBorders>
            <w:shd w:val="clear" w:color="auto" w:fill="auto"/>
            <w:noWrap/>
            <w:vAlign w:val="bottom"/>
            <w:hideMark/>
          </w:tcPr>
          <w:p w14:paraId="16F9901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71.9</w:t>
            </w:r>
          </w:p>
        </w:tc>
        <w:tc>
          <w:tcPr>
            <w:tcW w:w="381" w:type="pct"/>
            <w:tcBorders>
              <w:top w:val="single" w:sz="4" w:space="0" w:color="auto"/>
              <w:left w:val="nil"/>
              <w:bottom w:val="single" w:sz="4" w:space="0" w:color="auto"/>
              <w:right w:val="nil"/>
            </w:tcBorders>
            <w:shd w:val="clear" w:color="auto" w:fill="auto"/>
            <w:noWrap/>
            <w:vAlign w:val="bottom"/>
            <w:hideMark/>
          </w:tcPr>
          <w:p w14:paraId="7F187DE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15.57</w:t>
            </w:r>
          </w:p>
        </w:tc>
        <w:tc>
          <w:tcPr>
            <w:tcW w:w="378" w:type="pct"/>
            <w:tcBorders>
              <w:top w:val="single" w:sz="4" w:space="0" w:color="auto"/>
              <w:left w:val="nil"/>
              <w:bottom w:val="single" w:sz="4" w:space="0" w:color="auto"/>
              <w:right w:val="nil"/>
            </w:tcBorders>
            <w:shd w:val="clear" w:color="auto" w:fill="auto"/>
            <w:noWrap/>
            <w:vAlign w:val="bottom"/>
            <w:hideMark/>
          </w:tcPr>
          <w:p w14:paraId="69A2957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{"citationID":"a2dfteue4qk","properties":{"formattedCitation":"[99]","plainCitation":"[99]","noteIndex":0},"citationItems":[{"id":553,"uris":["http://zotero.org/users/12909065/items/98QHELHZ"],"itemData":{"id":553,"type":"article-journal","abstract":"The mechanism of how the preaggregation of components induced by the solvent type affects the crystallization and miscibility of Y6-based blends remains to be explored. In this article, PDCBT-2F and N2200 serving as polymer additives were incorporated into the high-performance PM6:Y6 system to investigate morphological evolution as well as photovoltaic performance. It is found that both PDCBT-2F and N2200 could enhance the power conversion efficiency (PCE) of PM6:Y6 solar cells when processed with chloroform (CF). Unfortunately, the PCE value sharply reduced when processed with chlorobenzene (CB), which further decreased upon the incorporation of PDCBT-2F. In contrast, N2200 could still improve the performance of solar cells due to the formation of interconnected fibrils, although Y6 formed large-scale aggregates as observed using a transmission electron microscope (TEM). According to the UV spectra in solution and surface energy analysis, the components show close free energy in CF, indicating preaggregation matching of components. In contrast, the free energies of Y6 and PDCBT-2F in CB are different from those of PM6 and N2200, and the mismatching of preaggregation of the components contributes to the poor performance of solar cells. Based on the differential scanning calorimetry (DSC) analysis, the multiple melting peaks of Y6 corresponding to the face-on and edge-on crystals have been distinguished. The Flory–Huggins interaction parameters in Y6-based blends were highly influenced by the solvent type. N2200 shows higher miscibility with Y6 than PDCBT-2F, and N2200 induces the crystallization of Y6. The variation of miscibility induced by the preaggregation in different solvents could provide theoretical guidelines to optimize or control the morphology of the active layer as well as the resulting performance of organic solar cells.","container-title":"ACS Applied Energy Materials","DOI":"10.1021/acsaem.1c03578","issue":"1","journalAbbreviation":"ACS Appl. Energy Mater.","note":"publisher: American Chemical Society","page":"1193-1204","source":"ACS Publications","title":"Preaggregation in Solution Producing Multiple Crystal Forms of Y6 Corresponding to a Variation of Miscibility in PM6-Based Ternary Solar Cells","volume":"5","author":[{"family":"Yao","given":"Ge"},{"family":"Ge","given":"Yansong"},{"family":"Xiao","given":"Xinyu"},{"family":"Zhang","given":"Lifu"},{"family":"Yi","given":"Nan"},{"family":"Luo","given":"Haoqi"},{"family":"Yuan","given":"Shuaishuai"},{"family":"Zhou","given":"Weihua"}],"issued":{"date-parts":[["2022",1,24]]}}}],"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[99]</w:t>
            </w:r>
            <w:r w:rsidRPr="00B55044">
              <w:rPr>
                <w:rFonts w:eastAsia="Times New Roman"/>
                <w:color w:val="0000FF"/>
                <w:sz w:val="16"/>
                <w:szCs w:val="16"/>
              </w:rPr>
              <w:fldChar w:fldCharType="end"/>
            </w:r>
          </w:p>
        </w:tc>
      </w:tr>
      <w:tr w:rsidR="00D47774" w:rsidRPr="00B55044" w14:paraId="22951A4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E1E0FD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162</w:t>
            </w:r>
          </w:p>
        </w:tc>
        <w:tc>
          <w:tcPr>
            <w:tcW w:w="1525" w:type="pct"/>
            <w:tcBorders>
              <w:top w:val="single" w:sz="4" w:space="0" w:color="auto"/>
              <w:left w:val="nil"/>
              <w:bottom w:val="single" w:sz="4" w:space="0" w:color="auto"/>
              <w:right w:val="nil"/>
            </w:tcBorders>
            <w:shd w:val="clear" w:color="auto" w:fill="auto"/>
            <w:noWrap/>
            <w:vAlign w:val="bottom"/>
            <w:hideMark/>
          </w:tcPr>
          <w:p w14:paraId="72521A8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2D1413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PM6:Y6:PDCBT-2F</w:t>
            </w:r>
          </w:p>
        </w:tc>
        <w:tc>
          <w:tcPr>
            <w:tcW w:w="379" w:type="pct"/>
            <w:tcBorders>
              <w:top w:val="single" w:sz="4" w:space="0" w:color="auto"/>
              <w:left w:val="nil"/>
              <w:bottom w:val="single" w:sz="4" w:space="0" w:color="auto"/>
              <w:right w:val="nil"/>
            </w:tcBorders>
            <w:shd w:val="clear" w:color="auto" w:fill="auto"/>
            <w:noWrap/>
            <w:vAlign w:val="bottom"/>
            <w:hideMark/>
          </w:tcPr>
          <w:p w14:paraId="40C03C4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29D5C42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23.55</w:t>
            </w:r>
          </w:p>
        </w:tc>
        <w:tc>
          <w:tcPr>
            <w:tcW w:w="378" w:type="pct"/>
            <w:tcBorders>
              <w:top w:val="single" w:sz="4" w:space="0" w:color="auto"/>
              <w:left w:val="nil"/>
              <w:bottom w:val="single" w:sz="4" w:space="0" w:color="auto"/>
              <w:right w:val="nil"/>
            </w:tcBorders>
            <w:shd w:val="clear" w:color="auto" w:fill="auto"/>
            <w:noWrap/>
            <w:vAlign w:val="bottom"/>
            <w:hideMark/>
          </w:tcPr>
          <w:p w14:paraId="08D26A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74.9</w:t>
            </w:r>
          </w:p>
        </w:tc>
        <w:tc>
          <w:tcPr>
            <w:tcW w:w="381" w:type="pct"/>
            <w:tcBorders>
              <w:top w:val="single" w:sz="4" w:space="0" w:color="auto"/>
              <w:left w:val="nil"/>
              <w:bottom w:val="single" w:sz="4" w:space="0" w:color="auto"/>
              <w:right w:val="nil"/>
            </w:tcBorders>
            <w:shd w:val="clear" w:color="auto" w:fill="auto"/>
            <w:noWrap/>
            <w:vAlign w:val="bottom"/>
            <w:hideMark/>
          </w:tcPr>
          <w:p w14:paraId="0B3C424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15.22</w:t>
            </w:r>
          </w:p>
        </w:tc>
        <w:tc>
          <w:tcPr>
            <w:tcW w:w="378" w:type="pct"/>
            <w:tcBorders>
              <w:top w:val="single" w:sz="4" w:space="0" w:color="auto"/>
              <w:left w:val="nil"/>
              <w:bottom w:val="single" w:sz="4" w:space="0" w:color="auto"/>
              <w:right w:val="nil"/>
            </w:tcBorders>
            <w:shd w:val="clear" w:color="auto" w:fill="auto"/>
            <w:noWrap/>
            <w:vAlign w:val="bottom"/>
            <w:hideMark/>
          </w:tcPr>
          <w:p w14:paraId="21C8774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{"citationID":"aqru5nmsdr","properties":{"formattedCitation":"[99]","plainCitation":"[99]","noteIndex":0},"citationItems":[{"id":553,"uris":["http://zotero.org/users/12909065/items/98QHELHZ"],"itemData":{"id":553,"type":"article-journal","abstract":"The mechanism of how the preaggregation of components induced by the solvent type affects the crystallization and miscibility of Y6-based blends remains to be explored. In this article, PDCBT-2F and N2200 serving as polymer additives were incorporated into the high-performance PM6:Y6 system to investigate morphological evolution as well as photovoltaic performance. It is found that both PDCBT-2F and N2200 could enhance the power conversion efficiency (PCE) of PM6:Y6 solar cells when processed with chloroform (CF). Unfortunately, the PCE value sharply reduced when processed with chlorobenzene (CB), which further decreased upon the incorporation of PDCBT-2F. In contrast, N2200 could still improve the performance of solar cells due to the formation of interconnected fibrils, although Y6 formed large-scale aggregates as observed using a transmission electron microscope (TEM). According to the UV spectra in solution and surface energy analysis, the components show close free energy in CF, indicating preaggregation matching of components. In contrast, the free energies of Y6 and PDCBT-2F in CB are different from those of PM6 and N2200, and the mismatching of preaggregation of the components contributes to the poor performance of solar cells. Based on the differential scanning calorimetry (DSC) analysis, the multiple melting peaks of Y6 corresponding to the face-on and edge-on crystals have been distinguished. The Flory–Huggins interaction parameters in Y6-based blends were highly influenced by the solvent type. N2200 shows higher miscibility with Y6 than PDCBT-2F, and N2200 induces the crystallization of Y6. The variation of miscibility induced by the preaggregation in different solvents could provide theoretical guidelines to optimize or control the morphology of the active layer as well as the resulting performance of organic solar cells.","container-title":"ACS Applied Energy Materials","DOI":"10.1021/acsaem.1c03578","issue":"1","journalAbbreviation":"ACS Appl. Energy Mater.","note":"publisher: American Chemical Society","page":"1193-1204","source":"ACS Publications","title":"Preaggregation in Solution Producing Multiple Crystal Forms of Y6 Corresponding to a Variation of Miscibility in PM6-Based Ternary Solar Cells","volume":"5","author":[{"family":"Yao","given":"Ge"},{"family":"Ge","given":"Yansong"},{"family":"Xiao","given":"Xinyu"},{"family":"Zhang","given":"Lifu"},{"family":"Yi","given":"Nan"},{"family":"Luo","given":"Haoqi"},{"family":"Yuan","given":"Shuaishuai"},{"family":"Zhou","given":"Weihua"}],"issued":{"date-parts":[["2022",1,24]]}}}],"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[99]</w:t>
            </w:r>
            <w:r w:rsidRPr="00B55044">
              <w:rPr>
                <w:rFonts w:eastAsia="Times New Roman"/>
                <w:color w:val="0000FF"/>
                <w:sz w:val="16"/>
                <w:szCs w:val="16"/>
              </w:rPr>
              <w:fldChar w:fldCharType="end"/>
            </w:r>
          </w:p>
        </w:tc>
      </w:tr>
      <w:tr w:rsidR="00D47774" w:rsidRPr="00B55044" w14:paraId="24F6AE2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D1D680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163</w:t>
            </w:r>
          </w:p>
        </w:tc>
        <w:tc>
          <w:tcPr>
            <w:tcW w:w="1525" w:type="pct"/>
            <w:tcBorders>
              <w:top w:val="single" w:sz="4" w:space="0" w:color="auto"/>
              <w:left w:val="nil"/>
              <w:bottom w:val="single" w:sz="4" w:space="0" w:color="auto"/>
              <w:right w:val="nil"/>
            </w:tcBorders>
            <w:shd w:val="clear" w:color="auto" w:fill="auto"/>
            <w:noWrap/>
            <w:vAlign w:val="bottom"/>
            <w:hideMark/>
          </w:tcPr>
          <w:p w14:paraId="7C2C159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42459EF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PM6:Y6:PCBM</w:t>
            </w:r>
          </w:p>
        </w:tc>
        <w:tc>
          <w:tcPr>
            <w:tcW w:w="379" w:type="pct"/>
            <w:tcBorders>
              <w:top w:val="single" w:sz="4" w:space="0" w:color="auto"/>
              <w:left w:val="nil"/>
              <w:bottom w:val="single" w:sz="4" w:space="0" w:color="auto"/>
              <w:right w:val="nil"/>
            </w:tcBorders>
            <w:shd w:val="clear" w:color="auto" w:fill="auto"/>
            <w:noWrap/>
            <w:vAlign w:val="bottom"/>
            <w:hideMark/>
          </w:tcPr>
          <w:p w14:paraId="03F06AD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w:t>
            </w:r>
          </w:p>
        </w:tc>
        <w:tc>
          <w:tcPr>
            <w:tcW w:w="379" w:type="pct"/>
            <w:tcBorders>
              <w:top w:val="single" w:sz="4" w:space="0" w:color="auto"/>
              <w:left w:val="nil"/>
              <w:bottom w:val="single" w:sz="4" w:space="0" w:color="auto"/>
              <w:right w:val="nil"/>
            </w:tcBorders>
            <w:shd w:val="clear" w:color="auto" w:fill="auto"/>
            <w:noWrap/>
            <w:vAlign w:val="bottom"/>
            <w:hideMark/>
          </w:tcPr>
          <w:p w14:paraId="393F45F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26.86</w:t>
            </w:r>
          </w:p>
        </w:tc>
        <w:tc>
          <w:tcPr>
            <w:tcW w:w="378" w:type="pct"/>
            <w:tcBorders>
              <w:top w:val="single" w:sz="4" w:space="0" w:color="auto"/>
              <w:left w:val="nil"/>
              <w:bottom w:val="single" w:sz="4" w:space="0" w:color="auto"/>
              <w:right w:val="nil"/>
            </w:tcBorders>
            <w:shd w:val="clear" w:color="auto" w:fill="auto"/>
            <w:noWrap/>
            <w:vAlign w:val="bottom"/>
            <w:hideMark/>
          </w:tcPr>
          <w:p w14:paraId="4B6B233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64</w:t>
            </w:r>
          </w:p>
        </w:tc>
        <w:tc>
          <w:tcPr>
            <w:tcW w:w="381" w:type="pct"/>
            <w:tcBorders>
              <w:top w:val="single" w:sz="4" w:space="0" w:color="auto"/>
              <w:left w:val="nil"/>
              <w:bottom w:val="single" w:sz="4" w:space="0" w:color="auto"/>
              <w:right w:val="nil"/>
            </w:tcBorders>
            <w:shd w:val="clear" w:color="auto" w:fill="auto"/>
            <w:noWrap/>
            <w:vAlign w:val="bottom"/>
            <w:hideMark/>
          </w:tcPr>
          <w:p w14:paraId="6832C7B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14.36</w:t>
            </w:r>
          </w:p>
        </w:tc>
        <w:tc>
          <w:tcPr>
            <w:tcW w:w="378" w:type="pct"/>
            <w:tcBorders>
              <w:top w:val="single" w:sz="4" w:space="0" w:color="auto"/>
              <w:left w:val="nil"/>
              <w:bottom w:val="single" w:sz="4" w:space="0" w:color="auto"/>
              <w:right w:val="nil"/>
            </w:tcBorders>
            <w:shd w:val="clear" w:color="auto" w:fill="auto"/>
            <w:noWrap/>
            <w:vAlign w:val="bottom"/>
            <w:hideMark/>
          </w:tcPr>
          <w:p w14:paraId="7F240C3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{"citationID":"a26q4nh1m89","properties":{"formattedCitation":"[100]","plainCitation":"[100]","noteIndex":0},"citationItems":[{"id":552,"uris":["http://zotero.org/users/12909065/items/VF3FKAAQ"],"itemData":{"id":552,"type":"article-journal","container-title":"Materials Advances","DOI":"10.1039/D1MA00925G","issue":"2","language":"en","note":"publisher: Royal Society of Chemistry","page":"1071-1078","source":"pubs.rsc.org","title":"Chalcogen-substituted PCBM derivatives as ternary components in PM6:Y6 solar cells","title-short":"Chalcogen-substituted PCBM derivatives as ternary components in PM6","volume":"3","author":[{"family":"G. Sánchez","given":"José"},{"family":"Cabrera-Espinoza","given":"Andrea"},{"family":"Martínez-Ferrero","given":"Eugenia"},{"family":"Luis Delgado","given":"Juan"},{"family":"Palomares","given":"Emilio"}],"issued":{"date-parts":[["2022"]]}}}],"schema":"https://github.com/citation-style-language/schema/raw/master/csl-citation.json"}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[100]</w:t>
            </w:r>
            <w:r w:rsidRPr="00B55044">
              <w:rPr>
                <w:rFonts w:eastAsia="Times New Roman"/>
                <w:color w:val="0000FF"/>
                <w:sz w:val="16"/>
                <w:szCs w:val="16"/>
              </w:rPr>
              <w:fldChar w:fldCharType="end"/>
            </w:r>
          </w:p>
        </w:tc>
      </w:tr>
      <w:tr w:rsidR="00D47774" w:rsidRPr="00B55044" w14:paraId="5BC40C2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683929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164</w:t>
            </w:r>
          </w:p>
        </w:tc>
        <w:tc>
          <w:tcPr>
            <w:tcW w:w="1525" w:type="pct"/>
            <w:tcBorders>
              <w:top w:val="single" w:sz="4" w:space="0" w:color="auto"/>
              <w:left w:val="nil"/>
              <w:bottom w:val="single" w:sz="4" w:space="0" w:color="auto"/>
              <w:right w:val="nil"/>
            </w:tcBorders>
            <w:shd w:val="clear" w:color="auto" w:fill="auto"/>
            <w:noWrap/>
            <w:vAlign w:val="bottom"/>
            <w:hideMark/>
          </w:tcPr>
          <w:p w14:paraId="209B79D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079DA51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PM6:Y6:PCBFu</w:t>
            </w:r>
          </w:p>
        </w:tc>
        <w:tc>
          <w:tcPr>
            <w:tcW w:w="379" w:type="pct"/>
            <w:tcBorders>
              <w:top w:val="single" w:sz="4" w:space="0" w:color="auto"/>
              <w:left w:val="nil"/>
              <w:bottom w:val="single" w:sz="4" w:space="0" w:color="auto"/>
              <w:right w:val="nil"/>
            </w:tcBorders>
            <w:shd w:val="clear" w:color="auto" w:fill="auto"/>
            <w:noWrap/>
            <w:vAlign w:val="bottom"/>
            <w:hideMark/>
          </w:tcPr>
          <w:p w14:paraId="45D32C7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w:t>
            </w:r>
          </w:p>
        </w:tc>
        <w:tc>
          <w:tcPr>
            <w:tcW w:w="379" w:type="pct"/>
            <w:tcBorders>
              <w:top w:val="single" w:sz="4" w:space="0" w:color="auto"/>
              <w:left w:val="nil"/>
              <w:bottom w:val="single" w:sz="4" w:space="0" w:color="auto"/>
              <w:right w:val="nil"/>
            </w:tcBorders>
            <w:shd w:val="clear" w:color="auto" w:fill="auto"/>
            <w:noWrap/>
            <w:vAlign w:val="bottom"/>
            <w:hideMark/>
          </w:tcPr>
          <w:p w14:paraId="515E75A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25.71</w:t>
            </w:r>
          </w:p>
        </w:tc>
        <w:tc>
          <w:tcPr>
            <w:tcW w:w="378" w:type="pct"/>
            <w:tcBorders>
              <w:top w:val="single" w:sz="4" w:space="0" w:color="auto"/>
              <w:left w:val="nil"/>
              <w:bottom w:val="single" w:sz="4" w:space="0" w:color="auto"/>
              <w:right w:val="nil"/>
            </w:tcBorders>
            <w:shd w:val="clear" w:color="auto" w:fill="auto"/>
            <w:noWrap/>
            <w:vAlign w:val="bottom"/>
            <w:hideMark/>
          </w:tcPr>
          <w:p w14:paraId="2FD5458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62</w:t>
            </w:r>
          </w:p>
        </w:tc>
        <w:tc>
          <w:tcPr>
            <w:tcW w:w="381" w:type="pct"/>
            <w:tcBorders>
              <w:top w:val="single" w:sz="4" w:space="0" w:color="auto"/>
              <w:left w:val="nil"/>
              <w:bottom w:val="single" w:sz="4" w:space="0" w:color="auto"/>
              <w:right w:val="nil"/>
            </w:tcBorders>
            <w:shd w:val="clear" w:color="auto" w:fill="auto"/>
            <w:noWrap/>
            <w:vAlign w:val="bottom"/>
            <w:hideMark/>
          </w:tcPr>
          <w:p w14:paraId="23D8A05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12.88</w:t>
            </w:r>
          </w:p>
        </w:tc>
        <w:tc>
          <w:tcPr>
            <w:tcW w:w="378" w:type="pct"/>
            <w:tcBorders>
              <w:top w:val="single" w:sz="4" w:space="0" w:color="auto"/>
              <w:left w:val="nil"/>
              <w:bottom w:val="single" w:sz="4" w:space="0" w:color="auto"/>
              <w:right w:val="nil"/>
            </w:tcBorders>
            <w:shd w:val="clear" w:color="auto" w:fill="auto"/>
            <w:noWrap/>
            <w:vAlign w:val="bottom"/>
            <w:hideMark/>
          </w:tcPr>
          <w:p w14:paraId="488CC73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{"citationID":"ah70c4vmjc","properties":{"formattedCitation":"[100]","plainCitation":"[100]","noteIndex":0},"citationItems":[{"id":552,"uris":["http://zotero.org/users/12909065/items/VF3FKAAQ"],"itemData":{"id":552,"type":"article-journal","container-title":"Materials Advances","DOI":"10.1039/D1MA00925G","issue":"2","language":"en","note":"publisher: Royal Society of Chemistry","page":"1071-1078","source":"pubs.rsc.org","title":"Chalcogen-substituted PCBM derivatives as ternary components in PM6:Y6 solar cells","title-short":"Chalcogen-substituted PCBM derivatives as ternary components in PM6","volume":"3","author":[{"family":"G. Sánchez","given":"José"},{"family":"Cabrera-Espinoza","given":"Andrea"},{"family":"Martínez-Ferrero","given":"Eugenia"},{"family":"Luis Delgado","given":"Juan"},{"family":"Palomares","given":"Emilio"}],"issued":{"date-parts":[["2022"]]}}}],"schema":"https://github.com/citation-style-language/schema/raw/master/csl-citation.json"}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[100]</w:t>
            </w:r>
            <w:r w:rsidRPr="00B55044">
              <w:rPr>
                <w:rFonts w:eastAsia="Times New Roman"/>
                <w:color w:val="0000FF"/>
                <w:sz w:val="16"/>
                <w:szCs w:val="16"/>
              </w:rPr>
              <w:fldChar w:fldCharType="end"/>
            </w:r>
          </w:p>
        </w:tc>
      </w:tr>
      <w:tr w:rsidR="00D47774" w:rsidRPr="00B55044" w14:paraId="1C67D18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B133FB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165</w:t>
            </w:r>
          </w:p>
        </w:tc>
        <w:tc>
          <w:tcPr>
            <w:tcW w:w="1525" w:type="pct"/>
            <w:tcBorders>
              <w:top w:val="single" w:sz="4" w:space="0" w:color="auto"/>
              <w:left w:val="nil"/>
              <w:bottom w:val="single" w:sz="4" w:space="0" w:color="auto"/>
              <w:right w:val="nil"/>
            </w:tcBorders>
            <w:shd w:val="clear" w:color="auto" w:fill="auto"/>
            <w:noWrap/>
            <w:vAlign w:val="bottom"/>
            <w:hideMark/>
          </w:tcPr>
          <w:p w14:paraId="7C7EFEA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2EFC43F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PM6:Y6:PCBTh</w:t>
            </w:r>
          </w:p>
        </w:tc>
        <w:tc>
          <w:tcPr>
            <w:tcW w:w="379" w:type="pct"/>
            <w:tcBorders>
              <w:top w:val="single" w:sz="4" w:space="0" w:color="auto"/>
              <w:left w:val="nil"/>
              <w:bottom w:val="single" w:sz="4" w:space="0" w:color="auto"/>
              <w:right w:val="nil"/>
            </w:tcBorders>
            <w:shd w:val="clear" w:color="auto" w:fill="auto"/>
            <w:noWrap/>
            <w:vAlign w:val="bottom"/>
            <w:hideMark/>
          </w:tcPr>
          <w:p w14:paraId="1EC7C81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0.82</w:t>
            </w:r>
          </w:p>
        </w:tc>
        <w:tc>
          <w:tcPr>
            <w:tcW w:w="379" w:type="pct"/>
            <w:tcBorders>
              <w:top w:val="single" w:sz="4" w:space="0" w:color="auto"/>
              <w:left w:val="nil"/>
              <w:bottom w:val="single" w:sz="4" w:space="0" w:color="auto"/>
              <w:right w:val="nil"/>
            </w:tcBorders>
            <w:shd w:val="clear" w:color="auto" w:fill="auto"/>
            <w:noWrap/>
            <w:vAlign w:val="bottom"/>
            <w:hideMark/>
          </w:tcPr>
          <w:p w14:paraId="715351F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27.1</w:t>
            </w:r>
          </w:p>
        </w:tc>
        <w:tc>
          <w:tcPr>
            <w:tcW w:w="378" w:type="pct"/>
            <w:tcBorders>
              <w:top w:val="single" w:sz="4" w:space="0" w:color="auto"/>
              <w:left w:val="nil"/>
              <w:bottom w:val="single" w:sz="4" w:space="0" w:color="auto"/>
              <w:right w:val="nil"/>
            </w:tcBorders>
            <w:shd w:val="clear" w:color="auto" w:fill="auto"/>
            <w:noWrap/>
            <w:vAlign w:val="bottom"/>
            <w:hideMark/>
          </w:tcPr>
          <w:p w14:paraId="247CABD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65</w:t>
            </w:r>
          </w:p>
        </w:tc>
        <w:tc>
          <w:tcPr>
            <w:tcW w:w="381" w:type="pct"/>
            <w:tcBorders>
              <w:top w:val="single" w:sz="4" w:space="0" w:color="auto"/>
              <w:left w:val="nil"/>
              <w:bottom w:val="single" w:sz="4" w:space="0" w:color="auto"/>
              <w:right w:val="nil"/>
            </w:tcBorders>
            <w:shd w:val="clear" w:color="auto" w:fill="auto"/>
            <w:noWrap/>
            <w:vAlign w:val="bottom"/>
            <w:hideMark/>
          </w:tcPr>
          <w:p w14:paraId="5DD8ACE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14.65</w:t>
            </w:r>
          </w:p>
        </w:tc>
        <w:tc>
          <w:tcPr>
            <w:tcW w:w="378" w:type="pct"/>
            <w:tcBorders>
              <w:top w:val="single" w:sz="4" w:space="0" w:color="auto"/>
              <w:left w:val="nil"/>
              <w:bottom w:val="single" w:sz="4" w:space="0" w:color="auto"/>
              <w:right w:val="nil"/>
            </w:tcBorders>
            <w:shd w:val="clear" w:color="auto" w:fill="auto"/>
            <w:noWrap/>
            <w:vAlign w:val="bottom"/>
            <w:hideMark/>
          </w:tcPr>
          <w:p w14:paraId="5C6EA97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{"citationID":"a2p32rg19nh","properties":{"formattedCitation":"[100]","plainCitation":"[100]","noteIndex":0},"citationItems":[{"id":552,"uris":["http://zotero.org/users/12909065/items/VF3FKAAQ"],"itemData":{"id":552,"type":"article-journal","container-title":"Materials Advances","DOI":"10.1039/D1MA00925G","issue":"2","language":"en","note":"publisher: Royal Society of Chemistry","page":"1071-1078","source":"pubs.rsc.org","title":"Chalcogen-substituted PCBM derivatives as ternary components in PM6:Y6 solar cells","title-short":"Chalcogen-substituted PCBM derivatives as ternary components in PM6","volume":"3","author":[{"family":"G. Sánchez","given":"José"},{"family":"Cabrera-Espinoza","given":"Andrea"},{"family":"Martínez-Ferrero","given":"Eugenia"},{"family":"Luis Delgado","given":"Juan"},{"family":"Palomares","given":"Emilio"}],"issued":{"date-parts":[["2022"]]}}}],"schema":"https://github.com/citation-style-language/schema/raw/master/csl-citation.json"}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[100]</w:t>
            </w:r>
            <w:r w:rsidRPr="00B55044">
              <w:rPr>
                <w:rFonts w:eastAsia="Times New Roman"/>
                <w:color w:val="0000FF"/>
                <w:sz w:val="16"/>
                <w:szCs w:val="16"/>
              </w:rPr>
              <w:fldChar w:fldCharType="end"/>
            </w:r>
          </w:p>
        </w:tc>
      </w:tr>
      <w:tr w:rsidR="00D47774" w:rsidRPr="00B55044" w14:paraId="694C2BB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5DE3B0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166</w:t>
            </w:r>
          </w:p>
        </w:tc>
        <w:tc>
          <w:tcPr>
            <w:tcW w:w="1525" w:type="pct"/>
            <w:tcBorders>
              <w:top w:val="single" w:sz="4" w:space="0" w:color="auto"/>
              <w:left w:val="nil"/>
              <w:bottom w:val="single" w:sz="4" w:space="0" w:color="auto"/>
              <w:right w:val="nil"/>
            </w:tcBorders>
            <w:shd w:val="clear" w:color="auto" w:fill="auto"/>
            <w:noWrap/>
            <w:vAlign w:val="bottom"/>
            <w:hideMark/>
          </w:tcPr>
          <w:p w14:paraId="498C4A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26037BE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PM6:Y6:PCBSe</w:t>
            </w:r>
          </w:p>
        </w:tc>
        <w:tc>
          <w:tcPr>
            <w:tcW w:w="379" w:type="pct"/>
            <w:tcBorders>
              <w:top w:val="single" w:sz="4" w:space="0" w:color="auto"/>
              <w:left w:val="nil"/>
              <w:bottom w:val="single" w:sz="4" w:space="0" w:color="auto"/>
              <w:right w:val="nil"/>
            </w:tcBorders>
            <w:shd w:val="clear" w:color="auto" w:fill="auto"/>
            <w:noWrap/>
            <w:vAlign w:val="bottom"/>
            <w:hideMark/>
          </w:tcPr>
          <w:p w14:paraId="6EB4DFB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0.81</w:t>
            </w:r>
          </w:p>
        </w:tc>
        <w:tc>
          <w:tcPr>
            <w:tcW w:w="379" w:type="pct"/>
            <w:tcBorders>
              <w:top w:val="single" w:sz="4" w:space="0" w:color="auto"/>
              <w:left w:val="nil"/>
              <w:bottom w:val="single" w:sz="4" w:space="0" w:color="auto"/>
              <w:right w:val="nil"/>
            </w:tcBorders>
            <w:shd w:val="clear" w:color="auto" w:fill="auto"/>
            <w:noWrap/>
            <w:vAlign w:val="bottom"/>
            <w:hideMark/>
          </w:tcPr>
          <w:p w14:paraId="2BF7ACC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26.99</w:t>
            </w:r>
          </w:p>
        </w:tc>
        <w:tc>
          <w:tcPr>
            <w:tcW w:w="378" w:type="pct"/>
            <w:tcBorders>
              <w:top w:val="single" w:sz="4" w:space="0" w:color="auto"/>
              <w:left w:val="nil"/>
              <w:bottom w:val="single" w:sz="4" w:space="0" w:color="auto"/>
              <w:right w:val="nil"/>
            </w:tcBorders>
            <w:shd w:val="clear" w:color="auto" w:fill="auto"/>
            <w:noWrap/>
            <w:vAlign w:val="bottom"/>
            <w:hideMark/>
          </w:tcPr>
          <w:p w14:paraId="57AB14F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63</w:t>
            </w:r>
          </w:p>
        </w:tc>
        <w:tc>
          <w:tcPr>
            <w:tcW w:w="381" w:type="pct"/>
            <w:tcBorders>
              <w:top w:val="single" w:sz="4" w:space="0" w:color="auto"/>
              <w:left w:val="nil"/>
              <w:bottom w:val="single" w:sz="4" w:space="0" w:color="auto"/>
              <w:right w:val="nil"/>
            </w:tcBorders>
            <w:shd w:val="clear" w:color="auto" w:fill="auto"/>
            <w:noWrap/>
            <w:vAlign w:val="bottom"/>
            <w:hideMark/>
          </w:tcPr>
          <w:p w14:paraId="59514CE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13.97</w:t>
            </w:r>
          </w:p>
        </w:tc>
        <w:tc>
          <w:tcPr>
            <w:tcW w:w="378" w:type="pct"/>
            <w:tcBorders>
              <w:top w:val="single" w:sz="4" w:space="0" w:color="auto"/>
              <w:left w:val="nil"/>
              <w:bottom w:val="single" w:sz="4" w:space="0" w:color="auto"/>
              <w:right w:val="nil"/>
            </w:tcBorders>
            <w:shd w:val="clear" w:color="auto" w:fill="auto"/>
            <w:noWrap/>
            <w:vAlign w:val="bottom"/>
            <w:hideMark/>
          </w:tcPr>
          <w:p w14:paraId="1F004B0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{"citationID":"a2j43p2p2md","properties":{"formattedCitation":"[100]","plainCitation":"[100]","noteIndex":0},"citationItems":[{"id":552,"uris":["http://zotero.org/users/12909065/items/VF3FKAAQ"],"itemData":{"id":552,"type":"article-journal","container-title":"Materials Advances","DOI":"10.1039/D1MA00925G","issue":"2","language":"en","note":"publisher: Royal Society of Chemistry","page":"1071-1078","source":"pubs.rsc.org","title":"Chalcogen-substituted PCBM derivatives as ternary components in PM6:Y6 solar cells","title-short":"Chalcogen-substituted PCBM derivatives as ternary components in PM6","volume":"3","author":[{"family":"G. Sánchez","given":"José"},{"family":"Cabrera-Espinoza","given":"Andrea"},{"family":"Martínez-Ferrero","given":"Eugenia"},{"family":"Luis Delgado","given":"Juan"},{"family":"Palomares","given":"Emilio"}],"issued":{"date-parts":[["2022"]]}}}],"schema":"https://github.com/citation-style-language/schema/raw/master/csl-citation.json"}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[100]</w:t>
            </w:r>
            <w:r w:rsidRPr="00B55044">
              <w:rPr>
                <w:rFonts w:eastAsia="Times New Roman"/>
                <w:color w:val="0000FF"/>
                <w:sz w:val="16"/>
                <w:szCs w:val="16"/>
              </w:rPr>
              <w:fldChar w:fldCharType="end"/>
            </w:r>
          </w:p>
        </w:tc>
      </w:tr>
      <w:tr w:rsidR="00D47774" w:rsidRPr="00B55044" w14:paraId="6E2FF5B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A358D8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167</w:t>
            </w:r>
          </w:p>
        </w:tc>
        <w:tc>
          <w:tcPr>
            <w:tcW w:w="1525" w:type="pct"/>
            <w:tcBorders>
              <w:top w:val="single" w:sz="4" w:space="0" w:color="auto"/>
              <w:left w:val="nil"/>
              <w:bottom w:val="single" w:sz="4" w:space="0" w:color="auto"/>
              <w:right w:val="nil"/>
            </w:tcBorders>
            <w:shd w:val="clear" w:color="auto" w:fill="auto"/>
            <w:noWrap/>
            <w:vAlign w:val="bottom"/>
            <w:hideMark/>
          </w:tcPr>
          <w:p w14:paraId="6382640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1C445C6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PM6:DTPSe-4Cl:DCB-4F (10%)</w:t>
            </w:r>
          </w:p>
        </w:tc>
        <w:tc>
          <w:tcPr>
            <w:tcW w:w="379" w:type="pct"/>
            <w:tcBorders>
              <w:top w:val="single" w:sz="4" w:space="0" w:color="auto"/>
              <w:left w:val="nil"/>
              <w:bottom w:val="single" w:sz="4" w:space="0" w:color="auto"/>
              <w:right w:val="nil"/>
            </w:tcBorders>
            <w:shd w:val="clear" w:color="auto" w:fill="auto"/>
            <w:noWrap/>
            <w:vAlign w:val="bottom"/>
            <w:hideMark/>
          </w:tcPr>
          <w:p w14:paraId="0599989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707E88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24.26</w:t>
            </w:r>
          </w:p>
        </w:tc>
        <w:tc>
          <w:tcPr>
            <w:tcW w:w="378" w:type="pct"/>
            <w:tcBorders>
              <w:top w:val="single" w:sz="4" w:space="0" w:color="auto"/>
              <w:left w:val="nil"/>
              <w:bottom w:val="single" w:sz="4" w:space="0" w:color="auto"/>
              <w:right w:val="nil"/>
            </w:tcBorders>
            <w:shd w:val="clear" w:color="auto" w:fill="auto"/>
            <w:noWrap/>
            <w:vAlign w:val="bottom"/>
            <w:hideMark/>
          </w:tcPr>
          <w:p w14:paraId="413B2B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75.47</w:t>
            </w:r>
          </w:p>
        </w:tc>
        <w:tc>
          <w:tcPr>
            <w:tcW w:w="381" w:type="pct"/>
            <w:tcBorders>
              <w:top w:val="single" w:sz="4" w:space="0" w:color="auto"/>
              <w:left w:val="nil"/>
              <w:bottom w:val="single" w:sz="4" w:space="0" w:color="auto"/>
              <w:right w:val="nil"/>
            </w:tcBorders>
            <w:shd w:val="clear" w:color="auto" w:fill="auto"/>
            <w:noWrap/>
            <w:vAlign w:val="bottom"/>
            <w:hideMark/>
          </w:tcPr>
          <w:p w14:paraId="1603586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15.93</w:t>
            </w:r>
          </w:p>
        </w:tc>
        <w:tc>
          <w:tcPr>
            <w:tcW w:w="378" w:type="pct"/>
            <w:tcBorders>
              <w:top w:val="single" w:sz="4" w:space="0" w:color="auto"/>
              <w:left w:val="nil"/>
              <w:bottom w:val="single" w:sz="4" w:space="0" w:color="auto"/>
              <w:right w:val="nil"/>
            </w:tcBorders>
            <w:shd w:val="clear" w:color="auto" w:fill="auto"/>
            <w:noWrap/>
            <w:vAlign w:val="bottom"/>
            <w:hideMark/>
          </w:tcPr>
          <w:p w14:paraId="1962610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{"citationID":"Unl5Hick","properties":{"formattedCitation":"[101]","plainCitation":"[101]","noteIndex":0},"citationItems":[{"id":607,"uris":["http://zotero.org/users/12909065/items/6NSNC9GQ"],"itemData":{"id":607,"type":"article-journal","abstract":"Semitransparent organic solar cells (ST-OSCs) are promising candidates for building-integrated photovoltaics. However, the inherent contradiction between active layer absorption and average visible transmittance (AVT) hinders the development of ST-OSCs. Herein, we report high-performance ternary ST-OSCs by incorporating low structure order DCB-4F into PM6:DTPSe-4Cl host blend. The addition of DCB-4F enhances the molecular arrangement in proper multi-length morphology for enhanced charge transport in active layers. As a result, outstanding PCEs of 15.93% and 12.58% are achieved for the corresponding opaque and semitransparent ternary OSCs, respectively. Our work demonstrates that ternary OSCs by introducing low structure order third component to host binary blends featuring ordered molecular arrangement and low energy loss have great potential for fabricating highly-efficient ST-OSCs. © 2021 Elsevier B.V.","archive":"Scopus","container-title":"Chemical Engineering Journal","DOI":"10.1016/j.cej.2021.132640","ISSN":"1385-8947","language":"English","source":"Scopus","title":"Low structure order acceptor as third component enables high-performance semitransparent organic solar cells","volume":"428","author":[{"family":"Wang","given":"H."},{"family":"Du","given":"F."},{"family":"Cao","given":"J."},{"family":"Yu","given":"J."},{"family":"Liu","given":"X."},{"family":"Tang","given":"W."}],"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[101]</w:t>
            </w:r>
            <w:r w:rsidRPr="00B55044">
              <w:rPr>
                <w:rFonts w:eastAsia="Times New Roman"/>
                <w:color w:val="0000FF"/>
                <w:sz w:val="16"/>
                <w:szCs w:val="16"/>
              </w:rPr>
              <w:fldChar w:fldCharType="end"/>
            </w:r>
          </w:p>
        </w:tc>
      </w:tr>
      <w:tr w:rsidR="00D47774" w:rsidRPr="00B55044" w14:paraId="1B27199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0F280F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168</w:t>
            </w:r>
          </w:p>
        </w:tc>
        <w:tc>
          <w:tcPr>
            <w:tcW w:w="1525" w:type="pct"/>
            <w:tcBorders>
              <w:top w:val="single" w:sz="4" w:space="0" w:color="auto"/>
              <w:left w:val="nil"/>
              <w:bottom w:val="single" w:sz="4" w:space="0" w:color="auto"/>
              <w:right w:val="nil"/>
            </w:tcBorders>
            <w:shd w:val="clear" w:color="auto" w:fill="auto"/>
            <w:noWrap/>
            <w:vAlign w:val="bottom"/>
            <w:hideMark/>
          </w:tcPr>
          <w:p w14:paraId="3249630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44682C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PM6:DTPSe-4Cl:DCB-4F (20%)</w:t>
            </w:r>
          </w:p>
        </w:tc>
        <w:tc>
          <w:tcPr>
            <w:tcW w:w="379" w:type="pct"/>
            <w:tcBorders>
              <w:top w:val="single" w:sz="4" w:space="0" w:color="auto"/>
              <w:left w:val="nil"/>
              <w:bottom w:val="single" w:sz="4" w:space="0" w:color="auto"/>
              <w:right w:val="nil"/>
            </w:tcBorders>
            <w:shd w:val="clear" w:color="auto" w:fill="auto"/>
            <w:noWrap/>
            <w:vAlign w:val="bottom"/>
            <w:hideMark/>
          </w:tcPr>
          <w:p w14:paraId="6B739C2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4D39796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23.47</w:t>
            </w:r>
          </w:p>
        </w:tc>
        <w:tc>
          <w:tcPr>
            <w:tcW w:w="378" w:type="pct"/>
            <w:tcBorders>
              <w:top w:val="single" w:sz="4" w:space="0" w:color="auto"/>
              <w:left w:val="nil"/>
              <w:bottom w:val="single" w:sz="4" w:space="0" w:color="auto"/>
              <w:right w:val="nil"/>
            </w:tcBorders>
            <w:shd w:val="clear" w:color="auto" w:fill="auto"/>
            <w:noWrap/>
            <w:vAlign w:val="bottom"/>
            <w:hideMark/>
          </w:tcPr>
          <w:p w14:paraId="30F32EF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73.11</w:t>
            </w:r>
          </w:p>
        </w:tc>
        <w:tc>
          <w:tcPr>
            <w:tcW w:w="381" w:type="pct"/>
            <w:tcBorders>
              <w:top w:val="single" w:sz="4" w:space="0" w:color="auto"/>
              <w:left w:val="nil"/>
              <w:bottom w:val="single" w:sz="4" w:space="0" w:color="auto"/>
              <w:right w:val="nil"/>
            </w:tcBorders>
            <w:shd w:val="clear" w:color="auto" w:fill="auto"/>
            <w:noWrap/>
            <w:vAlign w:val="bottom"/>
            <w:hideMark/>
          </w:tcPr>
          <w:p w14:paraId="7C5DD60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14.93</w:t>
            </w:r>
          </w:p>
        </w:tc>
        <w:tc>
          <w:tcPr>
            <w:tcW w:w="378" w:type="pct"/>
            <w:tcBorders>
              <w:top w:val="single" w:sz="4" w:space="0" w:color="auto"/>
              <w:left w:val="nil"/>
              <w:bottom w:val="single" w:sz="4" w:space="0" w:color="auto"/>
              <w:right w:val="nil"/>
            </w:tcBorders>
            <w:shd w:val="clear" w:color="auto" w:fill="auto"/>
            <w:noWrap/>
            <w:vAlign w:val="bottom"/>
            <w:hideMark/>
          </w:tcPr>
          <w:p w14:paraId="36E8C70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{"citationID":"iy6ggGw9","properties":{"formattedCitation":"[101]","plainCitation":"[101]","noteIndex":0},"citationItems":[{"id":607,"uris":["http://zotero.org/users/12909065/items/6NSNC9GQ"],"itemData":{"id":607,"type":"article-journal","abstract":"Semitransparent organic solar cells (ST-OSCs) are promising candidates for building-integrated photovoltaics. However, the inherent contradiction between active layer absorption and average visible transmittance (AVT) hinders the development of ST-OSCs. Herein, we report high-performance ternary ST-OSCs by incorporating low structure order DCB-4F into PM6:DTPSe-4Cl host blend. The addition of DCB-4F enhances the molecular arrangement in proper multi-length morphology for enhanced charge transport in active layers. As a result, outstanding PCEs of 15.93% and 12.58% are achieved for the corresponding opaque and semitransparent ternary OSCs, respectively. Our work demonstrates that ternary OSCs by introducing low structure order third component to host binary blends featuring ordered molecular arrangement and low energy loss have great potential for fabricating highly-efficient ST-OSCs. © 2021 Elsevier B.V.","archive":"Scopus","container-title":"Chemical Engineering Journal","DOI":"10.1016/j.cej.2021.132640","ISSN":"1385-8947","language":"English","source":"Scopus","title":"Low structure order acceptor as third component enables high-performance semitransparent organic solar cells","volume":"428","author":[{"family":"Wang","given":"H."},{"family":"Du","given":"F."},{"family":"Cao","given":"J."},{"family":"Yu","given":"J."},{"family":"Liu","given":"X."},{"family":"Tang","given":"W."}],"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[101]</w:t>
            </w:r>
            <w:r w:rsidRPr="00B55044">
              <w:rPr>
                <w:rFonts w:eastAsia="Times New Roman"/>
                <w:color w:val="0000FF"/>
                <w:sz w:val="16"/>
                <w:szCs w:val="16"/>
              </w:rPr>
              <w:fldChar w:fldCharType="end"/>
            </w:r>
          </w:p>
        </w:tc>
      </w:tr>
      <w:tr w:rsidR="00D47774" w:rsidRPr="00B55044" w14:paraId="4771E1A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60DF12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169</w:t>
            </w:r>
          </w:p>
        </w:tc>
        <w:tc>
          <w:tcPr>
            <w:tcW w:w="1525" w:type="pct"/>
            <w:tcBorders>
              <w:top w:val="single" w:sz="4" w:space="0" w:color="auto"/>
              <w:left w:val="nil"/>
              <w:bottom w:val="single" w:sz="4" w:space="0" w:color="auto"/>
              <w:right w:val="nil"/>
            </w:tcBorders>
            <w:shd w:val="clear" w:color="auto" w:fill="auto"/>
            <w:noWrap/>
            <w:vAlign w:val="bottom"/>
            <w:hideMark/>
          </w:tcPr>
          <w:p w14:paraId="1FEA291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7536ED6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PM6:DTPSe-4Cl:DCB-4F (30%)</w:t>
            </w:r>
          </w:p>
        </w:tc>
        <w:tc>
          <w:tcPr>
            <w:tcW w:w="379" w:type="pct"/>
            <w:tcBorders>
              <w:top w:val="single" w:sz="4" w:space="0" w:color="auto"/>
              <w:left w:val="nil"/>
              <w:bottom w:val="single" w:sz="4" w:space="0" w:color="auto"/>
              <w:right w:val="nil"/>
            </w:tcBorders>
            <w:shd w:val="clear" w:color="auto" w:fill="auto"/>
            <w:noWrap/>
            <w:vAlign w:val="bottom"/>
            <w:hideMark/>
          </w:tcPr>
          <w:p w14:paraId="573DB1E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w:t>
            </w:r>
          </w:p>
        </w:tc>
        <w:tc>
          <w:tcPr>
            <w:tcW w:w="379" w:type="pct"/>
            <w:tcBorders>
              <w:top w:val="single" w:sz="4" w:space="0" w:color="auto"/>
              <w:left w:val="nil"/>
              <w:bottom w:val="single" w:sz="4" w:space="0" w:color="auto"/>
              <w:right w:val="nil"/>
            </w:tcBorders>
            <w:shd w:val="clear" w:color="auto" w:fill="auto"/>
            <w:noWrap/>
            <w:vAlign w:val="bottom"/>
            <w:hideMark/>
          </w:tcPr>
          <w:p w14:paraId="74DDC02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22.86</w:t>
            </w:r>
          </w:p>
        </w:tc>
        <w:tc>
          <w:tcPr>
            <w:tcW w:w="378" w:type="pct"/>
            <w:tcBorders>
              <w:top w:val="single" w:sz="4" w:space="0" w:color="auto"/>
              <w:left w:val="nil"/>
              <w:bottom w:val="single" w:sz="4" w:space="0" w:color="auto"/>
              <w:right w:val="nil"/>
            </w:tcBorders>
            <w:shd w:val="clear" w:color="auto" w:fill="auto"/>
            <w:noWrap/>
            <w:vAlign w:val="bottom"/>
            <w:hideMark/>
          </w:tcPr>
          <w:p w14:paraId="7A2199F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67.54</w:t>
            </w:r>
          </w:p>
        </w:tc>
        <w:tc>
          <w:tcPr>
            <w:tcW w:w="381" w:type="pct"/>
            <w:tcBorders>
              <w:top w:val="single" w:sz="4" w:space="0" w:color="auto"/>
              <w:left w:val="nil"/>
              <w:bottom w:val="single" w:sz="4" w:space="0" w:color="auto"/>
              <w:right w:val="nil"/>
            </w:tcBorders>
            <w:shd w:val="clear" w:color="auto" w:fill="auto"/>
            <w:noWrap/>
            <w:vAlign w:val="bottom"/>
            <w:hideMark/>
          </w:tcPr>
          <w:p w14:paraId="761BA37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13.59</w:t>
            </w:r>
          </w:p>
        </w:tc>
        <w:tc>
          <w:tcPr>
            <w:tcW w:w="378" w:type="pct"/>
            <w:tcBorders>
              <w:top w:val="single" w:sz="4" w:space="0" w:color="auto"/>
              <w:left w:val="nil"/>
              <w:bottom w:val="single" w:sz="4" w:space="0" w:color="auto"/>
              <w:right w:val="nil"/>
            </w:tcBorders>
            <w:shd w:val="clear" w:color="auto" w:fill="auto"/>
            <w:noWrap/>
            <w:vAlign w:val="bottom"/>
            <w:hideMark/>
          </w:tcPr>
          <w:p w14:paraId="1D5B023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{"citationID":"zDJjmrwc","properties":{"formattedCitation":"[101]","plainCitation":"[101]","noteIndex":0},"citationItems":[{"id":607,"uris":["http://zotero.org/users/12909065/items/6NSNC9GQ"],"itemData":{"id":607,"type":"article-journal","abstract":"Semitransparent organic solar cells (ST-OSCs) are promising candidates for building-integrated photovoltaics. However, the inherent contradiction between active layer absorption and average visible transmittance (AVT) hinders the development of ST-OSCs. Herein, we report high-performance ternary ST-OSCs by incorporating low structure order DCB-4F into PM6:DTPSe-4Cl host blend. The addition of DCB-4F enhances the molecular arrangement in proper multi-length morphology for enhanced charge transport in active layers. As a result, outstanding PCEs of 15.93% and 12.58% are achieved for the corresponding opaque and semitransparent ternary OSCs, respectively. Our work demonstrates that ternary OSCs by introducing low structure order third component to host binary blends featuring ordered molecular arrangement and low energy loss have great potential for fabricating highly-efficient ST-OSCs. © 2021 Elsevier B.V.","archive":"Scopus","container-title":"Chemical Engineering Journal","DOI":"10.1016/j.cej.2021.132640","ISSN":"1385-8947","language":"English","source":"Scopus","title":"Low structure order acceptor as third component enables high-performance semitransparent organic solar cells","volume":"428","author":[{"family":"Wang","given":"H."},{"family":"Du","given":"F."},{"family":"Cao","given":"J."},{"family":"Yu","given":"J."},{"family":"Liu","given":"X."},{"family":"Tang","given":"W."}],"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[101]</w:t>
            </w:r>
            <w:r w:rsidRPr="00B55044">
              <w:rPr>
                <w:rFonts w:eastAsia="Times New Roman"/>
                <w:color w:val="0000FF"/>
                <w:sz w:val="16"/>
                <w:szCs w:val="16"/>
              </w:rPr>
              <w:fldChar w:fldCharType="end"/>
            </w:r>
          </w:p>
        </w:tc>
      </w:tr>
      <w:tr w:rsidR="00D47774" w:rsidRPr="00B55044" w14:paraId="5A5CE50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6EAE1C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170</w:t>
            </w:r>
          </w:p>
        </w:tc>
        <w:tc>
          <w:tcPr>
            <w:tcW w:w="1525" w:type="pct"/>
            <w:tcBorders>
              <w:top w:val="single" w:sz="4" w:space="0" w:color="auto"/>
              <w:left w:val="nil"/>
              <w:bottom w:val="single" w:sz="4" w:space="0" w:color="auto"/>
              <w:right w:val="nil"/>
            </w:tcBorders>
            <w:shd w:val="clear" w:color="auto" w:fill="auto"/>
            <w:noWrap/>
            <w:vAlign w:val="bottom"/>
            <w:hideMark/>
          </w:tcPr>
          <w:p w14:paraId="2BE4001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64E4046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PM6:DTPSe-4Cl:DCB-4F (40%)</w:t>
            </w:r>
          </w:p>
        </w:tc>
        <w:tc>
          <w:tcPr>
            <w:tcW w:w="379" w:type="pct"/>
            <w:tcBorders>
              <w:top w:val="single" w:sz="4" w:space="0" w:color="auto"/>
              <w:left w:val="nil"/>
              <w:bottom w:val="single" w:sz="4" w:space="0" w:color="auto"/>
              <w:right w:val="nil"/>
            </w:tcBorders>
            <w:shd w:val="clear" w:color="auto" w:fill="auto"/>
            <w:noWrap/>
            <w:vAlign w:val="bottom"/>
            <w:hideMark/>
          </w:tcPr>
          <w:p w14:paraId="1A8A27B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w:t>
            </w:r>
          </w:p>
        </w:tc>
        <w:tc>
          <w:tcPr>
            <w:tcW w:w="379" w:type="pct"/>
            <w:tcBorders>
              <w:top w:val="single" w:sz="4" w:space="0" w:color="auto"/>
              <w:left w:val="nil"/>
              <w:bottom w:val="single" w:sz="4" w:space="0" w:color="auto"/>
              <w:right w:val="nil"/>
            </w:tcBorders>
            <w:shd w:val="clear" w:color="auto" w:fill="auto"/>
            <w:noWrap/>
            <w:vAlign w:val="bottom"/>
            <w:hideMark/>
          </w:tcPr>
          <w:p w14:paraId="412306E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22.53</w:t>
            </w:r>
          </w:p>
        </w:tc>
        <w:tc>
          <w:tcPr>
            <w:tcW w:w="378" w:type="pct"/>
            <w:tcBorders>
              <w:top w:val="single" w:sz="4" w:space="0" w:color="auto"/>
              <w:left w:val="nil"/>
              <w:bottom w:val="single" w:sz="4" w:space="0" w:color="auto"/>
              <w:right w:val="nil"/>
            </w:tcBorders>
            <w:shd w:val="clear" w:color="auto" w:fill="auto"/>
            <w:noWrap/>
            <w:vAlign w:val="bottom"/>
            <w:hideMark/>
          </w:tcPr>
          <w:p w14:paraId="77CBA65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65.7</w:t>
            </w:r>
          </w:p>
        </w:tc>
        <w:tc>
          <w:tcPr>
            <w:tcW w:w="381" w:type="pct"/>
            <w:tcBorders>
              <w:top w:val="single" w:sz="4" w:space="0" w:color="auto"/>
              <w:left w:val="nil"/>
              <w:bottom w:val="single" w:sz="4" w:space="0" w:color="auto"/>
              <w:right w:val="nil"/>
            </w:tcBorders>
            <w:shd w:val="clear" w:color="auto" w:fill="auto"/>
            <w:noWrap/>
            <w:vAlign w:val="bottom"/>
            <w:hideMark/>
          </w:tcPr>
          <w:p w14:paraId="5AB8AE0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13.17</w:t>
            </w:r>
          </w:p>
        </w:tc>
        <w:tc>
          <w:tcPr>
            <w:tcW w:w="378" w:type="pct"/>
            <w:tcBorders>
              <w:top w:val="single" w:sz="4" w:space="0" w:color="auto"/>
              <w:left w:val="nil"/>
              <w:bottom w:val="single" w:sz="4" w:space="0" w:color="auto"/>
              <w:right w:val="nil"/>
            </w:tcBorders>
            <w:shd w:val="clear" w:color="auto" w:fill="auto"/>
            <w:noWrap/>
            <w:vAlign w:val="bottom"/>
            <w:hideMark/>
          </w:tcPr>
          <w:p w14:paraId="79F8D6F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{"citationID":"4GmuZLxu","properties":{"formattedCitation":"[101]","plainCitation":"[101]","noteIndex":0},"citationItems":[{"id":607,"uris":["http://zotero.org/users/12909065/items/6NSNC9GQ"],"itemData":{"id":607,"type":"article-journal","abstract":"Semitransparent organic solar cells (ST-OSCs) are promising candidates for building-integrated photovoltaics. However, the inherent contradiction between active layer absorption and average visible transmittance (AVT) hinders the development of ST-OSCs. Herein, we report high-performance ternary ST-OSCs by incorporating low structure order DCB-4F into PM6:DTPSe-4Cl host blend. The addition of DCB-4F enhances the molecular arrangement in proper multi-length morphology for enhanced charge transport in active layers. As a result, outstanding PCEs of 15.93% and 12.58% are achieved for the corresponding opaque and semitransparent ternary OSCs, respectively. Our work demonstrates that ternary OSCs by introducing low structure order third component to host binary blends featuring ordered molecular arrangement and low energy loss have great potential for fabricating highly-efficient ST-OSCs. © 2021 Elsevier B.V.","archive":"Scopus","container-title":"Chemical Engineering Journal","DOI":"10.1016/j.cej.2021.132640","ISSN":"1385-8947","language":"English","source":"Scopus","title":"Low structure order acceptor as third component enables high-performance semitransparent organic solar cells","volume":"428","author":[{"family":"Wang","given":"H."},{"family":"Du","given":"F."},{"family":"Cao","given":"J."},{"family":"Yu","given":"J."},{"family":"Liu","given":"X."},{"family":"Tang","given":"W."}],"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[101]</w:t>
            </w:r>
            <w:r w:rsidRPr="00B55044">
              <w:rPr>
                <w:rFonts w:eastAsia="Times New Roman"/>
                <w:color w:val="0000FF"/>
                <w:sz w:val="16"/>
                <w:szCs w:val="16"/>
              </w:rPr>
              <w:fldChar w:fldCharType="end"/>
            </w:r>
          </w:p>
        </w:tc>
      </w:tr>
      <w:tr w:rsidR="00D47774" w:rsidRPr="00B55044" w14:paraId="7635015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8CB291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171</w:t>
            </w:r>
          </w:p>
        </w:tc>
        <w:tc>
          <w:tcPr>
            <w:tcW w:w="1525" w:type="pct"/>
            <w:tcBorders>
              <w:top w:val="single" w:sz="4" w:space="0" w:color="auto"/>
              <w:left w:val="nil"/>
              <w:bottom w:val="single" w:sz="4" w:space="0" w:color="auto"/>
              <w:right w:val="nil"/>
            </w:tcBorders>
            <w:shd w:val="clear" w:color="auto" w:fill="auto"/>
            <w:noWrap/>
            <w:vAlign w:val="bottom"/>
            <w:hideMark/>
          </w:tcPr>
          <w:p w14:paraId="64F33DC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6294E10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PM6:DTPSe-4Cl:DCB-4F (50%)</w:t>
            </w:r>
          </w:p>
        </w:tc>
        <w:tc>
          <w:tcPr>
            <w:tcW w:w="379" w:type="pct"/>
            <w:tcBorders>
              <w:top w:val="single" w:sz="4" w:space="0" w:color="auto"/>
              <w:left w:val="nil"/>
              <w:bottom w:val="single" w:sz="4" w:space="0" w:color="auto"/>
              <w:right w:val="nil"/>
            </w:tcBorders>
            <w:shd w:val="clear" w:color="auto" w:fill="auto"/>
            <w:noWrap/>
            <w:vAlign w:val="bottom"/>
            <w:hideMark/>
          </w:tcPr>
          <w:p w14:paraId="0489305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w:t>
            </w:r>
          </w:p>
        </w:tc>
        <w:tc>
          <w:tcPr>
            <w:tcW w:w="379" w:type="pct"/>
            <w:tcBorders>
              <w:top w:val="single" w:sz="4" w:space="0" w:color="auto"/>
              <w:left w:val="nil"/>
              <w:bottom w:val="single" w:sz="4" w:space="0" w:color="auto"/>
              <w:right w:val="nil"/>
            </w:tcBorders>
            <w:shd w:val="clear" w:color="auto" w:fill="auto"/>
            <w:noWrap/>
            <w:vAlign w:val="bottom"/>
            <w:hideMark/>
          </w:tcPr>
          <w:p w14:paraId="1E115EC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21.21</w:t>
            </w:r>
          </w:p>
        </w:tc>
        <w:tc>
          <w:tcPr>
            <w:tcW w:w="378" w:type="pct"/>
            <w:tcBorders>
              <w:top w:val="single" w:sz="4" w:space="0" w:color="auto"/>
              <w:left w:val="nil"/>
              <w:bottom w:val="single" w:sz="4" w:space="0" w:color="auto"/>
              <w:right w:val="nil"/>
            </w:tcBorders>
            <w:shd w:val="clear" w:color="auto" w:fill="auto"/>
            <w:noWrap/>
            <w:vAlign w:val="bottom"/>
            <w:hideMark/>
          </w:tcPr>
          <w:p w14:paraId="1B6E40A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60.57</w:t>
            </w:r>
          </w:p>
        </w:tc>
        <w:tc>
          <w:tcPr>
            <w:tcW w:w="381" w:type="pct"/>
            <w:tcBorders>
              <w:top w:val="single" w:sz="4" w:space="0" w:color="auto"/>
              <w:left w:val="nil"/>
              <w:bottom w:val="single" w:sz="4" w:space="0" w:color="auto"/>
              <w:right w:val="nil"/>
            </w:tcBorders>
            <w:shd w:val="clear" w:color="auto" w:fill="auto"/>
            <w:noWrap/>
            <w:vAlign w:val="bottom"/>
            <w:hideMark/>
          </w:tcPr>
          <w:p w14:paraId="6FB3154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11.56</w:t>
            </w:r>
          </w:p>
        </w:tc>
        <w:tc>
          <w:tcPr>
            <w:tcW w:w="378" w:type="pct"/>
            <w:tcBorders>
              <w:top w:val="single" w:sz="4" w:space="0" w:color="auto"/>
              <w:left w:val="nil"/>
              <w:bottom w:val="single" w:sz="4" w:space="0" w:color="auto"/>
              <w:right w:val="nil"/>
            </w:tcBorders>
            <w:shd w:val="clear" w:color="auto" w:fill="auto"/>
            <w:noWrap/>
            <w:vAlign w:val="bottom"/>
            <w:hideMark/>
          </w:tcPr>
          <w:p w14:paraId="4443C04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{"citationID":"WScId4nl","properties":{"formattedCitation":"[101]","plainCitation":"[101]","noteIndex":0},"citationItems":[{"id":607,"uris":["http://zotero.org/users/12909065/items/6NSNC9GQ"],"itemData":{"id":607,"type":"article-journal","abstract":"Semitransparent organic solar cells (ST-OSCs) are promising candidates for building-integrated photovoltaics. However, the inherent contradiction between active layer absorption and average visible transmittance (AVT) hinders the development of ST-OSCs. Herein, we report high-performance ternary ST-OSCs by incorporating low structure order DCB-4F into PM6:DTPSe-4Cl host blend. The addition of DCB-4F enhances the molecular arrangement in proper multi-length morphology for enhanced charge transport in active layers. As a result, outstanding PCEs of 15.93% and 12.58% are achieved for the corresponding opaque and semitransparent ternary OSCs, respectively. Our work demonstrates that ternary OSCs by introducing low structure order third component to host binary blends featuring ordered molecular arrangement and low energy loss have great potential for fabricating highly-efficient ST-OSCs. © 2021 Elsevier B.V.","archive":"Scopus","container-title":"Chemical Engineering Journal","DOI":"10.1016/j.cej.2021.132640","ISSN":"1385-8947","language":"English","source":"Scopus","title":"Low structure order acceptor as third component enables high-performance semitransparent organic solar cells","volume":"428","author":[{"family":"Wang","given":"H."},{"family":"Du","given":"F."},{"family":"Cao","given":"J."},{"family":"Yu","given":"J."},{"family":"Liu","given":"X."},{"family":"Tang","given":"W."}],"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[101]</w:t>
            </w:r>
            <w:r w:rsidRPr="00B55044">
              <w:rPr>
                <w:rFonts w:eastAsia="Times New Roman"/>
                <w:color w:val="0000FF"/>
                <w:sz w:val="16"/>
                <w:szCs w:val="16"/>
              </w:rPr>
              <w:fldChar w:fldCharType="end"/>
            </w:r>
          </w:p>
        </w:tc>
      </w:tr>
      <w:tr w:rsidR="00D47774" w:rsidRPr="00B55044" w14:paraId="61AE3B2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A816FB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172</w:t>
            </w:r>
          </w:p>
        </w:tc>
        <w:tc>
          <w:tcPr>
            <w:tcW w:w="1525" w:type="pct"/>
            <w:tcBorders>
              <w:top w:val="single" w:sz="4" w:space="0" w:color="auto"/>
              <w:left w:val="nil"/>
              <w:bottom w:val="single" w:sz="4" w:space="0" w:color="auto"/>
              <w:right w:val="nil"/>
            </w:tcBorders>
            <w:shd w:val="clear" w:color="auto" w:fill="auto"/>
            <w:noWrap/>
            <w:vAlign w:val="bottom"/>
            <w:hideMark/>
          </w:tcPr>
          <w:p w14:paraId="02A7F5A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008711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PM6:DTPSe-4Cl:DCB-4F (80%)</w:t>
            </w:r>
          </w:p>
        </w:tc>
        <w:tc>
          <w:tcPr>
            <w:tcW w:w="379" w:type="pct"/>
            <w:tcBorders>
              <w:top w:val="single" w:sz="4" w:space="0" w:color="auto"/>
              <w:left w:val="nil"/>
              <w:bottom w:val="single" w:sz="4" w:space="0" w:color="auto"/>
              <w:right w:val="nil"/>
            </w:tcBorders>
            <w:shd w:val="clear" w:color="auto" w:fill="auto"/>
            <w:noWrap/>
            <w:vAlign w:val="bottom"/>
            <w:hideMark/>
          </w:tcPr>
          <w:p w14:paraId="58A911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0.94</w:t>
            </w:r>
          </w:p>
        </w:tc>
        <w:tc>
          <w:tcPr>
            <w:tcW w:w="379" w:type="pct"/>
            <w:tcBorders>
              <w:top w:val="single" w:sz="4" w:space="0" w:color="auto"/>
              <w:left w:val="nil"/>
              <w:bottom w:val="single" w:sz="4" w:space="0" w:color="auto"/>
              <w:right w:val="nil"/>
            </w:tcBorders>
            <w:shd w:val="clear" w:color="auto" w:fill="auto"/>
            <w:noWrap/>
            <w:vAlign w:val="bottom"/>
            <w:hideMark/>
          </w:tcPr>
          <w:p w14:paraId="69135B0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16.97</w:t>
            </w:r>
          </w:p>
        </w:tc>
        <w:tc>
          <w:tcPr>
            <w:tcW w:w="378" w:type="pct"/>
            <w:tcBorders>
              <w:top w:val="single" w:sz="4" w:space="0" w:color="auto"/>
              <w:left w:val="nil"/>
              <w:bottom w:val="single" w:sz="4" w:space="0" w:color="auto"/>
              <w:right w:val="nil"/>
            </w:tcBorders>
            <w:shd w:val="clear" w:color="auto" w:fill="auto"/>
            <w:noWrap/>
            <w:vAlign w:val="bottom"/>
            <w:hideMark/>
          </w:tcPr>
          <w:p w14:paraId="26972E1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60.05</w:t>
            </w:r>
          </w:p>
        </w:tc>
        <w:tc>
          <w:tcPr>
            <w:tcW w:w="381" w:type="pct"/>
            <w:tcBorders>
              <w:top w:val="single" w:sz="4" w:space="0" w:color="auto"/>
              <w:left w:val="nil"/>
              <w:bottom w:val="single" w:sz="4" w:space="0" w:color="auto"/>
              <w:right w:val="nil"/>
            </w:tcBorders>
            <w:shd w:val="clear" w:color="auto" w:fill="auto"/>
            <w:noWrap/>
            <w:vAlign w:val="bottom"/>
            <w:hideMark/>
          </w:tcPr>
          <w:p w14:paraId="10CF5A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9.58</w:t>
            </w:r>
          </w:p>
        </w:tc>
        <w:tc>
          <w:tcPr>
            <w:tcW w:w="378" w:type="pct"/>
            <w:tcBorders>
              <w:top w:val="single" w:sz="4" w:space="0" w:color="auto"/>
              <w:left w:val="nil"/>
              <w:bottom w:val="single" w:sz="4" w:space="0" w:color="auto"/>
              <w:right w:val="nil"/>
            </w:tcBorders>
            <w:shd w:val="clear" w:color="auto" w:fill="auto"/>
            <w:noWrap/>
            <w:vAlign w:val="bottom"/>
            <w:hideMark/>
          </w:tcPr>
          <w:p w14:paraId="7DC74BA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{"citationID":"VrO44Yz4","properties":{"formattedCitation":"[101]","plainCitation":"[101]","noteIndex":0},"citationItems":[{"id":607,"uris":["http://zotero.org/users/12909065/items/6NSNC9GQ"],"itemData":{"id":607,"type":"article-journal","abstract":"Semitransparent organic solar cells (ST-OSCs) are promising candidates for building-integrated photovoltaics. However, the inherent contradiction between active layer absorption and average visible transmittance (AVT) hinders the development of ST-OSCs. Herein, we report high-performance ternary ST-OSCs by incorporating low structure order DCB-4F into PM6:DTPSe-4Cl host blend. The addition of DCB-4F enhances the molecular arrangement in proper multi-length morphology for enhanced charge transport in active layers. As a result, outstanding PCEs of 15.93% and 12.58% are achieved for the corresponding opaque and semitransparent ternary OSCs, respectively. Our work demonstrates that ternary OSCs by introducing low structure order third component to host binary blends featuring ordered molecular arrangement and low energy loss have great potential for fabricating highly-efficient ST-OSCs. © 2021 Elsevier B.V.","archive":"Scopus","container-title":"Chemical Engineering Journal","DOI":"10.1016/j.cej.2021.132640","ISSN":"1385-8947","language":"English","source":"Scopus","title":"Low structure order acceptor as third component enables high-performance semitransparent organic solar cells","volume":"428","author":[{"family":"Wang","given":"H."},{"family":"Du","given":"F."},{"family":"Cao","given":"J."},{"family":"Yu","given":"J."},{"family":"Liu","given":"X."},{"family":"Tang","given":"W."}],"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[101]</w:t>
            </w:r>
            <w:r w:rsidRPr="00B55044">
              <w:rPr>
                <w:rFonts w:eastAsia="Times New Roman"/>
                <w:color w:val="0000FF"/>
                <w:sz w:val="16"/>
                <w:szCs w:val="16"/>
              </w:rPr>
              <w:fldChar w:fldCharType="end"/>
            </w:r>
          </w:p>
        </w:tc>
      </w:tr>
      <w:tr w:rsidR="00D47774" w:rsidRPr="00B55044" w14:paraId="56EA230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420402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173</w:t>
            </w:r>
          </w:p>
        </w:tc>
        <w:tc>
          <w:tcPr>
            <w:tcW w:w="1525" w:type="pct"/>
            <w:tcBorders>
              <w:top w:val="single" w:sz="4" w:space="0" w:color="auto"/>
              <w:left w:val="nil"/>
              <w:bottom w:val="single" w:sz="4" w:space="0" w:color="auto"/>
              <w:right w:val="nil"/>
            </w:tcBorders>
            <w:shd w:val="clear" w:color="auto" w:fill="auto"/>
            <w:noWrap/>
            <w:vAlign w:val="bottom"/>
            <w:hideMark/>
          </w:tcPr>
          <w:p w14:paraId="144AE59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1857041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PM6:BTP-4F12:IT-M</w:t>
            </w:r>
          </w:p>
        </w:tc>
        <w:tc>
          <w:tcPr>
            <w:tcW w:w="379" w:type="pct"/>
            <w:tcBorders>
              <w:top w:val="single" w:sz="4" w:space="0" w:color="auto"/>
              <w:left w:val="nil"/>
              <w:bottom w:val="single" w:sz="4" w:space="0" w:color="auto"/>
              <w:right w:val="nil"/>
            </w:tcBorders>
            <w:shd w:val="clear" w:color="auto" w:fill="auto"/>
            <w:noWrap/>
            <w:vAlign w:val="bottom"/>
            <w:hideMark/>
          </w:tcPr>
          <w:p w14:paraId="5D4584B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0.875</w:t>
            </w:r>
          </w:p>
        </w:tc>
        <w:tc>
          <w:tcPr>
            <w:tcW w:w="379" w:type="pct"/>
            <w:tcBorders>
              <w:top w:val="single" w:sz="4" w:space="0" w:color="auto"/>
              <w:left w:val="nil"/>
              <w:bottom w:val="single" w:sz="4" w:space="0" w:color="auto"/>
              <w:right w:val="nil"/>
            </w:tcBorders>
            <w:shd w:val="clear" w:color="auto" w:fill="auto"/>
            <w:noWrap/>
            <w:vAlign w:val="bottom"/>
            <w:hideMark/>
          </w:tcPr>
          <w:p w14:paraId="4F01DC9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25.95</w:t>
            </w:r>
          </w:p>
        </w:tc>
        <w:tc>
          <w:tcPr>
            <w:tcW w:w="378" w:type="pct"/>
            <w:tcBorders>
              <w:top w:val="single" w:sz="4" w:space="0" w:color="auto"/>
              <w:left w:val="nil"/>
              <w:bottom w:val="single" w:sz="4" w:space="0" w:color="auto"/>
              <w:right w:val="nil"/>
            </w:tcBorders>
            <w:shd w:val="clear" w:color="auto" w:fill="auto"/>
            <w:noWrap/>
            <w:vAlign w:val="bottom"/>
            <w:hideMark/>
          </w:tcPr>
          <w:p w14:paraId="1579555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78.02</w:t>
            </w:r>
          </w:p>
        </w:tc>
        <w:tc>
          <w:tcPr>
            <w:tcW w:w="381" w:type="pct"/>
            <w:tcBorders>
              <w:top w:val="single" w:sz="4" w:space="0" w:color="auto"/>
              <w:left w:val="nil"/>
              <w:bottom w:val="single" w:sz="4" w:space="0" w:color="auto"/>
              <w:right w:val="nil"/>
            </w:tcBorders>
            <w:shd w:val="clear" w:color="auto" w:fill="auto"/>
            <w:noWrap/>
            <w:vAlign w:val="bottom"/>
            <w:hideMark/>
          </w:tcPr>
          <w:p w14:paraId="6ACBD06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17.71</w:t>
            </w:r>
          </w:p>
        </w:tc>
        <w:tc>
          <w:tcPr>
            <w:tcW w:w="378" w:type="pct"/>
            <w:tcBorders>
              <w:top w:val="single" w:sz="4" w:space="0" w:color="auto"/>
              <w:left w:val="nil"/>
              <w:bottom w:val="single" w:sz="4" w:space="0" w:color="auto"/>
              <w:right w:val="nil"/>
            </w:tcBorders>
            <w:shd w:val="clear" w:color="auto" w:fill="auto"/>
            <w:noWrap/>
            <w:vAlign w:val="bottom"/>
            <w:hideMark/>
          </w:tcPr>
          <w:p w14:paraId="2808066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{"citationID":"aunHxBBj","properties":{"formattedCitation":"[102]","plainCitation":"[102]","noteIndex":0},"citationItems":[{"id":606,"uris":["http://zotero.org/users/12909065/items/K6TVGREK"],"itemData":{"id":606,"type":"article-journal","abstract":"Ternary-blend organic solar cells (TOSCs) are fabricated with PM6:BTP-4F-12 as the host system and IT-M as the third component. The third component IT-M takes multiple roles in improving performance of TOSCs through reducing energy-loss of the optimized TOSCs, optimizing molecular arrangement and phase separation in active-layers. The well optimized molecular arrangement and phase separation can be beneficial to charge separation and transport in TOSC, which can be confirmed by the characterization of 2D grazing incidence wide-angle X-ray scattering, transmission electron microscopy, magneto-photocurrent, as well as electrochemical impedance spectroscopy. By finely optimizing IT-M content, a power-conversion-efficiency (PCE) of 17.71% is achieved in the optimized TOSCs, benefiting from simultaneously enhanced short-circuit-current density (JSC) of 25.95 mA cm−2, open-circuit-voltage (VOC) of 0.875 V and fill-factor (FF) of 78.02% in comparison with the OSCs with PM6:BTP-4F-12 as active-layers. Furthermore, average PCE over 15% can be achieved from twenty individual TOSCs with active-layer thickness of 300 nm, indicating the optimized TOSCs have excellent thickness tolerance. © 2021 Elsevier B.V.","archive":"Scopus","container-title":"Chemical Engineering Journal","DOI":"10.1016/j.cej.2021.129276","ISSN":"1385-8947","language":"English","source":"Scopus","title":"Over 17.7% efficiency ternary-blend organic solar cells with low energy-loss and good thickness-tolerance","volume":"428","author":[{"family":"Gao","given":"J."},{"family":"Ma","given":"X."},{"family":"Xu","given":"C."},{"family":"Wang","given":"X."},{"family":"Son","given":"J.H."},{"family":"Jeong","given":"S.Y."},{"family":"Zhang","given":"Y."},{"family":"Zhang","given":"C."},{"family":"Wang","given":"K."},{"family":"Niu","given":"L."},{"family":"Zhang","given":"J."},{"family":"Woo","given":"H.Y."},{"family":"Zhang","given":"F."}],"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[102]</w:t>
            </w:r>
            <w:r w:rsidRPr="00B55044">
              <w:rPr>
                <w:rFonts w:eastAsia="Times New Roman"/>
                <w:color w:val="0000FF"/>
                <w:sz w:val="16"/>
                <w:szCs w:val="16"/>
              </w:rPr>
              <w:fldChar w:fldCharType="end"/>
            </w:r>
          </w:p>
        </w:tc>
      </w:tr>
      <w:tr w:rsidR="00D47774" w:rsidRPr="00B55044" w14:paraId="22C6B9B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F4F020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174</w:t>
            </w:r>
          </w:p>
        </w:tc>
        <w:tc>
          <w:tcPr>
            <w:tcW w:w="1525" w:type="pct"/>
            <w:tcBorders>
              <w:top w:val="single" w:sz="4" w:space="0" w:color="auto"/>
              <w:left w:val="nil"/>
              <w:bottom w:val="single" w:sz="4" w:space="0" w:color="auto"/>
              <w:right w:val="nil"/>
            </w:tcBorders>
            <w:shd w:val="clear" w:color="auto" w:fill="auto"/>
            <w:noWrap/>
            <w:vAlign w:val="bottom"/>
            <w:hideMark/>
          </w:tcPr>
          <w:p w14:paraId="450CFC9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1E42FC0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PM6:Y6:TF1</w:t>
            </w:r>
          </w:p>
        </w:tc>
        <w:tc>
          <w:tcPr>
            <w:tcW w:w="379" w:type="pct"/>
            <w:tcBorders>
              <w:top w:val="single" w:sz="4" w:space="0" w:color="auto"/>
              <w:left w:val="nil"/>
              <w:bottom w:val="single" w:sz="4" w:space="0" w:color="auto"/>
              <w:right w:val="nil"/>
            </w:tcBorders>
            <w:shd w:val="clear" w:color="auto" w:fill="auto"/>
            <w:noWrap/>
            <w:vAlign w:val="bottom"/>
            <w:hideMark/>
          </w:tcPr>
          <w:p w14:paraId="0ACC7EB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62257C2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25.63</w:t>
            </w:r>
          </w:p>
        </w:tc>
        <w:tc>
          <w:tcPr>
            <w:tcW w:w="378" w:type="pct"/>
            <w:tcBorders>
              <w:top w:val="single" w:sz="4" w:space="0" w:color="auto"/>
              <w:left w:val="nil"/>
              <w:bottom w:val="single" w:sz="4" w:space="0" w:color="auto"/>
              <w:right w:val="nil"/>
            </w:tcBorders>
            <w:shd w:val="clear" w:color="auto" w:fill="auto"/>
            <w:noWrap/>
            <w:vAlign w:val="bottom"/>
            <w:hideMark/>
          </w:tcPr>
          <w:p w14:paraId="5318F04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74.79</w:t>
            </w:r>
          </w:p>
        </w:tc>
        <w:tc>
          <w:tcPr>
            <w:tcW w:w="381" w:type="pct"/>
            <w:tcBorders>
              <w:top w:val="single" w:sz="4" w:space="0" w:color="auto"/>
              <w:left w:val="nil"/>
              <w:bottom w:val="single" w:sz="4" w:space="0" w:color="auto"/>
              <w:right w:val="nil"/>
            </w:tcBorders>
            <w:shd w:val="clear" w:color="auto" w:fill="auto"/>
            <w:noWrap/>
            <w:vAlign w:val="bottom"/>
            <w:hideMark/>
          </w:tcPr>
          <w:p w14:paraId="7EC6ED9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16.67</w:t>
            </w:r>
          </w:p>
        </w:tc>
        <w:tc>
          <w:tcPr>
            <w:tcW w:w="378" w:type="pct"/>
            <w:tcBorders>
              <w:top w:val="single" w:sz="4" w:space="0" w:color="auto"/>
              <w:left w:val="nil"/>
              <w:bottom w:val="single" w:sz="4" w:space="0" w:color="auto"/>
              <w:right w:val="nil"/>
            </w:tcBorders>
            <w:shd w:val="clear" w:color="auto" w:fill="auto"/>
            <w:noWrap/>
            <w:vAlign w:val="bottom"/>
            <w:hideMark/>
          </w:tcPr>
          <w:p w14:paraId="3096C31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{"citationID":"paVnaCuT","properties":{"formattedCitation":"[103]","plainCitation":"[103]","noteIndex":0},"citationItems":[{"id":603,"uris":["http://zotero.org/users/12909065/items/6NF9EBL4"],"itemData":{"id":603,"type":"article-journal","container-title":"Energy &amp; Environmental Science","DOI":"10.1039/D1EE02858H","issue":"1","language":"en","note":"publisher: Royal Society of Chemistry","page":"384-394","source":"pubs.rsc.org","title":"Inhibiting excessive molecular aggregation to achieve highly efficient and stabilized organic solar cells by introducing a star-shaped nitrogen heterocyclic-ring acceptor","volume":"15","author":[{"family":"Liao","given":"Xunfan"},{"family":"Xie","given":"Qian"},{"family":"Guo","given":"Yaxiao"},{"family":"He","given":"Qiannan"},{"family":"Chen","given":"Zeng"},{"family":"Yu","given":"Na"},{"family":"Zhu","given":"Peipei"},{"family":"Cui","given":"Yongjie"},{"family":"Ma","given":"Zaifei"},{"family":"Xu","given":"Xiaobao"},{"family":"Zhu","given":"Haiming"},{"family":"Chen","given":"Yiwang"}],"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[103]</w:t>
            </w:r>
            <w:r w:rsidRPr="00B55044">
              <w:rPr>
                <w:rFonts w:eastAsia="Times New Roman"/>
                <w:color w:val="0000FF"/>
                <w:sz w:val="16"/>
                <w:szCs w:val="16"/>
              </w:rPr>
              <w:fldChar w:fldCharType="end"/>
            </w:r>
          </w:p>
        </w:tc>
      </w:tr>
      <w:tr w:rsidR="00D47774" w:rsidRPr="00B55044" w14:paraId="380196C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CCEBCE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175</w:t>
            </w:r>
          </w:p>
        </w:tc>
        <w:tc>
          <w:tcPr>
            <w:tcW w:w="1525" w:type="pct"/>
            <w:tcBorders>
              <w:top w:val="single" w:sz="4" w:space="0" w:color="auto"/>
              <w:left w:val="nil"/>
              <w:bottom w:val="single" w:sz="4" w:space="0" w:color="auto"/>
              <w:right w:val="nil"/>
            </w:tcBorders>
            <w:shd w:val="clear" w:color="auto" w:fill="auto"/>
            <w:noWrap/>
            <w:vAlign w:val="bottom"/>
            <w:hideMark/>
          </w:tcPr>
          <w:p w14:paraId="6232B31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ITO/PEDOT:PSS/AL/PDIN/Ag</w:t>
            </w:r>
          </w:p>
        </w:tc>
        <w:tc>
          <w:tcPr>
            <w:tcW w:w="1288" w:type="pct"/>
            <w:tcBorders>
              <w:top w:val="single" w:sz="4" w:space="0" w:color="auto"/>
              <w:left w:val="nil"/>
              <w:bottom w:val="single" w:sz="4" w:space="0" w:color="auto"/>
              <w:right w:val="nil"/>
            </w:tcBorders>
            <w:shd w:val="clear" w:color="auto" w:fill="auto"/>
            <w:noWrap/>
            <w:vAlign w:val="bottom"/>
            <w:hideMark/>
          </w:tcPr>
          <w:p w14:paraId="4E0CDE1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PM6:N3:MF1(10%)</w:t>
            </w:r>
          </w:p>
        </w:tc>
        <w:tc>
          <w:tcPr>
            <w:tcW w:w="379" w:type="pct"/>
            <w:tcBorders>
              <w:top w:val="single" w:sz="4" w:space="0" w:color="auto"/>
              <w:left w:val="nil"/>
              <w:bottom w:val="single" w:sz="4" w:space="0" w:color="auto"/>
              <w:right w:val="nil"/>
            </w:tcBorders>
            <w:shd w:val="clear" w:color="auto" w:fill="auto"/>
            <w:noWrap/>
            <w:vAlign w:val="bottom"/>
            <w:hideMark/>
          </w:tcPr>
          <w:p w14:paraId="5EB0A0F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w:t>
            </w:r>
          </w:p>
        </w:tc>
        <w:tc>
          <w:tcPr>
            <w:tcW w:w="379" w:type="pct"/>
            <w:tcBorders>
              <w:top w:val="single" w:sz="4" w:space="0" w:color="auto"/>
              <w:left w:val="nil"/>
              <w:bottom w:val="single" w:sz="4" w:space="0" w:color="auto"/>
              <w:right w:val="nil"/>
            </w:tcBorders>
            <w:shd w:val="clear" w:color="auto" w:fill="auto"/>
            <w:noWrap/>
            <w:vAlign w:val="bottom"/>
            <w:hideMark/>
          </w:tcPr>
          <w:p w14:paraId="391C460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25.97</w:t>
            </w:r>
          </w:p>
        </w:tc>
        <w:tc>
          <w:tcPr>
            <w:tcW w:w="378" w:type="pct"/>
            <w:tcBorders>
              <w:top w:val="single" w:sz="4" w:space="0" w:color="auto"/>
              <w:left w:val="nil"/>
              <w:bottom w:val="single" w:sz="4" w:space="0" w:color="auto"/>
              <w:right w:val="nil"/>
            </w:tcBorders>
            <w:shd w:val="clear" w:color="auto" w:fill="auto"/>
            <w:noWrap/>
            <w:vAlign w:val="bottom"/>
            <w:hideMark/>
          </w:tcPr>
          <w:p w14:paraId="0CB73EA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77.12</w:t>
            </w:r>
          </w:p>
        </w:tc>
        <w:tc>
          <w:tcPr>
            <w:tcW w:w="381" w:type="pct"/>
            <w:tcBorders>
              <w:top w:val="single" w:sz="4" w:space="0" w:color="auto"/>
              <w:left w:val="nil"/>
              <w:bottom w:val="single" w:sz="4" w:space="0" w:color="auto"/>
              <w:right w:val="nil"/>
            </w:tcBorders>
            <w:shd w:val="clear" w:color="auto" w:fill="auto"/>
            <w:noWrap/>
            <w:vAlign w:val="bottom"/>
            <w:hideMark/>
          </w:tcPr>
          <w:p w14:paraId="6CEB6AC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16.62</w:t>
            </w:r>
          </w:p>
        </w:tc>
        <w:tc>
          <w:tcPr>
            <w:tcW w:w="378" w:type="pct"/>
            <w:tcBorders>
              <w:top w:val="single" w:sz="4" w:space="0" w:color="auto"/>
              <w:left w:val="nil"/>
              <w:bottom w:val="single" w:sz="4" w:space="0" w:color="auto"/>
              <w:right w:val="nil"/>
            </w:tcBorders>
            <w:shd w:val="clear" w:color="auto" w:fill="auto"/>
            <w:noWrap/>
            <w:vAlign w:val="bottom"/>
            <w:hideMark/>
          </w:tcPr>
          <w:p w14:paraId="1E6C338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{"citationID":"cUYOFP5g","properties":{"formattedCitation":"[104]","plainCitation":"[104]","noteIndex":0},"citationItems":[{"id":602,"uris":["http://zotero.org/users/12909065/items/768PMQ3H"],"itemData":{"id":602,"type":"article-journal","abstract":"Although the rapid development of polymer solar cells (PSCs) has been achieved, it is still a great challenge to explore efficient ways for improving power conversion efficiency (PCE) of PSCs from materials and device engineering. Ternary strategy has been confirmed as an efficient way to improve PCE of PSCs by employing three kinds of materials. In this work, one polymer donor PM6, and two non-fullerene materials N3 and MF1 are selected to prepare ternary PSCs with layer-by-layer (LbL) or bulk-heterojunction (BHJ) structure. The LbL and BHJ-PSCs exhibit PCEs of 16.75% and 16.76% with 15 wt% MF1 content in acceptors, corresponding to over 5% or 4% PCE improvement compared with N3-based binary PSCs with LbL or BHJ structure. The PCE improvement is mainly attributed to the fill factor enhancement from 73.29% to 76.95% for LbL-PSCs or from 74.13% to 77.51% for BHJ-PSCs by employing the ternary strategy. This work indicates that ternary strategy has great potential in preparing highly efficient LbL-PSCs via simultaneously optimizing molecular arrangement and the thickness of each layer. © 2021 Wiley-VCH GmbH","archive":"Scopus","container-title":"Small","DOI":"10.1002/smll.202104215","ISSN":"1613-6810","issue":"4","language":"English","source":"Scopus","title":"Smart Ternary Strategy in Promoting the Performance of Polymer Solar Cells Based on Bulk-Heterojunction or Layer-By-Layer Structure","volume":"18","author":[{"family":"Xu","given":"W."},{"family":"Ma","given":"X."},{"family":"Son","given":"J.H."},{"family":"Jeong","given":"S.Y."},{"family":"Niu","given":"L."},{"family":"Xu","given":"C."},{"family":"Zhang","given":"S."},{"family":"Zhou","given":"Z."},{"family":"Gao","given":"J."},{"family":"Woo","given":"H.Y."},{"family":"Zhang","given":"J."},{"family":"Wang","given":"J."},{"family":"Zhang","given":"F."}],"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[104]</w:t>
            </w:r>
            <w:r w:rsidRPr="00B55044">
              <w:rPr>
                <w:rFonts w:eastAsia="Times New Roman"/>
                <w:color w:val="0000FF"/>
                <w:sz w:val="16"/>
                <w:szCs w:val="16"/>
              </w:rPr>
              <w:fldChar w:fldCharType="end"/>
            </w:r>
          </w:p>
        </w:tc>
      </w:tr>
      <w:tr w:rsidR="00D47774" w:rsidRPr="00B55044" w14:paraId="518FBB9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002879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176</w:t>
            </w:r>
          </w:p>
        </w:tc>
        <w:tc>
          <w:tcPr>
            <w:tcW w:w="1525" w:type="pct"/>
            <w:tcBorders>
              <w:top w:val="single" w:sz="4" w:space="0" w:color="auto"/>
              <w:left w:val="nil"/>
              <w:bottom w:val="single" w:sz="4" w:space="0" w:color="auto"/>
              <w:right w:val="nil"/>
            </w:tcBorders>
            <w:shd w:val="clear" w:color="auto" w:fill="auto"/>
            <w:noWrap/>
            <w:vAlign w:val="bottom"/>
            <w:hideMark/>
          </w:tcPr>
          <w:p w14:paraId="6C17AAC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ITO/PEDOT:PSS/AL/PDIN/Ag</w:t>
            </w:r>
          </w:p>
        </w:tc>
        <w:tc>
          <w:tcPr>
            <w:tcW w:w="1288" w:type="pct"/>
            <w:tcBorders>
              <w:top w:val="single" w:sz="4" w:space="0" w:color="auto"/>
              <w:left w:val="nil"/>
              <w:bottom w:val="single" w:sz="4" w:space="0" w:color="auto"/>
              <w:right w:val="nil"/>
            </w:tcBorders>
            <w:shd w:val="clear" w:color="auto" w:fill="auto"/>
            <w:noWrap/>
            <w:vAlign w:val="bottom"/>
            <w:hideMark/>
          </w:tcPr>
          <w:p w14:paraId="62FE893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PM6:N3:MF1 (15%)</w:t>
            </w:r>
          </w:p>
        </w:tc>
        <w:tc>
          <w:tcPr>
            <w:tcW w:w="379" w:type="pct"/>
            <w:tcBorders>
              <w:top w:val="single" w:sz="4" w:space="0" w:color="auto"/>
              <w:left w:val="nil"/>
              <w:bottom w:val="single" w:sz="4" w:space="0" w:color="auto"/>
              <w:right w:val="nil"/>
            </w:tcBorders>
            <w:shd w:val="clear" w:color="auto" w:fill="auto"/>
            <w:noWrap/>
            <w:vAlign w:val="bottom"/>
            <w:hideMark/>
          </w:tcPr>
          <w:p w14:paraId="59E34B1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7FC5779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25.45</w:t>
            </w:r>
          </w:p>
        </w:tc>
        <w:tc>
          <w:tcPr>
            <w:tcW w:w="378" w:type="pct"/>
            <w:tcBorders>
              <w:top w:val="single" w:sz="4" w:space="0" w:color="auto"/>
              <w:left w:val="nil"/>
              <w:bottom w:val="single" w:sz="4" w:space="0" w:color="auto"/>
              <w:right w:val="nil"/>
            </w:tcBorders>
            <w:shd w:val="clear" w:color="auto" w:fill="auto"/>
            <w:noWrap/>
            <w:vAlign w:val="bottom"/>
            <w:hideMark/>
          </w:tcPr>
          <w:p w14:paraId="5589D6D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77.51</w:t>
            </w:r>
          </w:p>
        </w:tc>
        <w:tc>
          <w:tcPr>
            <w:tcW w:w="381" w:type="pct"/>
            <w:tcBorders>
              <w:top w:val="single" w:sz="4" w:space="0" w:color="auto"/>
              <w:left w:val="nil"/>
              <w:bottom w:val="single" w:sz="4" w:space="0" w:color="auto"/>
              <w:right w:val="nil"/>
            </w:tcBorders>
            <w:shd w:val="clear" w:color="auto" w:fill="auto"/>
            <w:noWrap/>
            <w:vAlign w:val="bottom"/>
            <w:hideMark/>
          </w:tcPr>
          <w:p w14:paraId="2402C64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16.76</w:t>
            </w:r>
          </w:p>
        </w:tc>
        <w:tc>
          <w:tcPr>
            <w:tcW w:w="378" w:type="pct"/>
            <w:tcBorders>
              <w:top w:val="single" w:sz="4" w:space="0" w:color="auto"/>
              <w:left w:val="nil"/>
              <w:bottom w:val="single" w:sz="4" w:space="0" w:color="auto"/>
              <w:right w:val="nil"/>
            </w:tcBorders>
            <w:shd w:val="clear" w:color="auto" w:fill="auto"/>
            <w:noWrap/>
            <w:vAlign w:val="bottom"/>
            <w:hideMark/>
          </w:tcPr>
          <w:p w14:paraId="197C532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{"citationID":"qcbgEqU2","properties":{"formattedCitation":"[104]","plainCitation":"[104]","noteIndex":0},"citationItems":[{"id":602,"uris":["http://zotero.org/users/12909065/items/768PMQ3H"],"itemData":{"id":602,"type":"article-journal","abstract":"Although the rapid development of polymer solar cells (PSCs) has been achieved, it is still a great challenge to explore efficient ways for improving power conversion efficiency (PCE) of PSCs from materials and device engineering. Ternary strategy has been confirmed as an efficient way to improve PCE of PSCs by employing three kinds of materials. In this work, one polymer donor PM6, and two non-fullerene materials N3 and MF1 are selected to prepare ternary PSCs with layer-by-layer (LbL) or bulk-heterojunction (BHJ) structure. The LbL and BHJ-PSCs exhibit PCEs of 16.75% and 16.76% with 15 wt% MF1 content in acceptors, corresponding to over 5% or 4% PCE improvement compared with N3-based binary PSCs with LbL or BHJ structure. The PCE improvement is mainly attributed to the fill factor enhancement from 73.29% to 76.95% for LbL-PSCs or from 74.13% to 77.51% for BHJ-PSCs by employing the ternary strategy. This work indicates that ternary strategy has great potential in preparing highly efficient LbL-PSCs via simultaneously optimizing molecular arrangement and the thickness of each layer. © 2021 Wiley-VCH GmbH","archive":"Scopus","container-title":"Small","DOI":"10.1002/smll.202104215","ISSN":"1613-6810","issue":"4","language":"English","source":"Scopus","title":"Smart Ternary Strategy in Promoting the Performance of Polymer Solar Cells Based on Bulk-Heterojunction or Layer-By-Layer Structure","volume":"18","author":[{"family":"Xu","given":"W."},{"family":"Ma","given":"X."},{"family":"Son","given":"J.H."},{"family":"Jeong","given":"S.Y."},{"family":"Niu","given":"L."},{"family":"Xu","given":"C."},{"family":"Zhang","given":"S."},{"family":"Zhou","given":"Z."},{"family":"Gao","given":"J."},{"family":"Woo","given":"H.Y."},{"family":"Zhang","given":"J."},{"family":"Wang","given":"J."},{"family":"Zhang","given":"F."}],"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[104]</w:t>
            </w:r>
            <w:r w:rsidRPr="00B55044">
              <w:rPr>
                <w:rFonts w:eastAsia="Times New Roman"/>
                <w:color w:val="0000FF"/>
                <w:sz w:val="16"/>
                <w:szCs w:val="16"/>
              </w:rPr>
              <w:fldChar w:fldCharType="end"/>
            </w:r>
          </w:p>
        </w:tc>
      </w:tr>
      <w:tr w:rsidR="00D47774" w:rsidRPr="00B55044" w14:paraId="4FDD635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21C6C5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177</w:t>
            </w:r>
          </w:p>
        </w:tc>
        <w:tc>
          <w:tcPr>
            <w:tcW w:w="1525" w:type="pct"/>
            <w:tcBorders>
              <w:top w:val="single" w:sz="4" w:space="0" w:color="auto"/>
              <w:left w:val="nil"/>
              <w:bottom w:val="single" w:sz="4" w:space="0" w:color="auto"/>
              <w:right w:val="nil"/>
            </w:tcBorders>
            <w:shd w:val="clear" w:color="auto" w:fill="auto"/>
            <w:noWrap/>
            <w:vAlign w:val="bottom"/>
            <w:hideMark/>
          </w:tcPr>
          <w:p w14:paraId="67743EC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ITO/PEDOT:PSS/AL/PDIN/Ag</w:t>
            </w:r>
          </w:p>
        </w:tc>
        <w:tc>
          <w:tcPr>
            <w:tcW w:w="1288" w:type="pct"/>
            <w:tcBorders>
              <w:top w:val="single" w:sz="4" w:space="0" w:color="auto"/>
              <w:left w:val="nil"/>
              <w:bottom w:val="single" w:sz="4" w:space="0" w:color="auto"/>
              <w:right w:val="nil"/>
            </w:tcBorders>
            <w:shd w:val="clear" w:color="auto" w:fill="auto"/>
            <w:noWrap/>
            <w:vAlign w:val="bottom"/>
            <w:hideMark/>
          </w:tcPr>
          <w:p w14:paraId="719A6DC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PM6:N3:MF1 (30%)</w:t>
            </w:r>
          </w:p>
        </w:tc>
        <w:tc>
          <w:tcPr>
            <w:tcW w:w="379" w:type="pct"/>
            <w:tcBorders>
              <w:top w:val="single" w:sz="4" w:space="0" w:color="auto"/>
              <w:left w:val="nil"/>
              <w:bottom w:val="single" w:sz="4" w:space="0" w:color="auto"/>
              <w:right w:val="nil"/>
            </w:tcBorders>
            <w:shd w:val="clear" w:color="auto" w:fill="auto"/>
            <w:noWrap/>
            <w:vAlign w:val="bottom"/>
            <w:hideMark/>
          </w:tcPr>
          <w:p w14:paraId="4C73532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7F4AA90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24.09</w:t>
            </w:r>
          </w:p>
        </w:tc>
        <w:tc>
          <w:tcPr>
            <w:tcW w:w="378" w:type="pct"/>
            <w:tcBorders>
              <w:top w:val="single" w:sz="4" w:space="0" w:color="auto"/>
              <w:left w:val="nil"/>
              <w:bottom w:val="single" w:sz="4" w:space="0" w:color="auto"/>
              <w:right w:val="nil"/>
            </w:tcBorders>
            <w:shd w:val="clear" w:color="auto" w:fill="auto"/>
            <w:noWrap/>
            <w:vAlign w:val="bottom"/>
            <w:hideMark/>
          </w:tcPr>
          <w:p w14:paraId="6E428C6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75.85</w:t>
            </w:r>
          </w:p>
        </w:tc>
        <w:tc>
          <w:tcPr>
            <w:tcW w:w="381" w:type="pct"/>
            <w:tcBorders>
              <w:top w:val="single" w:sz="4" w:space="0" w:color="auto"/>
              <w:left w:val="nil"/>
              <w:bottom w:val="single" w:sz="4" w:space="0" w:color="auto"/>
              <w:right w:val="nil"/>
            </w:tcBorders>
            <w:shd w:val="clear" w:color="auto" w:fill="auto"/>
            <w:noWrap/>
            <w:vAlign w:val="bottom"/>
            <w:hideMark/>
          </w:tcPr>
          <w:p w14:paraId="0A10AA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15.53</w:t>
            </w:r>
          </w:p>
        </w:tc>
        <w:tc>
          <w:tcPr>
            <w:tcW w:w="378" w:type="pct"/>
            <w:tcBorders>
              <w:top w:val="single" w:sz="4" w:space="0" w:color="auto"/>
              <w:left w:val="nil"/>
              <w:bottom w:val="single" w:sz="4" w:space="0" w:color="auto"/>
              <w:right w:val="nil"/>
            </w:tcBorders>
            <w:shd w:val="clear" w:color="auto" w:fill="auto"/>
            <w:noWrap/>
            <w:vAlign w:val="bottom"/>
            <w:hideMark/>
          </w:tcPr>
          <w:p w14:paraId="3C597B5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{"citationID":"ZDLHqVUu","properties":{"formattedCitation":"[104]","plainCitation":"[104]","noteIndex":0},"citationItems":[{"id":602,"uris":["http://zotero.org/users/12909065/items/768PMQ3H"],"itemData":{"id":602,"type":"article-journal","abstract":"Although the rapid development of polymer solar cells (PSCs) has been achieved, it is still a great challenge to explore efficient ways for improving power conversion efficiency (PCE) of PSCs from materials and device engineering. Ternary strategy has been confirmed as an efficient way to improve PCE of PSCs by employing three kinds of materials. In this work, one polymer donor PM6, and two non-fullerene materials N3 and MF1 are selected to prepare ternary PSCs with layer-by-layer (LbL) or bulk-heterojunction (BHJ) structure. The LbL and BHJ-PSCs exhibit PCEs of 16.75% and 16.76% with 15 wt% MF1 content in acceptors, corresponding to over 5% or 4% PCE improvement compared with N3-based binary PSCs with LbL or BHJ structure. The PCE improvement is mainly attributed to the fill factor enhancement from 73.29% to 76.95% for LbL-PSCs or from 74.13% to 77.51% for BHJ-PSCs by employing the ternary strategy. This work indicates that ternary strategy has great potential in preparing highly efficient LbL-PSCs via simultaneously optimizing molecular arrangement and the thickness of each layer. © 2021 Wiley-VCH GmbH","archive":"Scopus","container-title":"Small","DOI":"10.1002/smll.202104215","ISSN":"1613-6810","issue":"4","language":"English","source":"Scopus","title":"Smart Ternary Strategy in Promoting the Performance of Polymer Solar Cells Based on Bulk-Heterojunction or Layer-By-Layer Structure","volume":"18","author":[{"family":"Xu","given":"W."},{"family":"Ma","given":"X."},{"family":"Son","given":"J.H."},{"family":"Jeong","given":"S.Y."},{"family":"Niu","given":"L."},{"family":"Xu","given":"C."},{"family":"Zhang","given":"S."},{"family":"Zhou","given":"Z."},{"family":"Gao","given":"J."},{"family":"Woo","given":"H.Y."},{"family":"Zhang","given":"J."},{"family":"Wang","given":"J."},{"family":"Zhang","given":"F."}],"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[104]</w:t>
            </w:r>
            <w:r w:rsidRPr="00B55044">
              <w:rPr>
                <w:rFonts w:eastAsia="Times New Roman"/>
                <w:color w:val="0000FF"/>
                <w:sz w:val="16"/>
                <w:szCs w:val="16"/>
              </w:rPr>
              <w:fldChar w:fldCharType="end"/>
            </w:r>
          </w:p>
        </w:tc>
      </w:tr>
      <w:tr w:rsidR="00D47774" w:rsidRPr="00B55044" w14:paraId="30DCE50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B37E26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178</w:t>
            </w:r>
          </w:p>
        </w:tc>
        <w:tc>
          <w:tcPr>
            <w:tcW w:w="1525" w:type="pct"/>
            <w:tcBorders>
              <w:top w:val="single" w:sz="4" w:space="0" w:color="auto"/>
              <w:left w:val="nil"/>
              <w:bottom w:val="single" w:sz="4" w:space="0" w:color="auto"/>
              <w:right w:val="nil"/>
            </w:tcBorders>
            <w:shd w:val="clear" w:color="auto" w:fill="auto"/>
            <w:noWrap/>
            <w:vAlign w:val="bottom"/>
            <w:hideMark/>
          </w:tcPr>
          <w:p w14:paraId="29F6852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ITO/PEDOT:PSS/AL/PDIN/Ag</w:t>
            </w:r>
          </w:p>
        </w:tc>
        <w:tc>
          <w:tcPr>
            <w:tcW w:w="1288" w:type="pct"/>
            <w:tcBorders>
              <w:top w:val="single" w:sz="4" w:space="0" w:color="auto"/>
              <w:left w:val="nil"/>
              <w:bottom w:val="single" w:sz="4" w:space="0" w:color="auto"/>
              <w:right w:val="nil"/>
            </w:tcBorders>
            <w:shd w:val="clear" w:color="auto" w:fill="auto"/>
            <w:noWrap/>
            <w:vAlign w:val="bottom"/>
            <w:hideMark/>
          </w:tcPr>
          <w:p w14:paraId="715F18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PM6:N3:MF1 (70%)</w:t>
            </w:r>
          </w:p>
        </w:tc>
        <w:tc>
          <w:tcPr>
            <w:tcW w:w="379" w:type="pct"/>
            <w:tcBorders>
              <w:top w:val="single" w:sz="4" w:space="0" w:color="auto"/>
              <w:left w:val="nil"/>
              <w:bottom w:val="single" w:sz="4" w:space="0" w:color="auto"/>
              <w:right w:val="nil"/>
            </w:tcBorders>
            <w:shd w:val="clear" w:color="auto" w:fill="auto"/>
            <w:noWrap/>
            <w:vAlign w:val="bottom"/>
            <w:hideMark/>
          </w:tcPr>
          <w:p w14:paraId="683390A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1D41DC8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22.63</w:t>
            </w:r>
          </w:p>
        </w:tc>
        <w:tc>
          <w:tcPr>
            <w:tcW w:w="378" w:type="pct"/>
            <w:tcBorders>
              <w:top w:val="single" w:sz="4" w:space="0" w:color="auto"/>
              <w:left w:val="nil"/>
              <w:bottom w:val="single" w:sz="4" w:space="0" w:color="auto"/>
              <w:right w:val="nil"/>
            </w:tcBorders>
            <w:shd w:val="clear" w:color="auto" w:fill="auto"/>
            <w:noWrap/>
            <w:vAlign w:val="bottom"/>
            <w:hideMark/>
          </w:tcPr>
          <w:p w14:paraId="02B693F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69.93</w:t>
            </w:r>
          </w:p>
        </w:tc>
        <w:tc>
          <w:tcPr>
            <w:tcW w:w="381" w:type="pct"/>
            <w:tcBorders>
              <w:top w:val="single" w:sz="4" w:space="0" w:color="auto"/>
              <w:left w:val="nil"/>
              <w:bottom w:val="single" w:sz="4" w:space="0" w:color="auto"/>
              <w:right w:val="nil"/>
            </w:tcBorders>
            <w:shd w:val="clear" w:color="auto" w:fill="auto"/>
            <w:noWrap/>
            <w:vAlign w:val="bottom"/>
            <w:hideMark/>
          </w:tcPr>
          <w:p w14:paraId="315751E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13.61</w:t>
            </w:r>
          </w:p>
        </w:tc>
        <w:tc>
          <w:tcPr>
            <w:tcW w:w="378" w:type="pct"/>
            <w:tcBorders>
              <w:top w:val="single" w:sz="4" w:space="0" w:color="auto"/>
              <w:left w:val="nil"/>
              <w:bottom w:val="single" w:sz="4" w:space="0" w:color="auto"/>
              <w:right w:val="nil"/>
            </w:tcBorders>
            <w:shd w:val="clear" w:color="auto" w:fill="auto"/>
            <w:noWrap/>
            <w:vAlign w:val="bottom"/>
            <w:hideMark/>
          </w:tcPr>
          <w:p w14:paraId="7DEE0FB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{"citationID":"kwylQtPp","properties":{"formattedCitation":"[104]","plainCitation":"[104]","noteIndex":0},"citationItems":[{"id":602,"uris":["http://zotero.org/users/12909065/items/768PMQ3H"],"itemData":{"id":602,"type":"article-journal","abstract":"Although the rapid development of polymer solar cells (PSCs) has been achieved, it is still a great challenge to explore efficient ways for improving power conversion efficiency (PCE) of PSCs from materials and device engineering. Ternary strategy has been confirmed as an efficient way to improve PCE of PSCs by employing three kinds of materials. In this work, one polymer donor PM6, and two non-fullerene materials N3 and MF1 are selected to prepare ternary PSCs with layer-by-layer (LbL) or bulk-heterojunction (BHJ) structure. The LbL and BHJ-PSCs exhibit PCEs of 16.75% and 16.76% with 15 wt% MF1 content in acceptors, corresponding to over 5% or 4% PCE improvement compared with N3-based binary PSCs with LbL or BHJ structure. The PCE improvement is mainly attributed to the fill factor enhancement from 73.29% to 76.95% for LbL-PSCs or from 74.13% to 77.51% for BHJ-PSCs by employing the ternary strategy. This work indicates that ternary strategy has great potential in preparing highly efficient LbL-PSCs via simultaneously optimizing molecular arrangement and the thickness of each layer. © 2021 Wiley-VCH GmbH","archive":"Scopus","container-title":"Small","DOI":"10.1002/smll.202104215","ISSN":"1613-6810","issue":"4","language":"English","source":"Scopus","title":"Smart Ternary Strategy in Promoting the Performance of Polymer Solar Cells Based on Bulk-Heterojunction or Layer-By-Layer Structure","volume":"18","author":[{"family":"Xu","given":"W."},{"family":"Ma","given":"X."},{"family":"Son","given":"J.H."},{"family":"Jeong","given":"S.Y."},{"family":"Niu","given":"L."},{"family":"Xu","given":"C."},{"family":"Zhang","given":"S."},{"family":"Zhou","given":"Z."},{"family":"Gao","given":"J."},{"family":"Woo","given":"H.Y."},{"family":"Zhang","given":"J."},{"family":"Wang","given":"J."},{"family":"Zhang","given":"F."}],"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[104]</w:t>
            </w:r>
            <w:r w:rsidRPr="00B55044">
              <w:rPr>
                <w:rFonts w:eastAsia="Times New Roman"/>
                <w:color w:val="0000FF"/>
                <w:sz w:val="16"/>
                <w:szCs w:val="16"/>
              </w:rPr>
              <w:fldChar w:fldCharType="end"/>
            </w:r>
          </w:p>
        </w:tc>
      </w:tr>
      <w:tr w:rsidR="00D47774" w:rsidRPr="00B55044" w14:paraId="4714CEA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54BDEF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179</w:t>
            </w:r>
          </w:p>
        </w:tc>
        <w:tc>
          <w:tcPr>
            <w:tcW w:w="1525" w:type="pct"/>
            <w:tcBorders>
              <w:top w:val="single" w:sz="4" w:space="0" w:color="auto"/>
              <w:left w:val="nil"/>
              <w:bottom w:val="single" w:sz="4" w:space="0" w:color="auto"/>
              <w:right w:val="nil"/>
            </w:tcBorders>
            <w:shd w:val="clear" w:color="auto" w:fill="auto"/>
            <w:noWrap/>
            <w:vAlign w:val="bottom"/>
            <w:hideMark/>
          </w:tcPr>
          <w:p w14:paraId="6AB683B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ITO/ZnO/AL/MoOx/Ag</w:t>
            </w:r>
          </w:p>
        </w:tc>
        <w:tc>
          <w:tcPr>
            <w:tcW w:w="1288" w:type="pct"/>
            <w:tcBorders>
              <w:top w:val="single" w:sz="4" w:space="0" w:color="auto"/>
              <w:left w:val="nil"/>
              <w:bottom w:val="single" w:sz="4" w:space="0" w:color="auto"/>
              <w:right w:val="nil"/>
            </w:tcBorders>
            <w:shd w:val="clear" w:color="auto" w:fill="auto"/>
            <w:noWrap/>
            <w:vAlign w:val="bottom"/>
            <w:hideMark/>
          </w:tcPr>
          <w:p w14:paraId="76E92F8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PM6:Y6:S-Fuller-PMI</w:t>
            </w:r>
          </w:p>
        </w:tc>
        <w:tc>
          <w:tcPr>
            <w:tcW w:w="379" w:type="pct"/>
            <w:tcBorders>
              <w:top w:val="single" w:sz="4" w:space="0" w:color="auto"/>
              <w:left w:val="nil"/>
              <w:bottom w:val="single" w:sz="4" w:space="0" w:color="auto"/>
              <w:right w:val="nil"/>
            </w:tcBorders>
            <w:shd w:val="clear" w:color="auto" w:fill="auto"/>
            <w:noWrap/>
            <w:vAlign w:val="bottom"/>
            <w:hideMark/>
          </w:tcPr>
          <w:p w14:paraId="6AD1DCA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0.844</w:t>
            </w:r>
          </w:p>
        </w:tc>
        <w:tc>
          <w:tcPr>
            <w:tcW w:w="379" w:type="pct"/>
            <w:tcBorders>
              <w:top w:val="single" w:sz="4" w:space="0" w:color="auto"/>
              <w:left w:val="nil"/>
              <w:bottom w:val="single" w:sz="4" w:space="0" w:color="auto"/>
              <w:right w:val="nil"/>
            </w:tcBorders>
            <w:shd w:val="clear" w:color="auto" w:fill="auto"/>
            <w:noWrap/>
            <w:vAlign w:val="bottom"/>
            <w:hideMark/>
          </w:tcPr>
          <w:p w14:paraId="100C02B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24.6</w:t>
            </w:r>
          </w:p>
        </w:tc>
        <w:tc>
          <w:tcPr>
            <w:tcW w:w="378" w:type="pct"/>
            <w:tcBorders>
              <w:top w:val="single" w:sz="4" w:space="0" w:color="auto"/>
              <w:left w:val="nil"/>
              <w:bottom w:val="single" w:sz="4" w:space="0" w:color="auto"/>
              <w:right w:val="nil"/>
            </w:tcBorders>
            <w:shd w:val="clear" w:color="auto" w:fill="auto"/>
            <w:noWrap/>
            <w:vAlign w:val="bottom"/>
            <w:hideMark/>
          </w:tcPr>
          <w:p w14:paraId="37D0D19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w:t>
            </w:r>
          </w:p>
        </w:tc>
        <w:tc>
          <w:tcPr>
            <w:tcW w:w="381" w:type="pct"/>
            <w:tcBorders>
              <w:top w:val="single" w:sz="4" w:space="0" w:color="auto"/>
              <w:left w:val="nil"/>
              <w:bottom w:val="single" w:sz="4" w:space="0" w:color="auto"/>
              <w:right w:val="nil"/>
            </w:tcBorders>
            <w:shd w:val="clear" w:color="auto" w:fill="auto"/>
            <w:noWrap/>
            <w:vAlign w:val="bottom"/>
            <w:hideMark/>
          </w:tcPr>
          <w:p w14:paraId="61046C2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15.9</w:t>
            </w:r>
          </w:p>
        </w:tc>
        <w:tc>
          <w:tcPr>
            <w:tcW w:w="378" w:type="pct"/>
            <w:tcBorders>
              <w:top w:val="single" w:sz="4" w:space="0" w:color="auto"/>
              <w:left w:val="nil"/>
              <w:bottom w:val="single" w:sz="4" w:space="0" w:color="auto"/>
              <w:right w:val="nil"/>
            </w:tcBorders>
            <w:shd w:val="clear" w:color="auto" w:fill="auto"/>
            <w:noWrap/>
            <w:vAlign w:val="bottom"/>
            <w:hideMark/>
          </w:tcPr>
          <w:p w14:paraId="01B63B7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{"citationID":"aq8e3isd6u","properties":{"formattedCitation":"[105]","plainCitation":"[105]","noteIndex":0},"citationItems":[{"id":551,"uris":["http://zotero.org/users/12909065/items/2F67P6HL"],"itemData":{"id":551,"type":"article-journal","abstract":"Molecular carbon imides, especially extended perylene diimides (PDIs) have been the best wide-band-gap nonfullerene acceptors. Despite their excellent photothermal/chemical stability, flexible reaction sites, and unique photoelectronic properties, there is still a lack of fundamental understanding of their molecular characteristics as a third component. Here, generations of PDIs with distinctive molecular architecture, are deliberately screened out as the third component to PM6:Y6. Only a rylene-fullerene hybrid, S-Fuller-PMI, surprisingly boosts the fill factor (FF) of ternary organic solar cells (OSCs) to 0.77 from 0.72 for PM6:Y6 binary ones, and therefore the power conversion efficiency (PCE) of ternary cells is enhanced from 15.3% to 16.2%. Compared with highly-flexible rylene dimer and rigid multimer, S-Fuller-PMI exhibits higher electron mobility, favorable surface tension, and, therefore tailored compatibility with Y6. These formed Y6:S-Fuller-PMI alloys play as a morphological controller to improve charge separation and transport process. Simultaneously, the suppressed photothermal-induced traps, along with inherent enlarged entropy effect, endow the ternary OSCs still with ≈70% of initial PCE even after 500 h continuous illumination, whereas only 53% is left in their binary counterparts. These results provide new insight into the molecular design principle for distinctive molecular carbon imides as the third component for efficient and durable PM6:Y6-based OSCs.","container-title":"Small","DOI":"10.1002/smll.202104060","ISSN":"1613-6829","issue":"4","language":"en","license":"© 2021 Wiley-VCH GmbH","note":"_eprint: https://onlinelibrary.wiley.com/doi/pdf/10.1002/smll.202104060","page":"2104060","source":"Wiley Online Library","title":"Rylene-Fullerene Hybrid an Emerging Electron Acceptor for High-Performing and Photothermal-Stable Ternary Solar Cells","volume":"18","author":[{"family":"Wei","given":"Yi"},{"family":"Liang","given":"Ningning"},{"family":"Jiang","given":"Wei"},{"family":"Zhai","given":"Tianrui"},{"family":"Wang","given":"Zhaohui"}],"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[105]</w:t>
            </w:r>
            <w:r w:rsidRPr="00B55044">
              <w:rPr>
                <w:rFonts w:eastAsia="Times New Roman"/>
                <w:color w:val="0000FF"/>
                <w:sz w:val="16"/>
                <w:szCs w:val="16"/>
              </w:rPr>
              <w:fldChar w:fldCharType="end"/>
            </w:r>
          </w:p>
        </w:tc>
      </w:tr>
      <w:tr w:rsidR="00D47774" w:rsidRPr="00B55044" w14:paraId="14FFF1C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449996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180</w:t>
            </w:r>
          </w:p>
        </w:tc>
        <w:tc>
          <w:tcPr>
            <w:tcW w:w="1525" w:type="pct"/>
            <w:tcBorders>
              <w:top w:val="single" w:sz="4" w:space="0" w:color="auto"/>
              <w:left w:val="nil"/>
              <w:bottom w:val="single" w:sz="4" w:space="0" w:color="auto"/>
              <w:right w:val="nil"/>
            </w:tcBorders>
            <w:shd w:val="clear" w:color="auto" w:fill="auto"/>
            <w:noWrap/>
            <w:vAlign w:val="bottom"/>
            <w:hideMark/>
          </w:tcPr>
          <w:p w14:paraId="168E7A4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ITO/ZnO/AL/MoOx/Ag</w:t>
            </w:r>
          </w:p>
        </w:tc>
        <w:tc>
          <w:tcPr>
            <w:tcW w:w="1288" w:type="pct"/>
            <w:tcBorders>
              <w:top w:val="single" w:sz="4" w:space="0" w:color="auto"/>
              <w:left w:val="nil"/>
              <w:bottom w:val="single" w:sz="4" w:space="0" w:color="auto"/>
              <w:right w:val="nil"/>
            </w:tcBorders>
            <w:shd w:val="clear" w:color="auto" w:fill="auto"/>
            <w:noWrap/>
            <w:vAlign w:val="bottom"/>
            <w:hideMark/>
          </w:tcPr>
          <w:p w14:paraId="72F6C82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PM6:Y6:TPH</w:t>
            </w:r>
          </w:p>
        </w:tc>
        <w:tc>
          <w:tcPr>
            <w:tcW w:w="379" w:type="pct"/>
            <w:tcBorders>
              <w:top w:val="single" w:sz="4" w:space="0" w:color="auto"/>
              <w:left w:val="nil"/>
              <w:bottom w:val="single" w:sz="4" w:space="0" w:color="auto"/>
              <w:right w:val="nil"/>
            </w:tcBorders>
            <w:shd w:val="clear" w:color="auto" w:fill="auto"/>
            <w:noWrap/>
            <w:vAlign w:val="bottom"/>
            <w:hideMark/>
          </w:tcPr>
          <w:p w14:paraId="0069FE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0.839</w:t>
            </w:r>
          </w:p>
        </w:tc>
        <w:tc>
          <w:tcPr>
            <w:tcW w:w="379" w:type="pct"/>
            <w:tcBorders>
              <w:top w:val="single" w:sz="4" w:space="0" w:color="auto"/>
              <w:left w:val="nil"/>
              <w:bottom w:val="single" w:sz="4" w:space="0" w:color="auto"/>
              <w:right w:val="nil"/>
            </w:tcBorders>
            <w:shd w:val="clear" w:color="auto" w:fill="auto"/>
            <w:noWrap/>
            <w:vAlign w:val="bottom"/>
            <w:hideMark/>
          </w:tcPr>
          <w:p w14:paraId="7D57347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24.4</w:t>
            </w:r>
          </w:p>
        </w:tc>
        <w:tc>
          <w:tcPr>
            <w:tcW w:w="378" w:type="pct"/>
            <w:tcBorders>
              <w:top w:val="single" w:sz="4" w:space="0" w:color="auto"/>
              <w:left w:val="nil"/>
              <w:bottom w:val="single" w:sz="4" w:space="0" w:color="auto"/>
              <w:right w:val="nil"/>
            </w:tcBorders>
            <w:shd w:val="clear" w:color="auto" w:fill="auto"/>
            <w:noWrap/>
            <w:vAlign w:val="bottom"/>
            <w:hideMark/>
          </w:tcPr>
          <w:p w14:paraId="1584EA3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72.9</w:t>
            </w:r>
          </w:p>
        </w:tc>
        <w:tc>
          <w:tcPr>
            <w:tcW w:w="381" w:type="pct"/>
            <w:tcBorders>
              <w:top w:val="single" w:sz="4" w:space="0" w:color="auto"/>
              <w:left w:val="nil"/>
              <w:bottom w:val="single" w:sz="4" w:space="0" w:color="auto"/>
              <w:right w:val="nil"/>
            </w:tcBorders>
            <w:shd w:val="clear" w:color="auto" w:fill="auto"/>
            <w:noWrap/>
            <w:vAlign w:val="bottom"/>
            <w:hideMark/>
          </w:tcPr>
          <w:p w14:paraId="271A033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15.1</w:t>
            </w:r>
          </w:p>
        </w:tc>
        <w:tc>
          <w:tcPr>
            <w:tcW w:w="378" w:type="pct"/>
            <w:tcBorders>
              <w:top w:val="single" w:sz="4" w:space="0" w:color="auto"/>
              <w:left w:val="nil"/>
              <w:bottom w:val="single" w:sz="4" w:space="0" w:color="auto"/>
              <w:right w:val="nil"/>
            </w:tcBorders>
            <w:shd w:val="clear" w:color="auto" w:fill="auto"/>
            <w:noWrap/>
            <w:vAlign w:val="bottom"/>
            <w:hideMark/>
          </w:tcPr>
          <w:p w14:paraId="2BF9460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{"citationID":"a5ur239c3i","properties":{"formattedCitation":"[105]","plainCitation":"[105]","noteIndex":0},"citationItems":[{"id":551,"uris":["http://zotero.org/users/12909065/items/2F67P6HL"],"itemData":{"id":551,"type":"article-journal","abstract":"Molecular carbon imides, especially extended perylene diimides (PDIs) have been the best wide-band-gap nonfullerene acceptors. Despite their excellent photothermal/chemical stability, flexible reaction sites, and unique photoelectronic properties, there is still a lack of fundamental understanding of their molecular characteristics as a third component. Here, generations of PDIs with distinctive molecular architecture, are deliberately screened out as the third component to PM6:Y6. Only a rylene-fullerene hybrid, S-Fuller-PMI, surprisingly boosts the fill factor (FF) of ternary organic solar cells (OSCs) to 0.77 from 0.72 for PM6:Y6 binary ones, and therefore the power conversion efficiency (PCE) of ternary cells is enhanced from 15.3% to 16.2%. Compared with highly-flexible rylene dimer and rigid multimer, S-Fuller-PMI exhibits higher electron mobility, favorable surface tension, and, therefore tailored compatibility with Y6. These formed Y6:S-Fuller-PMI alloys play as a morphological controller to improve charge separation and transport process. Simultaneously, the suppressed photothermal-induced traps, along with inherent enlarged entropy effect, endow the ternary OSCs still with ≈70% of initial PCE even after 500 h continuous illumination, whereas only 53% is left in their binary counterparts. These results provide new insight into the molecular design principle for distinctive molecular carbon imides as the third component for efficient and durable PM6:Y6-based OSCs.","container-title":"Small","DOI":"10.1002/smll.202104060","ISSN":"1613-6829","issue":"4","language":"en","license":"© 2021 Wiley-VCH GmbH","note":"_eprint: https://onlinelibrary.wiley.com/doi/pdf/10.1002/smll.202104060","page":"2104060","source":"Wiley Online Library","title":"Rylene-Fullerene Hybrid an Emerging Electron Acceptor for High-Performing and Photothermal-Stable Ternary Solar Cells","volume":"18","author":[{"family":"Wei","given":"Yi"},{"family":"Liang","given":"Ningning"},{"family":"Jiang","given":"Wei"},{"family":"Zhai","given":"Tianrui"},{"family":"Wang","given":"Zhaohui"}],"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[105]</w:t>
            </w:r>
            <w:r w:rsidRPr="00B55044">
              <w:rPr>
                <w:rFonts w:eastAsia="Times New Roman"/>
                <w:color w:val="0000FF"/>
                <w:sz w:val="16"/>
                <w:szCs w:val="16"/>
              </w:rPr>
              <w:fldChar w:fldCharType="end"/>
            </w:r>
          </w:p>
        </w:tc>
      </w:tr>
      <w:tr w:rsidR="00D47774" w:rsidRPr="00B55044" w14:paraId="073096E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9EB2F7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181</w:t>
            </w:r>
          </w:p>
        </w:tc>
        <w:tc>
          <w:tcPr>
            <w:tcW w:w="1525" w:type="pct"/>
            <w:tcBorders>
              <w:top w:val="single" w:sz="4" w:space="0" w:color="auto"/>
              <w:left w:val="nil"/>
              <w:bottom w:val="single" w:sz="4" w:space="0" w:color="auto"/>
              <w:right w:val="nil"/>
            </w:tcBorders>
            <w:shd w:val="clear" w:color="auto" w:fill="auto"/>
            <w:noWrap/>
            <w:vAlign w:val="bottom"/>
            <w:hideMark/>
          </w:tcPr>
          <w:p w14:paraId="0E88CFB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ITO/ZnO/AL/MoOx/Ag</w:t>
            </w:r>
          </w:p>
        </w:tc>
        <w:tc>
          <w:tcPr>
            <w:tcW w:w="1288" w:type="pct"/>
            <w:tcBorders>
              <w:top w:val="single" w:sz="4" w:space="0" w:color="auto"/>
              <w:left w:val="nil"/>
              <w:bottom w:val="single" w:sz="4" w:space="0" w:color="auto"/>
              <w:right w:val="nil"/>
            </w:tcBorders>
            <w:shd w:val="clear" w:color="auto" w:fill="auto"/>
            <w:noWrap/>
            <w:vAlign w:val="bottom"/>
            <w:hideMark/>
          </w:tcPr>
          <w:p w14:paraId="319526A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PM6:Y6:CRP-1</w:t>
            </w:r>
          </w:p>
        </w:tc>
        <w:tc>
          <w:tcPr>
            <w:tcW w:w="379" w:type="pct"/>
            <w:tcBorders>
              <w:top w:val="single" w:sz="4" w:space="0" w:color="auto"/>
              <w:left w:val="nil"/>
              <w:bottom w:val="single" w:sz="4" w:space="0" w:color="auto"/>
              <w:right w:val="nil"/>
            </w:tcBorders>
            <w:shd w:val="clear" w:color="auto" w:fill="auto"/>
            <w:noWrap/>
            <w:vAlign w:val="bottom"/>
            <w:hideMark/>
          </w:tcPr>
          <w:p w14:paraId="41F97F1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1B8E1AD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24.2</w:t>
            </w:r>
          </w:p>
        </w:tc>
        <w:tc>
          <w:tcPr>
            <w:tcW w:w="378" w:type="pct"/>
            <w:tcBorders>
              <w:top w:val="single" w:sz="4" w:space="0" w:color="auto"/>
              <w:left w:val="nil"/>
              <w:bottom w:val="single" w:sz="4" w:space="0" w:color="auto"/>
              <w:right w:val="nil"/>
            </w:tcBorders>
            <w:shd w:val="clear" w:color="auto" w:fill="auto"/>
            <w:noWrap/>
            <w:vAlign w:val="bottom"/>
            <w:hideMark/>
          </w:tcPr>
          <w:p w14:paraId="35A91A8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72.5</w:t>
            </w:r>
          </w:p>
        </w:tc>
        <w:tc>
          <w:tcPr>
            <w:tcW w:w="381" w:type="pct"/>
            <w:tcBorders>
              <w:top w:val="single" w:sz="4" w:space="0" w:color="auto"/>
              <w:left w:val="nil"/>
              <w:bottom w:val="single" w:sz="4" w:space="0" w:color="auto"/>
              <w:right w:val="nil"/>
            </w:tcBorders>
            <w:shd w:val="clear" w:color="auto" w:fill="auto"/>
            <w:noWrap/>
            <w:vAlign w:val="bottom"/>
            <w:hideMark/>
          </w:tcPr>
          <w:p w14:paraId="336C68A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15.2</w:t>
            </w:r>
          </w:p>
        </w:tc>
        <w:tc>
          <w:tcPr>
            <w:tcW w:w="378" w:type="pct"/>
            <w:tcBorders>
              <w:top w:val="single" w:sz="4" w:space="0" w:color="auto"/>
              <w:left w:val="nil"/>
              <w:bottom w:val="single" w:sz="4" w:space="0" w:color="auto"/>
              <w:right w:val="nil"/>
            </w:tcBorders>
            <w:shd w:val="clear" w:color="auto" w:fill="auto"/>
            <w:noWrap/>
            <w:vAlign w:val="bottom"/>
            <w:hideMark/>
          </w:tcPr>
          <w:p w14:paraId="60F7381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{"citationID":"a1jg8oovg84","properties":{"formattedCitation":"[105]","plainCitation":"[105]","noteIndex":0},"citationItems":[{"id":551,"uris":["http://zotero.org/users/12909065/items/2F67P6HL"],"itemData":{"id":551,"type":"article-journal","abstract":"Molecular carbon imides, especially extended perylene diimides (PDIs) have been the best wide-band-gap nonfullerene acceptors. Despite their excellent photothermal/chemical stability, flexible reaction sites, and unique photoelectronic properties, there is still a lack of fundamental understanding of their molecular characteristics as a third component. Here, generations of PDIs with distinctive molecular architecture, are deliberately screened out as the third component to PM6:Y6. Only a rylene-fullerene hybrid, S-Fuller-PMI, surprisingly boosts the fill factor (FF) of ternary organic solar cells (OSCs) to 0.77 from 0.72 for PM6:Y6 binary ones, and therefore the power conversion efficiency (PCE) of ternary cells is enhanced from 15.3% to 16.2%. Compared with highly-flexible rylene dimer and rigid multimer, S-Fuller-PMI exhibits higher electron mobility, favorable surface tension, and, therefore tailored compatibility with Y6. These formed Y6:S-Fuller-PMI alloys play as a morphological controller to improve charge separation and transport process. Simultaneously, the suppressed photothermal-induced traps, along with inherent enlarged entropy effect, endow the ternary OSCs still with ≈70% of initial PCE even after 500 h continuous illumination, whereas only 53% is left in their binary counterparts. These results provide new insight into the molecular design principle for distinctive molecular carbon imides as the third component for efficient and durable PM6:Y6-based OSCs.","container-title":"Small","DOI":"10.1002/smll.202104060","ISSN":"1613-6829","issue":"4","language":"en","license":"© 2021 Wiley-VCH GmbH","note":"_eprint: https://onlinelibrary.wiley.com/doi/pdf/10.1002/smll.202104060","page":"2104060","source":"Wiley Online Library","title":"Rylene-Fullerene Hybrid an Emerging Electron Acceptor for High-Performing and Photothermal-Stable Ternary Solar Cells","volume":"18","author":[{"family":"Wei","given":"Yi"},{"family":"Liang","given":"Ningning"},{"family":"Jiang","given":"Wei"},{"family":"Zhai","given":"Tianrui"},{"family":"Wang","given":"Zhaohui"}],"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[105]</w:t>
            </w:r>
            <w:r w:rsidRPr="00B55044">
              <w:rPr>
                <w:rFonts w:eastAsia="Times New Roman"/>
                <w:color w:val="0000FF"/>
                <w:sz w:val="16"/>
                <w:szCs w:val="16"/>
              </w:rPr>
              <w:fldChar w:fldCharType="end"/>
            </w:r>
          </w:p>
        </w:tc>
      </w:tr>
      <w:tr w:rsidR="00D47774" w:rsidRPr="00B55044" w14:paraId="018028E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E1960F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182</w:t>
            </w:r>
          </w:p>
        </w:tc>
        <w:tc>
          <w:tcPr>
            <w:tcW w:w="1525" w:type="pct"/>
            <w:tcBorders>
              <w:top w:val="single" w:sz="4" w:space="0" w:color="auto"/>
              <w:left w:val="nil"/>
              <w:bottom w:val="single" w:sz="4" w:space="0" w:color="auto"/>
              <w:right w:val="nil"/>
            </w:tcBorders>
            <w:shd w:val="clear" w:color="auto" w:fill="auto"/>
            <w:noWrap/>
            <w:vAlign w:val="bottom"/>
            <w:hideMark/>
          </w:tcPr>
          <w:p w14:paraId="5EA925F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ITO/ZnO/AL/MoOx/Ag</w:t>
            </w:r>
          </w:p>
        </w:tc>
        <w:tc>
          <w:tcPr>
            <w:tcW w:w="1288" w:type="pct"/>
            <w:tcBorders>
              <w:top w:val="single" w:sz="4" w:space="0" w:color="auto"/>
              <w:left w:val="nil"/>
              <w:bottom w:val="single" w:sz="4" w:space="0" w:color="auto"/>
              <w:right w:val="nil"/>
            </w:tcBorders>
            <w:shd w:val="clear" w:color="auto" w:fill="auto"/>
            <w:noWrap/>
            <w:vAlign w:val="bottom"/>
            <w:hideMark/>
          </w:tcPr>
          <w:p w14:paraId="1A23415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PM6:Y6:CRP-2</w:t>
            </w:r>
          </w:p>
        </w:tc>
        <w:tc>
          <w:tcPr>
            <w:tcW w:w="379" w:type="pct"/>
            <w:tcBorders>
              <w:top w:val="single" w:sz="4" w:space="0" w:color="auto"/>
              <w:left w:val="nil"/>
              <w:bottom w:val="single" w:sz="4" w:space="0" w:color="auto"/>
              <w:right w:val="nil"/>
            </w:tcBorders>
            <w:shd w:val="clear" w:color="auto" w:fill="auto"/>
            <w:noWrap/>
            <w:vAlign w:val="bottom"/>
            <w:hideMark/>
          </w:tcPr>
          <w:p w14:paraId="558E65B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0.842</w:t>
            </w:r>
          </w:p>
        </w:tc>
        <w:tc>
          <w:tcPr>
            <w:tcW w:w="379" w:type="pct"/>
            <w:tcBorders>
              <w:top w:val="single" w:sz="4" w:space="0" w:color="auto"/>
              <w:left w:val="nil"/>
              <w:bottom w:val="single" w:sz="4" w:space="0" w:color="auto"/>
              <w:right w:val="nil"/>
            </w:tcBorders>
            <w:shd w:val="clear" w:color="auto" w:fill="auto"/>
            <w:noWrap/>
            <w:vAlign w:val="bottom"/>
            <w:hideMark/>
          </w:tcPr>
          <w:p w14:paraId="52E0354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24.3</w:t>
            </w:r>
          </w:p>
        </w:tc>
        <w:tc>
          <w:tcPr>
            <w:tcW w:w="378" w:type="pct"/>
            <w:tcBorders>
              <w:top w:val="single" w:sz="4" w:space="0" w:color="auto"/>
              <w:left w:val="nil"/>
              <w:bottom w:val="single" w:sz="4" w:space="0" w:color="auto"/>
              <w:right w:val="nil"/>
            </w:tcBorders>
            <w:shd w:val="clear" w:color="auto" w:fill="auto"/>
            <w:noWrap/>
            <w:vAlign w:val="bottom"/>
            <w:hideMark/>
          </w:tcPr>
          <w:p w14:paraId="7E67E56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70.1</w:t>
            </w:r>
          </w:p>
        </w:tc>
        <w:tc>
          <w:tcPr>
            <w:tcW w:w="381" w:type="pct"/>
            <w:tcBorders>
              <w:top w:val="single" w:sz="4" w:space="0" w:color="auto"/>
              <w:left w:val="nil"/>
              <w:bottom w:val="single" w:sz="4" w:space="0" w:color="auto"/>
              <w:right w:val="nil"/>
            </w:tcBorders>
            <w:shd w:val="clear" w:color="auto" w:fill="auto"/>
            <w:noWrap/>
            <w:vAlign w:val="bottom"/>
            <w:hideMark/>
          </w:tcPr>
          <w:p w14:paraId="72D8F57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14.8</w:t>
            </w:r>
          </w:p>
        </w:tc>
        <w:tc>
          <w:tcPr>
            <w:tcW w:w="378" w:type="pct"/>
            <w:tcBorders>
              <w:top w:val="single" w:sz="4" w:space="0" w:color="auto"/>
              <w:left w:val="nil"/>
              <w:bottom w:val="single" w:sz="4" w:space="0" w:color="auto"/>
              <w:right w:val="nil"/>
            </w:tcBorders>
            <w:shd w:val="clear" w:color="auto" w:fill="auto"/>
            <w:noWrap/>
            <w:vAlign w:val="bottom"/>
            <w:hideMark/>
          </w:tcPr>
          <w:p w14:paraId="084CB31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{"citationID":"a2cuqf2bkam","properties":{"formattedCitation":"[105]","plainCitation":"[105]","noteIndex":0},"citationItems":[{"id":551,"uris":["http://zotero.org/users/12909065/items/2F67P6HL"],"itemData":{"id":551,"type":"article-journal","abstract":"Molecular carbon imides, especially extended perylene diimides (PDIs) have been the best wide-band-gap nonfullerene acceptors. Despite their excellent photothermal/chemical stability, flexible reaction sites, and unique photoelectronic properties, there is still a lack of fundamental understanding of their molecular characteristics as a third component. Here, generations of PDIs with distinctive molecular architecture, are deliberately screened out as the third component to PM6:Y6. Only a rylene-fullerene hybrid, S-Fuller-PMI, surprisingly boosts the fill factor (FF) of ternary organic solar cells (OSCs) to 0.77 from 0.72 for PM6:Y6 binary ones, and therefore the power conversion efficiency (PCE) of ternary cells is enhanced from 15.3% to 16.2%. Compared with highly-flexible rylene dimer and rigid multimer, S-Fuller-PMI exhibits higher electron mobility, favorable surface tension, and, therefore tailored compatibility with Y6. These formed Y6:S-Fuller-PMI alloys play as a morphological controller to improve charge separation and transport process. Simultaneously, the suppressed photothermal-induced traps, along with inherent enlarged entropy effect, endow the ternary OSCs still with ≈70% of initial PCE even after 500 h continuous illumination, whereas only 53% is left in their binary counterparts. These results provide new insight into the molecular design principle for distinctive molecular carbon imides as the third component for efficient and durable PM6:Y6-based OSCs.","container-title":"Small","DOI":"10.1002/smll.202104060","ISSN":"1613-6829","issue":"4","language":"en","license":"© 2021 Wiley-VCH GmbH","note":"_eprint: https://onlinelibrary.wiley.com/doi/pdf/10.1002/smll.202104060","page":"2104060","source":"Wiley Online Library","title":"Rylene-Fullerene Hybrid an Emerging Electron Acceptor for High-Performing and Photothermal-Stable Ternary Solar Cells","volume":"18","author":[{"family":"Wei","given":"Yi"},{"family":"Liang","given":"Ningning"},{"family":"Jiang","given":"Wei"},{"family":"Zhai","given":"Tianrui"},{"family":"Wang","given":"Zhaohui"}],"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[105]</w:t>
            </w:r>
            <w:r w:rsidRPr="00B55044">
              <w:rPr>
                <w:rFonts w:eastAsia="Times New Roman"/>
                <w:color w:val="0000FF"/>
                <w:sz w:val="16"/>
                <w:szCs w:val="16"/>
              </w:rPr>
              <w:fldChar w:fldCharType="end"/>
            </w:r>
          </w:p>
        </w:tc>
      </w:tr>
      <w:tr w:rsidR="00D47774" w:rsidRPr="00B55044" w14:paraId="70EA1AB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CAD860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183</w:t>
            </w:r>
          </w:p>
        </w:tc>
        <w:tc>
          <w:tcPr>
            <w:tcW w:w="1525" w:type="pct"/>
            <w:tcBorders>
              <w:top w:val="single" w:sz="4" w:space="0" w:color="auto"/>
              <w:left w:val="nil"/>
              <w:bottom w:val="single" w:sz="4" w:space="0" w:color="auto"/>
              <w:right w:val="nil"/>
            </w:tcBorders>
            <w:shd w:val="clear" w:color="auto" w:fill="auto"/>
            <w:noWrap/>
            <w:vAlign w:val="bottom"/>
            <w:hideMark/>
          </w:tcPr>
          <w:p w14:paraId="17FA794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ITO/ZnO/AL/MoOx/Ag</w:t>
            </w:r>
          </w:p>
        </w:tc>
        <w:tc>
          <w:tcPr>
            <w:tcW w:w="1288" w:type="pct"/>
            <w:tcBorders>
              <w:top w:val="single" w:sz="4" w:space="0" w:color="auto"/>
              <w:left w:val="nil"/>
              <w:bottom w:val="single" w:sz="4" w:space="0" w:color="auto"/>
              <w:right w:val="nil"/>
            </w:tcBorders>
            <w:shd w:val="clear" w:color="auto" w:fill="auto"/>
            <w:noWrap/>
            <w:vAlign w:val="bottom"/>
            <w:hideMark/>
          </w:tcPr>
          <w:p w14:paraId="7F0C795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PM6:Y6:s-diPDI</w:t>
            </w:r>
          </w:p>
        </w:tc>
        <w:tc>
          <w:tcPr>
            <w:tcW w:w="379" w:type="pct"/>
            <w:tcBorders>
              <w:top w:val="single" w:sz="4" w:space="0" w:color="auto"/>
              <w:left w:val="nil"/>
              <w:bottom w:val="single" w:sz="4" w:space="0" w:color="auto"/>
              <w:right w:val="nil"/>
            </w:tcBorders>
            <w:shd w:val="clear" w:color="auto" w:fill="auto"/>
            <w:noWrap/>
            <w:vAlign w:val="bottom"/>
            <w:hideMark/>
          </w:tcPr>
          <w:p w14:paraId="1C98ED0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0.836</w:t>
            </w:r>
          </w:p>
        </w:tc>
        <w:tc>
          <w:tcPr>
            <w:tcW w:w="379" w:type="pct"/>
            <w:tcBorders>
              <w:top w:val="single" w:sz="4" w:space="0" w:color="auto"/>
              <w:left w:val="nil"/>
              <w:bottom w:val="single" w:sz="4" w:space="0" w:color="auto"/>
              <w:right w:val="nil"/>
            </w:tcBorders>
            <w:shd w:val="clear" w:color="auto" w:fill="auto"/>
            <w:noWrap/>
            <w:vAlign w:val="bottom"/>
            <w:hideMark/>
          </w:tcPr>
          <w:p w14:paraId="31CA91C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24.5</w:t>
            </w:r>
          </w:p>
        </w:tc>
        <w:tc>
          <w:tcPr>
            <w:tcW w:w="378" w:type="pct"/>
            <w:tcBorders>
              <w:top w:val="single" w:sz="4" w:space="0" w:color="auto"/>
              <w:left w:val="nil"/>
              <w:bottom w:val="single" w:sz="4" w:space="0" w:color="auto"/>
              <w:right w:val="nil"/>
            </w:tcBorders>
            <w:shd w:val="clear" w:color="auto" w:fill="auto"/>
            <w:noWrap/>
            <w:vAlign w:val="bottom"/>
            <w:hideMark/>
          </w:tcPr>
          <w:p w14:paraId="4347E7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70.4</w:t>
            </w:r>
          </w:p>
        </w:tc>
        <w:tc>
          <w:tcPr>
            <w:tcW w:w="381" w:type="pct"/>
            <w:tcBorders>
              <w:top w:val="single" w:sz="4" w:space="0" w:color="auto"/>
              <w:left w:val="nil"/>
              <w:bottom w:val="single" w:sz="4" w:space="0" w:color="auto"/>
              <w:right w:val="nil"/>
            </w:tcBorders>
            <w:shd w:val="clear" w:color="auto" w:fill="auto"/>
            <w:noWrap/>
            <w:vAlign w:val="bottom"/>
            <w:hideMark/>
          </w:tcPr>
          <w:p w14:paraId="388BA9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14.6</w:t>
            </w:r>
          </w:p>
        </w:tc>
        <w:tc>
          <w:tcPr>
            <w:tcW w:w="378" w:type="pct"/>
            <w:tcBorders>
              <w:top w:val="single" w:sz="4" w:space="0" w:color="auto"/>
              <w:left w:val="nil"/>
              <w:bottom w:val="single" w:sz="4" w:space="0" w:color="auto"/>
              <w:right w:val="nil"/>
            </w:tcBorders>
            <w:shd w:val="clear" w:color="auto" w:fill="auto"/>
            <w:noWrap/>
            <w:vAlign w:val="bottom"/>
            <w:hideMark/>
          </w:tcPr>
          <w:p w14:paraId="60E5F4B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{"citationID":"aesi54g4b7","properties":{"formattedCitation":"[105]","plainCitation":"[105]","noteIndex":0},"citationItems":[{"id":551,"uris":["http://zotero.org/users/12909065/items/2F67P6HL"],"itemData":{"id":551,"type":"article-journal","abstract":"Molecular carbon imides, especially extended perylene diimides (PDIs) have been the best wide-band-gap nonfullerene acceptors. Despite their excellent photothermal/chemical stability, flexible reaction sites, and unique photoelectronic properties, there is still a lack of fundamental understanding of their molecular characteristics as a third component. Here, generations of PDIs with distinctive molecular architecture, are deliberately screened out as the third component to PM6:Y6. Only a rylene-fullerene hybrid, S-Fuller-PMI, surprisingly boosts the fill factor (FF) of ternary organic solar cells (OSCs) to 0.77 from 0.72 for PM6:Y6 binary ones, and therefore the power conversion efficiency (PCE) of ternary cells is enhanced from 15.3% to 16.2%. Compared with highly-flexible rylene dimer and rigid multimer, S-Fuller-PMI exhibits higher electron mobility, favorable surface tension, and, therefore tailored compatibility with Y6. These formed Y6:S-Fuller-PMI alloys play as a morphological controller to improve charge separation and transport process. Simultaneously, the suppressed photothermal-induced traps, along with inherent enlarged entropy effect, endow the ternary OSCs still with ≈70% of initial PCE even after 500 h continuous illumination, whereas only 53% is left in their binary counterparts. These results provide new insight into the molecular design principle for distinctive molecular carbon imides as the third component for efficient and durable PM6:Y6-based OSCs.","container-title":"Small","DOI":"10.1002/smll.202104060","ISSN":"1613-6829","issue":"4","language":"en","license":"© 2021 Wiley-VCH GmbH","note":"_eprint: https://onlinelibrary.wiley.com/doi/pdf/10.1002/smll.202104060","page":"2104060","source":"Wiley Online Library","title":"Rylene-Fullerene Hybrid an Emerging Electron Acceptor for High-Performing and Photothermal-Stable Ternary Solar Cells","volume":"18","author":[{"family":"Wei","given":"Yi"},{"family":"Liang","given":"Ningning"},{"family":"Jiang","given":"Wei"},{"family":"Zhai","given":"Tianrui"},{"family":"Wang","given":"Zhaohui"}],"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[105]</w:t>
            </w:r>
            <w:r w:rsidRPr="00B55044">
              <w:rPr>
                <w:rFonts w:eastAsia="Times New Roman"/>
                <w:color w:val="0000FF"/>
                <w:sz w:val="16"/>
                <w:szCs w:val="16"/>
              </w:rPr>
              <w:fldChar w:fldCharType="end"/>
            </w:r>
          </w:p>
        </w:tc>
      </w:tr>
      <w:tr w:rsidR="00D47774" w:rsidRPr="00B55044" w14:paraId="2F6BB39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01009E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lastRenderedPageBreak/>
              <w:t>184</w:t>
            </w:r>
          </w:p>
        </w:tc>
        <w:tc>
          <w:tcPr>
            <w:tcW w:w="1525" w:type="pct"/>
            <w:tcBorders>
              <w:top w:val="single" w:sz="4" w:space="0" w:color="auto"/>
              <w:left w:val="nil"/>
              <w:bottom w:val="single" w:sz="4" w:space="0" w:color="auto"/>
              <w:right w:val="nil"/>
            </w:tcBorders>
            <w:shd w:val="clear" w:color="auto" w:fill="auto"/>
            <w:noWrap/>
            <w:vAlign w:val="bottom"/>
            <w:hideMark/>
          </w:tcPr>
          <w:p w14:paraId="625946A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ITO/ZnO/AL/MoOx/Ag</w:t>
            </w:r>
          </w:p>
        </w:tc>
        <w:tc>
          <w:tcPr>
            <w:tcW w:w="1288" w:type="pct"/>
            <w:tcBorders>
              <w:top w:val="single" w:sz="4" w:space="0" w:color="auto"/>
              <w:left w:val="nil"/>
              <w:bottom w:val="single" w:sz="4" w:space="0" w:color="auto"/>
              <w:right w:val="nil"/>
            </w:tcBorders>
            <w:shd w:val="clear" w:color="auto" w:fill="auto"/>
            <w:noWrap/>
            <w:vAlign w:val="bottom"/>
            <w:hideMark/>
          </w:tcPr>
          <w:p w14:paraId="15F7423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61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49B3120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0.845</w:t>
            </w:r>
          </w:p>
        </w:tc>
        <w:tc>
          <w:tcPr>
            <w:tcW w:w="379" w:type="pct"/>
            <w:tcBorders>
              <w:top w:val="single" w:sz="4" w:space="0" w:color="auto"/>
              <w:left w:val="nil"/>
              <w:bottom w:val="single" w:sz="4" w:space="0" w:color="auto"/>
              <w:right w:val="nil"/>
            </w:tcBorders>
            <w:shd w:val="clear" w:color="auto" w:fill="auto"/>
            <w:noWrap/>
            <w:vAlign w:val="bottom"/>
            <w:hideMark/>
          </w:tcPr>
          <w:p w14:paraId="75C6F07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24.9</w:t>
            </w:r>
          </w:p>
        </w:tc>
        <w:tc>
          <w:tcPr>
            <w:tcW w:w="378" w:type="pct"/>
            <w:tcBorders>
              <w:top w:val="single" w:sz="4" w:space="0" w:color="auto"/>
              <w:left w:val="nil"/>
              <w:bottom w:val="single" w:sz="4" w:space="0" w:color="auto"/>
              <w:right w:val="nil"/>
            </w:tcBorders>
            <w:shd w:val="clear" w:color="auto" w:fill="auto"/>
            <w:noWrap/>
            <w:vAlign w:val="bottom"/>
            <w:hideMark/>
          </w:tcPr>
          <w:p w14:paraId="6C046E0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75.4</w:t>
            </w:r>
          </w:p>
        </w:tc>
        <w:tc>
          <w:tcPr>
            <w:tcW w:w="381" w:type="pct"/>
            <w:tcBorders>
              <w:top w:val="single" w:sz="4" w:space="0" w:color="auto"/>
              <w:left w:val="nil"/>
              <w:bottom w:val="single" w:sz="4" w:space="0" w:color="auto"/>
              <w:right w:val="nil"/>
            </w:tcBorders>
            <w:shd w:val="clear" w:color="auto" w:fill="auto"/>
            <w:noWrap/>
            <w:vAlign w:val="bottom"/>
            <w:hideMark/>
          </w:tcPr>
          <w:p w14:paraId="00FE108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15.8</w:t>
            </w:r>
          </w:p>
        </w:tc>
        <w:tc>
          <w:tcPr>
            <w:tcW w:w="378" w:type="pct"/>
            <w:tcBorders>
              <w:top w:val="single" w:sz="4" w:space="0" w:color="auto"/>
              <w:left w:val="nil"/>
              <w:bottom w:val="single" w:sz="4" w:space="0" w:color="auto"/>
              <w:right w:val="nil"/>
            </w:tcBorders>
            <w:shd w:val="clear" w:color="auto" w:fill="auto"/>
            <w:noWrap/>
            <w:vAlign w:val="bottom"/>
            <w:hideMark/>
          </w:tcPr>
          <w:p w14:paraId="2DCD135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{"citationID":"a2h18aveiku","properties":{"formattedCitation":"[105]","plainCitation":"[105]","noteIndex":0},"citationItems":[{"id":551,"uris":["http://zotero.org/users/12909065/items/2F67P6HL"],"itemData":{"id":551,"type":"article-journal","abstract":"Molecular carbon imides, especially extended perylene diimides (PDIs) have been the best wide-band-gap nonfullerene acceptors. Despite their excellent photothermal/chemical stability, flexible reaction sites, and unique photoelectronic properties, there is still a lack of fundamental understanding of their molecular characteristics as a third component. Here, generations of PDIs with distinctive molecular architecture, are deliberately screened out as the third component to PM6:Y6. Only a rylene-fullerene hybrid, S-Fuller-PMI, surprisingly boosts the fill factor (FF) of ternary organic solar cells (OSCs) to 0.77 from 0.72 for PM6:Y6 binary ones, and therefore the power conversion efficiency (PCE) of ternary cells is enhanced from 15.3% to 16.2%. Compared with highly-flexible rylene dimer and rigid multimer, S-Fuller-PMI exhibits higher electron mobility, favorable surface tension, and, therefore tailored compatibility with Y6. These formed Y6:S-Fuller-PMI alloys play as a morphological controller to improve charge separation and transport process. Simultaneously, the suppressed photothermal-induced traps, along with inherent enlarged entropy effect, endow the ternary OSCs still with ≈70% of initial PCE even after 500 h continuous illumination, whereas only 53% is left in their binary counterparts. These results provide new insight into the molecular design principle for distinctive molecular carbon imides as the third component for efficient and durable PM6:Y6-based OSCs.","container-title":"Small","DOI":"10.1002/smll.202104060","ISSN":"1613-6829","issue":"4","language":"en","license":"© 2021 Wiley-VCH GmbH","note":"_eprint: https://onlinelibrary.wiley.com/doi/pdf/10.1002/smll.202104060","page":"2104060","source":"Wiley Online Library","title":"Rylene-Fullerene Hybrid an Emerging Electron Acceptor for High-Performing and Photothermal-Stable Ternary Solar Cells","volume":"18","author":[{"family":"Wei","given":"Yi"},{"family":"Liang","given":"Ningning"},{"family":"Jiang","given":"Wei"},{"family":"Zhai","given":"Tianrui"},{"family":"Wang","given":"Zhaohui"}],"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[105]</w:t>
            </w:r>
            <w:r w:rsidRPr="00B55044">
              <w:rPr>
                <w:rFonts w:eastAsia="Times New Roman"/>
                <w:color w:val="0000FF"/>
                <w:sz w:val="16"/>
                <w:szCs w:val="16"/>
              </w:rPr>
              <w:fldChar w:fldCharType="end"/>
            </w:r>
          </w:p>
        </w:tc>
      </w:tr>
      <w:tr w:rsidR="00D47774" w:rsidRPr="00B55044" w14:paraId="53EDF4F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1D59C0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185</w:t>
            </w:r>
          </w:p>
        </w:tc>
        <w:tc>
          <w:tcPr>
            <w:tcW w:w="1525" w:type="pct"/>
            <w:tcBorders>
              <w:top w:val="single" w:sz="4" w:space="0" w:color="auto"/>
              <w:left w:val="nil"/>
              <w:bottom w:val="single" w:sz="4" w:space="0" w:color="auto"/>
              <w:right w:val="nil"/>
            </w:tcBorders>
            <w:shd w:val="clear" w:color="auto" w:fill="auto"/>
            <w:noWrap/>
            <w:vAlign w:val="bottom"/>
            <w:hideMark/>
          </w:tcPr>
          <w:p w14:paraId="0ACFBDE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5EB4302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PM6:IMOF:PC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41A883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0.82</w:t>
            </w:r>
          </w:p>
        </w:tc>
        <w:tc>
          <w:tcPr>
            <w:tcW w:w="379" w:type="pct"/>
            <w:tcBorders>
              <w:top w:val="single" w:sz="4" w:space="0" w:color="auto"/>
              <w:left w:val="nil"/>
              <w:bottom w:val="single" w:sz="4" w:space="0" w:color="auto"/>
              <w:right w:val="nil"/>
            </w:tcBorders>
            <w:shd w:val="clear" w:color="auto" w:fill="auto"/>
            <w:noWrap/>
            <w:vAlign w:val="bottom"/>
            <w:hideMark/>
          </w:tcPr>
          <w:p w14:paraId="78C650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23.54</w:t>
            </w:r>
          </w:p>
        </w:tc>
        <w:tc>
          <w:tcPr>
            <w:tcW w:w="378" w:type="pct"/>
            <w:tcBorders>
              <w:top w:val="single" w:sz="4" w:space="0" w:color="auto"/>
              <w:left w:val="nil"/>
              <w:bottom w:val="single" w:sz="4" w:space="0" w:color="auto"/>
              <w:right w:val="nil"/>
            </w:tcBorders>
            <w:shd w:val="clear" w:color="auto" w:fill="auto"/>
            <w:noWrap/>
            <w:vAlign w:val="bottom"/>
            <w:hideMark/>
          </w:tcPr>
          <w:p w14:paraId="6B02744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74.68</w:t>
            </w:r>
          </w:p>
        </w:tc>
        <w:tc>
          <w:tcPr>
            <w:tcW w:w="381" w:type="pct"/>
            <w:tcBorders>
              <w:top w:val="single" w:sz="4" w:space="0" w:color="auto"/>
              <w:left w:val="nil"/>
              <w:bottom w:val="single" w:sz="4" w:space="0" w:color="auto"/>
              <w:right w:val="nil"/>
            </w:tcBorders>
            <w:shd w:val="clear" w:color="auto" w:fill="auto"/>
            <w:noWrap/>
            <w:vAlign w:val="bottom"/>
            <w:hideMark/>
          </w:tcPr>
          <w:p w14:paraId="5834BD4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14.42</w:t>
            </w:r>
          </w:p>
        </w:tc>
        <w:tc>
          <w:tcPr>
            <w:tcW w:w="378" w:type="pct"/>
            <w:tcBorders>
              <w:top w:val="single" w:sz="4" w:space="0" w:color="auto"/>
              <w:left w:val="nil"/>
              <w:bottom w:val="single" w:sz="4" w:space="0" w:color="auto"/>
              <w:right w:val="nil"/>
            </w:tcBorders>
            <w:shd w:val="clear" w:color="auto" w:fill="auto"/>
            <w:noWrap/>
            <w:vAlign w:val="bottom"/>
            <w:hideMark/>
          </w:tcPr>
          <w:p w14:paraId="7A4F6BF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{"citationID":"a25mfmirhla","properties":{"formattedCitation":"[106]","plainCitation":"[106]","noteIndex":0},"citationItems":[{"id":550,"uris":["http://zotero.org/users/12909065/items/PH8L75C5"],"itemData":{"id":550,"type":"article-journal","abstract":"Organic solar cells (OSCs) composed of polymer donors and electron acceptors are facing the challenge to modulate the aggregation-induced morphology in pristine phases and active layers. We herein report our effective chemical modification on thieno[2′',3′':5′,6′]-s-indaceno[2′,1′:4,5]thieno[3,2–b]thieno[2,3–d]pyrrole cored fused-ring electron acceptors (FREAs). By introducing either para-F, -Cl or -methyl onto meta-hexyloxy phenyl side chain, we can finetune the surface electrostatic potentials and aggregation behaviours of the FREAs (IMOF, IMOCl and IMOM) and their intermolecular interactions with polymer donor (PM6). Consequently, F-substituted acceptor IMOF presents higher crystallinity and induces intensified aggregation in blends with PM6. The PM6:IMOF (1:1.2, w/w) as-cast binary OSCs contribute the highest Power conversion efficiency (PCE) of 13.89% and a fill factor of 73.59%. By adding 10 wt% PC71BM, the as-cast ternary devices exhibit an improved PCE of 14.42%. In contrast, the PM6 based binary OSCs with three reference acceptors deliver the maximum PCE of only 12.61%. Such molecular interactions induced aggregation can be further promoted by device optimization via processing additive and thermal annealing. The sidechain engineering to induce intermolecular interactions of FREAs demonstrates as an effective strategy to regulate the molecular aggregation and phase morphology in active layers for high-performance as-cast OSCs.","container-title":"Chemical Engineering Journal","DOI":"10.1016/j.cej.2021.131942","ISSN":"1385-8947","journalAbbreviation":"Chemical Engineering Journal","page":"131942","source":"ScienceDirect","title":"Intermolecular interaction induced spontaneous aggregation enables over 14% efficiency as-cast nonfullerene solar cells","volume":"427","author":[{"family":"Yang","given":"Linqiang"},{"family":"Wang","given":"Hongtao"},{"family":"Cao","given":"Jinru"},{"family":"Du","given":"Fuqiang"},{"family":"Yu","given":"Jiangsheng"},{"family":"Tang","given":"Weihua"}],"issued":{"date-parts":[["2022",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[106]</w:t>
            </w:r>
            <w:r w:rsidRPr="00B55044">
              <w:rPr>
                <w:rFonts w:eastAsia="Times New Roman"/>
                <w:color w:val="0000FF"/>
                <w:sz w:val="16"/>
                <w:szCs w:val="16"/>
              </w:rPr>
              <w:fldChar w:fldCharType="end"/>
            </w:r>
          </w:p>
        </w:tc>
      </w:tr>
      <w:tr w:rsidR="00D47774" w:rsidRPr="00B55044" w14:paraId="4A9E0A4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ADC7D5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186</w:t>
            </w:r>
          </w:p>
        </w:tc>
        <w:tc>
          <w:tcPr>
            <w:tcW w:w="1525" w:type="pct"/>
            <w:tcBorders>
              <w:top w:val="single" w:sz="4" w:space="0" w:color="auto"/>
              <w:left w:val="nil"/>
              <w:bottom w:val="single" w:sz="4" w:space="0" w:color="auto"/>
              <w:right w:val="nil"/>
            </w:tcBorders>
            <w:shd w:val="clear" w:color="auto" w:fill="auto"/>
            <w:noWrap/>
            <w:vAlign w:val="bottom"/>
            <w:hideMark/>
          </w:tcPr>
          <w:p w14:paraId="27C0DD2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2CF1E3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PM6:Y6:TIT-2FIC</w:t>
            </w:r>
          </w:p>
        </w:tc>
        <w:tc>
          <w:tcPr>
            <w:tcW w:w="379" w:type="pct"/>
            <w:tcBorders>
              <w:top w:val="single" w:sz="4" w:space="0" w:color="auto"/>
              <w:left w:val="nil"/>
              <w:bottom w:val="single" w:sz="4" w:space="0" w:color="auto"/>
              <w:right w:val="nil"/>
            </w:tcBorders>
            <w:shd w:val="clear" w:color="auto" w:fill="auto"/>
            <w:noWrap/>
            <w:vAlign w:val="bottom"/>
            <w:hideMark/>
          </w:tcPr>
          <w:p w14:paraId="56A93C7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3582608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26.49</w:t>
            </w:r>
          </w:p>
        </w:tc>
        <w:tc>
          <w:tcPr>
            <w:tcW w:w="378" w:type="pct"/>
            <w:tcBorders>
              <w:top w:val="single" w:sz="4" w:space="0" w:color="auto"/>
              <w:left w:val="nil"/>
              <w:bottom w:val="single" w:sz="4" w:space="0" w:color="auto"/>
              <w:right w:val="nil"/>
            </w:tcBorders>
            <w:shd w:val="clear" w:color="auto" w:fill="auto"/>
            <w:noWrap/>
            <w:vAlign w:val="bottom"/>
            <w:hideMark/>
          </w:tcPr>
          <w:p w14:paraId="65BCE73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74.73</w:t>
            </w:r>
          </w:p>
        </w:tc>
        <w:tc>
          <w:tcPr>
            <w:tcW w:w="381" w:type="pct"/>
            <w:tcBorders>
              <w:top w:val="single" w:sz="4" w:space="0" w:color="auto"/>
              <w:left w:val="nil"/>
              <w:bottom w:val="single" w:sz="4" w:space="0" w:color="auto"/>
              <w:right w:val="nil"/>
            </w:tcBorders>
            <w:shd w:val="clear" w:color="auto" w:fill="auto"/>
            <w:noWrap/>
            <w:vAlign w:val="bottom"/>
            <w:hideMark/>
          </w:tcPr>
          <w:p w14:paraId="1AFF053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17.22</w:t>
            </w:r>
          </w:p>
        </w:tc>
        <w:tc>
          <w:tcPr>
            <w:tcW w:w="378" w:type="pct"/>
            <w:tcBorders>
              <w:top w:val="single" w:sz="4" w:space="0" w:color="auto"/>
              <w:left w:val="nil"/>
              <w:bottom w:val="single" w:sz="4" w:space="0" w:color="auto"/>
              <w:right w:val="nil"/>
            </w:tcBorders>
            <w:shd w:val="clear" w:color="auto" w:fill="auto"/>
            <w:noWrap/>
            <w:vAlign w:val="bottom"/>
            <w:hideMark/>
          </w:tcPr>
          <w:p w14:paraId="4477FFD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{"citationID":"a33n17v6l3","properties":{"formattedCitation":"[107]","plainCitation":"[107]","noteIndex":0},"citationItems":[{"id":549,"uris":["http://zotero.org/users/12909065/items/JCZJH6UZ"],"itemData":{"id":549,"type":"article-journal","abstract":"A low-bandgap nonfullerene acceptor (NFA) TIT-2FIC based on thieno[3,2-b]indole-thiophenes core has been developed. Compared with the analogue NFAs DTC(4Ph)-4FIC and IT-4F, TIT-2FIC exhibited remarkably red-shifted absorption, and up-shifted HOMO energy level. In addition, TIT-2FIC showed interesting universal miscibility with the donors nonfluorinated PBDB-T and fluorinated PM6, therefore the corresponding organic solar cells achieved promising power conversion efficiencies (PCEs) of 11.80% and 13.00%, respectively, which are higher compared to the counterpart IT-4F based cells. Furthermore, the ternary PM6:TIT-2FIC:Y6 cell pronounced a high PCE of 17.22%, being significantly improved from that of 16.04% for the binary PM6:Y6 cell. Similar improvement in PCEs from 13.41% to 14.46% was also observed in the ternary PM6:TIT-2FIC:IT-4F cell with TIT-2FIC as the third component. These results indicated that TIT-2FIC is universally applicable as an acceptor with nonfluorinated or fluorinated polymer donor materials in both binary and ternary cells.","container-title":"Chemical Engineering Journal","DOI":"10.1016/j.cej.2021.131674","ISSN":"1385-8947","journalAbbreviation":"Chemical Engineering Journal","page":"131674","source":"ScienceDirect","title":"Low-bandgap nonfullerene acceptor based on thieno[3,2-b]indole core for highly efficient binary and ternary organic solar cells","volume":"427","author":[{"family":"Xie","given":"Liang"},{"family":"Zhang","given":"Yang"},{"family":"Zhuang","given":"Wenliu"},{"family":"Jeong","given":"Sang Young"},{"family":"Bian","given":"Qingzhen"},{"family":"Li","given":"Huangfen"},{"family":"Cao","given":"Jiamin"},{"family":"Liu","given":"Wanqing"},{"family":"Tan","given":"Hua"},{"family":"Woo","given":"Han Young"},{"family":"Zhang","given":"Jian"},{"family":"Wang","given":"Ergang"}],"issued":{"date-parts":[["2022",1,1]]}}}],"schema":"https://github.com/citation-style-language/schema/raw/master/csl-citation.json"}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[107]</w:t>
            </w:r>
            <w:r w:rsidRPr="00B55044">
              <w:rPr>
                <w:rFonts w:eastAsia="Times New Roman"/>
                <w:color w:val="0000FF"/>
                <w:sz w:val="16"/>
                <w:szCs w:val="16"/>
              </w:rPr>
              <w:fldChar w:fldCharType="end"/>
            </w:r>
          </w:p>
        </w:tc>
      </w:tr>
      <w:tr w:rsidR="00D47774" w:rsidRPr="00B55044" w14:paraId="27B5B33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BFC603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187</w:t>
            </w:r>
          </w:p>
        </w:tc>
        <w:tc>
          <w:tcPr>
            <w:tcW w:w="1525" w:type="pct"/>
            <w:tcBorders>
              <w:top w:val="single" w:sz="4" w:space="0" w:color="auto"/>
              <w:left w:val="nil"/>
              <w:bottom w:val="single" w:sz="4" w:space="0" w:color="auto"/>
              <w:right w:val="nil"/>
            </w:tcBorders>
            <w:shd w:val="clear" w:color="auto" w:fill="auto"/>
            <w:noWrap/>
            <w:vAlign w:val="bottom"/>
            <w:hideMark/>
          </w:tcPr>
          <w:p w14:paraId="0C0305F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6B08266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PM6:Y6:IOIC5</w:t>
            </w:r>
          </w:p>
        </w:tc>
        <w:tc>
          <w:tcPr>
            <w:tcW w:w="379" w:type="pct"/>
            <w:tcBorders>
              <w:top w:val="single" w:sz="4" w:space="0" w:color="auto"/>
              <w:left w:val="nil"/>
              <w:bottom w:val="single" w:sz="4" w:space="0" w:color="auto"/>
              <w:right w:val="nil"/>
            </w:tcBorders>
            <w:shd w:val="clear" w:color="auto" w:fill="auto"/>
            <w:noWrap/>
            <w:vAlign w:val="bottom"/>
            <w:hideMark/>
          </w:tcPr>
          <w:p w14:paraId="32B6F3B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0.851</w:t>
            </w:r>
          </w:p>
        </w:tc>
        <w:tc>
          <w:tcPr>
            <w:tcW w:w="379" w:type="pct"/>
            <w:tcBorders>
              <w:top w:val="single" w:sz="4" w:space="0" w:color="auto"/>
              <w:left w:val="nil"/>
              <w:bottom w:val="single" w:sz="4" w:space="0" w:color="auto"/>
              <w:right w:val="nil"/>
            </w:tcBorders>
            <w:shd w:val="clear" w:color="auto" w:fill="auto"/>
            <w:noWrap/>
            <w:vAlign w:val="bottom"/>
            <w:hideMark/>
          </w:tcPr>
          <w:p w14:paraId="2FAFD43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w:t>
            </w:r>
          </w:p>
        </w:tc>
        <w:tc>
          <w:tcPr>
            <w:tcW w:w="378" w:type="pct"/>
            <w:tcBorders>
              <w:top w:val="single" w:sz="4" w:space="0" w:color="auto"/>
              <w:left w:val="nil"/>
              <w:bottom w:val="single" w:sz="4" w:space="0" w:color="auto"/>
              <w:right w:val="nil"/>
            </w:tcBorders>
            <w:shd w:val="clear" w:color="auto" w:fill="auto"/>
            <w:noWrap/>
            <w:vAlign w:val="bottom"/>
            <w:hideMark/>
          </w:tcPr>
          <w:p w14:paraId="076E53E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75.4</w:t>
            </w:r>
          </w:p>
        </w:tc>
        <w:tc>
          <w:tcPr>
            <w:tcW w:w="381" w:type="pct"/>
            <w:tcBorders>
              <w:top w:val="single" w:sz="4" w:space="0" w:color="auto"/>
              <w:left w:val="nil"/>
              <w:bottom w:val="single" w:sz="4" w:space="0" w:color="auto"/>
              <w:right w:val="nil"/>
            </w:tcBorders>
            <w:shd w:val="clear" w:color="auto" w:fill="auto"/>
            <w:noWrap/>
            <w:vAlign w:val="bottom"/>
            <w:hideMark/>
          </w:tcPr>
          <w:p w14:paraId="2E955E5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17.2</w:t>
            </w:r>
          </w:p>
        </w:tc>
        <w:tc>
          <w:tcPr>
            <w:tcW w:w="378" w:type="pct"/>
            <w:tcBorders>
              <w:top w:val="single" w:sz="4" w:space="0" w:color="auto"/>
              <w:left w:val="nil"/>
              <w:bottom w:val="single" w:sz="4" w:space="0" w:color="auto"/>
              <w:right w:val="nil"/>
            </w:tcBorders>
            <w:shd w:val="clear" w:color="auto" w:fill="auto"/>
            <w:noWrap/>
            <w:vAlign w:val="bottom"/>
            <w:hideMark/>
          </w:tcPr>
          <w:p w14:paraId="3350395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{"citationID":"agiqkgcjdl","properties":{"formattedCitation":"[108]","plainCitation":"[108]","noteIndex":0},"citationItems":[{"id":547,"uris":["http://zotero.org/users/12909065/items/AH9HQWS4"],"itemData":{"id":547,"type":"article-journal","abstract":"We incorporate fused-ring electron acceptor IOIC2 or IOIC5 into the PM6:Y6 blend and investigate the impacts of IOIC2 or IOIC5 on the performance of organic solar cells (OSCs). Both IOIC2 and IOIC5 contain the same fused-ring core but with different side chains (hexyl and hexyloxyl, respectively). The binary devices consisting of the PM6:Y6 blend exhibit a power conversion efficiency (PCE) of 16.3%. The PM6:Y6:IOIC2 ternary OSCs realize a higher PCE of 17.1% benefited from improvement of the open-circuit voltage (VOC) and short-circuit current density (JSC). The PM6:Y6:IOIC5 ternary OSCs achieve a champion PCE of 17.5% with improvement in VOC, JSC, and fill factor. The effects of side chains in the third component on the device performance are studied.","container-title":"Energy &amp; Fuels","DOI":"10.1021/acs.energyfuels.1c02113","ISSN":"0887-0624","issue":"23","journalAbbreviation":"Energy Fuels","note":"publisher: American Chemical Society","page":"19055-19060","source":"ACS Publications","title":"Effects of Side Chains in Third Components on the Performance of Fused-Ring Electron-Acceptor-Based Ternary Organic Solar Cells","volume":"35","author":[{"family":"Zhu","given":"Jingshuai"},{"family":"Cai","given":"Guilong"},{"family":"Xue","given":"Peiyao"},{"family":"Jia","given":"Boyu"},{"family":"Zhang","given":"Changxi"},{"family":"Lu","given":"Xinhui"},{"family":"Li","given":"Zhen"},{"family":"Zhan","given":"Xiaowei"}],"issued":{"date-parts":[["2021",12,2]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[108]</w:t>
            </w:r>
            <w:r w:rsidRPr="00B55044">
              <w:rPr>
                <w:rFonts w:eastAsia="Times New Roman"/>
                <w:color w:val="0000FF"/>
                <w:sz w:val="16"/>
                <w:szCs w:val="16"/>
              </w:rPr>
              <w:fldChar w:fldCharType="end"/>
            </w:r>
          </w:p>
        </w:tc>
      </w:tr>
      <w:tr w:rsidR="00D47774" w:rsidRPr="00B55044" w14:paraId="2828FA0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0A9770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188</w:t>
            </w:r>
          </w:p>
        </w:tc>
        <w:tc>
          <w:tcPr>
            <w:tcW w:w="1525" w:type="pct"/>
            <w:tcBorders>
              <w:top w:val="single" w:sz="4" w:space="0" w:color="auto"/>
              <w:left w:val="nil"/>
              <w:bottom w:val="single" w:sz="4" w:space="0" w:color="auto"/>
              <w:right w:val="nil"/>
            </w:tcBorders>
            <w:shd w:val="clear" w:color="auto" w:fill="auto"/>
            <w:noWrap/>
            <w:vAlign w:val="bottom"/>
            <w:hideMark/>
          </w:tcPr>
          <w:p w14:paraId="004777C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50C9A31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PM6:Y6:IOIC2</w:t>
            </w:r>
          </w:p>
        </w:tc>
        <w:tc>
          <w:tcPr>
            <w:tcW w:w="379" w:type="pct"/>
            <w:tcBorders>
              <w:top w:val="single" w:sz="4" w:space="0" w:color="auto"/>
              <w:left w:val="nil"/>
              <w:bottom w:val="single" w:sz="4" w:space="0" w:color="auto"/>
              <w:right w:val="nil"/>
            </w:tcBorders>
            <w:shd w:val="clear" w:color="auto" w:fill="auto"/>
            <w:noWrap/>
            <w:vAlign w:val="bottom"/>
            <w:hideMark/>
          </w:tcPr>
          <w:p w14:paraId="6281AFD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0.855</w:t>
            </w:r>
          </w:p>
        </w:tc>
        <w:tc>
          <w:tcPr>
            <w:tcW w:w="379" w:type="pct"/>
            <w:tcBorders>
              <w:top w:val="single" w:sz="4" w:space="0" w:color="auto"/>
              <w:left w:val="nil"/>
              <w:bottom w:val="single" w:sz="4" w:space="0" w:color="auto"/>
              <w:right w:val="nil"/>
            </w:tcBorders>
            <w:shd w:val="clear" w:color="auto" w:fill="auto"/>
            <w:noWrap/>
            <w:vAlign w:val="bottom"/>
            <w:hideMark/>
          </w:tcPr>
          <w:p w14:paraId="24444F7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w:t>
            </w:r>
          </w:p>
        </w:tc>
        <w:tc>
          <w:tcPr>
            <w:tcW w:w="378" w:type="pct"/>
            <w:tcBorders>
              <w:top w:val="single" w:sz="4" w:space="0" w:color="auto"/>
              <w:left w:val="nil"/>
              <w:bottom w:val="single" w:sz="4" w:space="0" w:color="auto"/>
              <w:right w:val="nil"/>
            </w:tcBorders>
            <w:shd w:val="clear" w:color="auto" w:fill="auto"/>
            <w:noWrap/>
            <w:vAlign w:val="bottom"/>
            <w:hideMark/>
          </w:tcPr>
          <w:p w14:paraId="6BAA033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w:t>
            </w:r>
          </w:p>
        </w:tc>
        <w:tc>
          <w:tcPr>
            <w:tcW w:w="381" w:type="pct"/>
            <w:tcBorders>
              <w:top w:val="single" w:sz="4" w:space="0" w:color="auto"/>
              <w:left w:val="nil"/>
              <w:bottom w:val="single" w:sz="4" w:space="0" w:color="auto"/>
              <w:right w:val="nil"/>
            </w:tcBorders>
            <w:shd w:val="clear" w:color="auto" w:fill="auto"/>
            <w:noWrap/>
            <w:vAlign w:val="bottom"/>
            <w:hideMark/>
          </w:tcPr>
          <w:p w14:paraId="744B280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16.8</w:t>
            </w:r>
          </w:p>
        </w:tc>
        <w:tc>
          <w:tcPr>
            <w:tcW w:w="378" w:type="pct"/>
            <w:tcBorders>
              <w:top w:val="single" w:sz="4" w:space="0" w:color="auto"/>
              <w:left w:val="nil"/>
              <w:bottom w:val="single" w:sz="4" w:space="0" w:color="auto"/>
              <w:right w:val="nil"/>
            </w:tcBorders>
            <w:shd w:val="clear" w:color="auto" w:fill="auto"/>
            <w:noWrap/>
            <w:vAlign w:val="bottom"/>
            <w:hideMark/>
          </w:tcPr>
          <w:p w14:paraId="024B91E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{"citationID":"a8qae7v1sf","properties":{"formattedCitation":"[108]","plainCitation":"[108]","noteIndex":0},"citationItems":[{"id":547,"uris":["http://zotero.org/users/12909065/items/AH9HQWS4"],"itemData":{"id":547,"type":"article-journal","abstract":"We incorporate fused-ring electron acceptor IOIC2 or IOIC5 into the PM6:Y6 blend and investigate the impacts of IOIC2 or IOIC5 on the performance of organic solar cells (OSCs). Both IOIC2 and IOIC5 contain the same fused-ring core but with different side chains (hexyl and hexyloxyl, respectively). The binary devices consisting of the PM6:Y6 blend exhibit a power conversion efficiency (PCE) of 16.3%. The PM6:Y6:IOIC2 ternary OSCs realize a higher PCE of 17.1% benefited from improvement of the open-circuit voltage (VOC) and short-circuit current density (JSC). The PM6:Y6:IOIC5 ternary OSCs achieve a champion PCE of 17.5% with improvement in VOC, JSC, and fill factor. The effects of side chains in the third component on the device performance are studied.","container-title":"Energy &amp; Fuels","DOI":"10.1021/acs.energyfuels.1c02113","ISSN":"0887-0624","issue":"23","journalAbbreviation":"Energy Fuels","note":"publisher: American Chemical Society","page":"19055-19060","source":"ACS Publications","title":"Effects of Side Chains in Third Components on the Performance of Fused-Ring Electron-Acceptor-Based Ternary Organic Solar Cells","volume":"35","author":[{"family":"Zhu","given":"Jingshuai"},{"family":"Cai","given":"Guilong"},{"family":"Xue","given":"Peiyao"},{"family":"Jia","given":"Boyu"},{"family":"Zhang","given":"Changxi"},{"family":"Lu","given":"Xinhui"},{"family":"Li","given":"Zhen"},{"family":"Zhan","given":"Xiaowei"}],"issued":{"date-parts":[["2021",12,2]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[108]</w:t>
            </w:r>
            <w:r w:rsidRPr="00B55044">
              <w:rPr>
                <w:rFonts w:eastAsia="Times New Roman"/>
                <w:color w:val="0000FF"/>
                <w:sz w:val="16"/>
                <w:szCs w:val="16"/>
              </w:rPr>
              <w:fldChar w:fldCharType="end"/>
            </w:r>
          </w:p>
        </w:tc>
      </w:tr>
      <w:tr w:rsidR="00D47774" w:rsidRPr="00B55044" w14:paraId="04ABD2C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70D81D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189</w:t>
            </w:r>
          </w:p>
        </w:tc>
        <w:tc>
          <w:tcPr>
            <w:tcW w:w="1525" w:type="pct"/>
            <w:tcBorders>
              <w:top w:val="single" w:sz="4" w:space="0" w:color="auto"/>
              <w:left w:val="nil"/>
              <w:bottom w:val="single" w:sz="4" w:space="0" w:color="auto"/>
              <w:right w:val="nil"/>
            </w:tcBorders>
            <w:shd w:val="clear" w:color="auto" w:fill="auto"/>
            <w:noWrap/>
            <w:vAlign w:val="bottom"/>
            <w:hideMark/>
          </w:tcPr>
          <w:p w14:paraId="6C3BF48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5320681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PM6:Y6:SEBS (2%)</w:t>
            </w:r>
          </w:p>
        </w:tc>
        <w:tc>
          <w:tcPr>
            <w:tcW w:w="379" w:type="pct"/>
            <w:tcBorders>
              <w:top w:val="single" w:sz="4" w:space="0" w:color="auto"/>
              <w:left w:val="nil"/>
              <w:bottom w:val="single" w:sz="4" w:space="0" w:color="auto"/>
              <w:right w:val="nil"/>
            </w:tcBorders>
            <w:shd w:val="clear" w:color="auto" w:fill="auto"/>
            <w:noWrap/>
            <w:vAlign w:val="bottom"/>
            <w:hideMark/>
          </w:tcPr>
          <w:p w14:paraId="1D46D34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0.839</w:t>
            </w:r>
          </w:p>
        </w:tc>
        <w:tc>
          <w:tcPr>
            <w:tcW w:w="379" w:type="pct"/>
            <w:tcBorders>
              <w:top w:val="single" w:sz="4" w:space="0" w:color="auto"/>
              <w:left w:val="nil"/>
              <w:bottom w:val="single" w:sz="4" w:space="0" w:color="auto"/>
              <w:right w:val="nil"/>
            </w:tcBorders>
            <w:shd w:val="clear" w:color="auto" w:fill="auto"/>
            <w:noWrap/>
            <w:vAlign w:val="bottom"/>
            <w:hideMark/>
          </w:tcPr>
          <w:p w14:paraId="41238A0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25.8</w:t>
            </w:r>
          </w:p>
        </w:tc>
        <w:tc>
          <w:tcPr>
            <w:tcW w:w="378" w:type="pct"/>
            <w:tcBorders>
              <w:top w:val="single" w:sz="4" w:space="0" w:color="auto"/>
              <w:left w:val="nil"/>
              <w:bottom w:val="single" w:sz="4" w:space="0" w:color="auto"/>
              <w:right w:val="nil"/>
            </w:tcBorders>
            <w:shd w:val="clear" w:color="auto" w:fill="auto"/>
            <w:noWrap/>
            <w:vAlign w:val="bottom"/>
            <w:hideMark/>
          </w:tcPr>
          <w:p w14:paraId="0B74175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72.4</w:t>
            </w:r>
          </w:p>
        </w:tc>
        <w:tc>
          <w:tcPr>
            <w:tcW w:w="381" w:type="pct"/>
            <w:tcBorders>
              <w:top w:val="single" w:sz="4" w:space="0" w:color="auto"/>
              <w:left w:val="nil"/>
              <w:bottom w:val="single" w:sz="4" w:space="0" w:color="auto"/>
              <w:right w:val="nil"/>
            </w:tcBorders>
            <w:shd w:val="clear" w:color="auto" w:fill="auto"/>
            <w:noWrap/>
            <w:vAlign w:val="bottom"/>
            <w:hideMark/>
          </w:tcPr>
          <w:p w14:paraId="7FAF95A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15.69</w:t>
            </w:r>
          </w:p>
        </w:tc>
        <w:tc>
          <w:tcPr>
            <w:tcW w:w="378" w:type="pct"/>
            <w:tcBorders>
              <w:top w:val="single" w:sz="4" w:space="0" w:color="auto"/>
              <w:left w:val="nil"/>
              <w:bottom w:val="single" w:sz="4" w:space="0" w:color="auto"/>
              <w:right w:val="nil"/>
            </w:tcBorders>
            <w:shd w:val="clear" w:color="auto" w:fill="auto"/>
            <w:noWrap/>
            <w:vAlign w:val="bottom"/>
            <w:hideMark/>
          </w:tcPr>
          <w:p w14:paraId="0E0C307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{"citationID":"a1mdtd3598d","properties":{"formattedCitation":"[109]","plainCitation":"[109]","noteIndex":0},"citationItems":[{"id":545,"uris":["http://zotero.org/users/12909065/items/LN6XDZKB"],"itemData":{"id":545,"type":"article-journal","abstract":"Top-performance organic solar cells (OSCs) consisting of conjugated polymer donors and nonfullerene small molecule acceptors (NF-SMAs) deliver rapid increases in efficiencies. Nevertheless, many of the polymer donors exhibit high stiffness and small molecule acceptors are very brittle, which limit their applications in wearable devices. Here, a simple and effective strategy is reported to improve the stretchability and reduce the stiffness of high-efficiency polymer:NF-SMA blends and simultaneously maintain the high efficiency by incorporating a low-cost commercial thermoplastic elastomer, polystyrene-block-poly(ethylene-ran-butylene)-block-polystyrene (SEBS). The microstructure, mechanical properties, and photovoltaic performance of PM6:N3 with varied SEBS contents and the molecular weight dependence of SEBS on microstructure and mechanical properties are thoroughly characterized. This strategy for mechanical performance improvement exhibits excellent applicability in some other OSC blend systems, e.g., PBQx-TF:eC9-2Cl and PBDB-T:ITIC. More crucially, the elastic modulus of such complex ternary blends can be nicely predicted by a mechanical model. Therefore, incorporating thermoplastic elastomers is a widely applicable and cost-effective strategy to improve mechanical properties of nonfullerene OSCs and beyond.","container-title":"Advanced Materials","DOI":"10.1002/adma.202106732","ISSN":"1521-4095","issue":"49","language":"en","note":"_eprint: https://onlinelibrary.wiley.com/doi/pdf/10.1002/adma.202106732","page":"2106732","source":"Wiley Online Library","title":"Thermoplastic Elastomer Tunes Phase Structure and Promotes Stretchability of High-Efficiency Organic Solar Cells","volume":"33","author":[{"family":"Peng","given":"Zhongxiang"},{"family":"Xian","given":"Kaihu"},{"family":"Cui","given":"Yong"},{"family":"Qi","given":"Qingchun"},{"family":"Liu","given":"Junwei"},{"family":"Xu","given":"Ye"},{"family":"Chai","given":"Yubo"},{"family":"Yang","given":"Chunming"},{"family":"Hou","given":"Jianhui"},{"family":"Geng","given":"Yanhou"},{"family":"Ye","given":"Long"}],"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[109]</w:t>
            </w:r>
            <w:r w:rsidRPr="00B55044">
              <w:rPr>
                <w:rFonts w:eastAsia="Times New Roman"/>
                <w:color w:val="0000FF"/>
                <w:sz w:val="16"/>
                <w:szCs w:val="16"/>
              </w:rPr>
              <w:fldChar w:fldCharType="end"/>
            </w:r>
          </w:p>
        </w:tc>
      </w:tr>
      <w:tr w:rsidR="00D47774" w:rsidRPr="00B55044" w14:paraId="35D7147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EC28AD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190</w:t>
            </w:r>
          </w:p>
        </w:tc>
        <w:tc>
          <w:tcPr>
            <w:tcW w:w="1525" w:type="pct"/>
            <w:tcBorders>
              <w:top w:val="single" w:sz="4" w:space="0" w:color="auto"/>
              <w:left w:val="nil"/>
              <w:bottom w:val="single" w:sz="4" w:space="0" w:color="auto"/>
              <w:right w:val="nil"/>
            </w:tcBorders>
            <w:shd w:val="clear" w:color="auto" w:fill="auto"/>
            <w:noWrap/>
            <w:vAlign w:val="bottom"/>
            <w:hideMark/>
          </w:tcPr>
          <w:p w14:paraId="1856275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3C2EF88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PM6:Y6:SEBS (5%)</w:t>
            </w:r>
          </w:p>
        </w:tc>
        <w:tc>
          <w:tcPr>
            <w:tcW w:w="379" w:type="pct"/>
            <w:tcBorders>
              <w:top w:val="single" w:sz="4" w:space="0" w:color="auto"/>
              <w:left w:val="nil"/>
              <w:bottom w:val="single" w:sz="4" w:space="0" w:color="auto"/>
              <w:right w:val="nil"/>
            </w:tcBorders>
            <w:shd w:val="clear" w:color="auto" w:fill="auto"/>
            <w:noWrap/>
            <w:vAlign w:val="bottom"/>
            <w:hideMark/>
          </w:tcPr>
          <w:p w14:paraId="71017CC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0.839</w:t>
            </w:r>
          </w:p>
        </w:tc>
        <w:tc>
          <w:tcPr>
            <w:tcW w:w="379" w:type="pct"/>
            <w:tcBorders>
              <w:top w:val="single" w:sz="4" w:space="0" w:color="auto"/>
              <w:left w:val="nil"/>
              <w:bottom w:val="single" w:sz="4" w:space="0" w:color="auto"/>
              <w:right w:val="nil"/>
            </w:tcBorders>
            <w:shd w:val="clear" w:color="auto" w:fill="auto"/>
            <w:noWrap/>
            <w:vAlign w:val="bottom"/>
            <w:hideMark/>
          </w:tcPr>
          <w:p w14:paraId="611BE1E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25.71</w:t>
            </w:r>
          </w:p>
        </w:tc>
        <w:tc>
          <w:tcPr>
            <w:tcW w:w="378" w:type="pct"/>
            <w:tcBorders>
              <w:top w:val="single" w:sz="4" w:space="0" w:color="auto"/>
              <w:left w:val="nil"/>
              <w:bottom w:val="single" w:sz="4" w:space="0" w:color="auto"/>
              <w:right w:val="nil"/>
            </w:tcBorders>
            <w:shd w:val="clear" w:color="auto" w:fill="auto"/>
            <w:noWrap/>
            <w:vAlign w:val="bottom"/>
            <w:hideMark/>
          </w:tcPr>
          <w:p w14:paraId="05B693C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70.9</w:t>
            </w:r>
          </w:p>
        </w:tc>
        <w:tc>
          <w:tcPr>
            <w:tcW w:w="381" w:type="pct"/>
            <w:tcBorders>
              <w:top w:val="single" w:sz="4" w:space="0" w:color="auto"/>
              <w:left w:val="nil"/>
              <w:bottom w:val="single" w:sz="4" w:space="0" w:color="auto"/>
              <w:right w:val="nil"/>
            </w:tcBorders>
            <w:shd w:val="clear" w:color="auto" w:fill="auto"/>
            <w:noWrap/>
            <w:vAlign w:val="bottom"/>
            <w:hideMark/>
          </w:tcPr>
          <w:p w14:paraId="484FA42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15.28</w:t>
            </w:r>
          </w:p>
        </w:tc>
        <w:tc>
          <w:tcPr>
            <w:tcW w:w="378" w:type="pct"/>
            <w:tcBorders>
              <w:top w:val="single" w:sz="4" w:space="0" w:color="auto"/>
              <w:left w:val="nil"/>
              <w:bottom w:val="single" w:sz="4" w:space="0" w:color="auto"/>
              <w:right w:val="nil"/>
            </w:tcBorders>
            <w:shd w:val="clear" w:color="auto" w:fill="auto"/>
            <w:noWrap/>
            <w:vAlign w:val="bottom"/>
            <w:hideMark/>
          </w:tcPr>
          <w:p w14:paraId="3259B08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{"citationID":"a11qpp3j7m0","properties":{"formattedCitation":"[109]","plainCitation":"[109]","noteIndex":0},"citationItems":[{"id":545,"uris":["http://zotero.org/users/12909065/items/LN6XDZKB"],"itemData":{"id":545,"type":"article-journal","abstract":"Top-performance organic solar cells (OSCs) consisting of conjugated polymer donors and nonfullerene small molecule acceptors (NF-SMAs) deliver rapid increases in efficiencies. Nevertheless, many of the polymer donors exhibit high stiffness and small molecule acceptors are very brittle, which limit their applications in wearable devices. Here, a simple and effective strategy is reported to improve the stretchability and reduce the stiffness of high-efficiency polymer:NF-SMA blends and simultaneously maintain the high efficiency by incorporating a low-cost commercial thermoplastic elastomer, polystyrene-block-poly(ethylene-ran-butylene)-block-polystyrene (SEBS). The microstructure, mechanical properties, and photovoltaic performance of PM6:N3 with varied SEBS contents and the molecular weight dependence of SEBS on microstructure and mechanical properties are thoroughly characterized. This strategy for mechanical performance improvement exhibits excellent applicability in some other OSC blend systems, e.g., PBQx-TF:eC9-2Cl and PBDB-T:ITIC. More crucially, the elastic modulus of such complex ternary blends can be nicely predicted by a mechanical model. Therefore, incorporating thermoplastic elastomers is a widely applicable and cost-effective strategy to improve mechanical properties of nonfullerene OSCs and beyond.","container-title":"Advanced Materials","DOI":"10.1002/adma.202106732","ISSN":"1521-4095","issue":"49","language":"en","note":"_eprint: https://onlinelibrary.wiley.com/doi/pdf/10.1002/adma.202106732","page":"2106732","source":"Wiley Online Library","title":"Thermoplastic Elastomer Tunes Phase Structure and Promotes Stretchability of High-Efficiency Organic Solar Cells","volume":"33","author":[{"family":"Peng","given":"Zhongxiang"},{"family":"Xian","given":"Kaihu"},{"family":"Cui","given":"Yong"},{"family":"Qi","given":"Qingchun"},{"family":"Liu","given":"Junwei"},{"family":"Xu","given":"Ye"},{"family":"Chai","given":"Yubo"},{"family":"Yang","given":"Chunming"},{"family":"Hou","given":"Jianhui"},{"family":"Geng","given":"Yanhou"},{"family":"Ye","given":"Long"}],"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[109]</w:t>
            </w:r>
            <w:r w:rsidRPr="00B55044">
              <w:rPr>
                <w:rFonts w:eastAsia="Times New Roman"/>
                <w:color w:val="0000FF"/>
                <w:sz w:val="16"/>
                <w:szCs w:val="16"/>
              </w:rPr>
              <w:fldChar w:fldCharType="end"/>
            </w:r>
          </w:p>
        </w:tc>
      </w:tr>
      <w:tr w:rsidR="00D47774" w:rsidRPr="00B55044" w14:paraId="7F1D4E6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73A2EF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191</w:t>
            </w:r>
          </w:p>
        </w:tc>
        <w:tc>
          <w:tcPr>
            <w:tcW w:w="1525" w:type="pct"/>
            <w:tcBorders>
              <w:top w:val="single" w:sz="4" w:space="0" w:color="auto"/>
              <w:left w:val="nil"/>
              <w:bottom w:val="single" w:sz="4" w:space="0" w:color="auto"/>
              <w:right w:val="nil"/>
            </w:tcBorders>
            <w:shd w:val="clear" w:color="auto" w:fill="auto"/>
            <w:noWrap/>
            <w:vAlign w:val="bottom"/>
            <w:hideMark/>
          </w:tcPr>
          <w:p w14:paraId="2E28A9F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690D930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PM6:Y6:SEBS (10%)</w:t>
            </w:r>
          </w:p>
        </w:tc>
        <w:tc>
          <w:tcPr>
            <w:tcW w:w="379" w:type="pct"/>
            <w:tcBorders>
              <w:top w:val="single" w:sz="4" w:space="0" w:color="auto"/>
              <w:left w:val="nil"/>
              <w:bottom w:val="single" w:sz="4" w:space="0" w:color="auto"/>
              <w:right w:val="nil"/>
            </w:tcBorders>
            <w:shd w:val="clear" w:color="auto" w:fill="auto"/>
            <w:noWrap/>
            <w:vAlign w:val="bottom"/>
            <w:hideMark/>
          </w:tcPr>
          <w:p w14:paraId="48CEE1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0.839</w:t>
            </w:r>
          </w:p>
        </w:tc>
        <w:tc>
          <w:tcPr>
            <w:tcW w:w="379" w:type="pct"/>
            <w:tcBorders>
              <w:top w:val="single" w:sz="4" w:space="0" w:color="auto"/>
              <w:left w:val="nil"/>
              <w:bottom w:val="single" w:sz="4" w:space="0" w:color="auto"/>
              <w:right w:val="nil"/>
            </w:tcBorders>
            <w:shd w:val="clear" w:color="auto" w:fill="auto"/>
            <w:noWrap/>
            <w:vAlign w:val="bottom"/>
            <w:hideMark/>
          </w:tcPr>
          <w:p w14:paraId="43B9DA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24.62</w:t>
            </w:r>
          </w:p>
        </w:tc>
        <w:tc>
          <w:tcPr>
            <w:tcW w:w="378" w:type="pct"/>
            <w:tcBorders>
              <w:top w:val="single" w:sz="4" w:space="0" w:color="auto"/>
              <w:left w:val="nil"/>
              <w:bottom w:val="single" w:sz="4" w:space="0" w:color="auto"/>
              <w:right w:val="nil"/>
            </w:tcBorders>
            <w:shd w:val="clear" w:color="auto" w:fill="auto"/>
            <w:noWrap/>
            <w:vAlign w:val="bottom"/>
            <w:hideMark/>
          </w:tcPr>
          <w:p w14:paraId="4BF0123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68.6</w:t>
            </w:r>
          </w:p>
        </w:tc>
        <w:tc>
          <w:tcPr>
            <w:tcW w:w="381" w:type="pct"/>
            <w:tcBorders>
              <w:top w:val="single" w:sz="4" w:space="0" w:color="auto"/>
              <w:left w:val="nil"/>
              <w:bottom w:val="single" w:sz="4" w:space="0" w:color="auto"/>
              <w:right w:val="nil"/>
            </w:tcBorders>
            <w:shd w:val="clear" w:color="auto" w:fill="auto"/>
            <w:noWrap/>
            <w:vAlign w:val="bottom"/>
            <w:hideMark/>
          </w:tcPr>
          <w:p w14:paraId="53F7F03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14.17</w:t>
            </w:r>
          </w:p>
        </w:tc>
        <w:tc>
          <w:tcPr>
            <w:tcW w:w="378" w:type="pct"/>
            <w:tcBorders>
              <w:top w:val="single" w:sz="4" w:space="0" w:color="auto"/>
              <w:left w:val="nil"/>
              <w:bottom w:val="single" w:sz="4" w:space="0" w:color="auto"/>
              <w:right w:val="nil"/>
            </w:tcBorders>
            <w:shd w:val="clear" w:color="auto" w:fill="auto"/>
            <w:noWrap/>
            <w:vAlign w:val="bottom"/>
            <w:hideMark/>
          </w:tcPr>
          <w:p w14:paraId="69C67FA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{"citationID":"anh31p6sl9","properties":{"formattedCitation":"[109]","plainCitation":"[109]","noteIndex":0},"citationItems":[{"id":545,"uris":["http://zotero.org/users/12909065/items/LN6XDZKB"],"itemData":{"id":545,"type":"article-journal","abstract":"Top-performance organic solar cells (OSCs) consisting of conjugated polymer donors and nonfullerene small molecule acceptors (NF-SMAs) deliver rapid increases in efficiencies. Nevertheless, many of the polymer donors exhibit high stiffness and small molecule acceptors are very brittle, which limit their applications in wearable devices. Here, a simple and effective strategy is reported to improve the stretchability and reduce the stiffness of high-efficiency polymer:NF-SMA blends and simultaneously maintain the high efficiency by incorporating a low-cost commercial thermoplastic elastomer, polystyrene-block-poly(ethylene-ran-butylene)-block-polystyrene (SEBS). The microstructure, mechanical properties, and photovoltaic performance of PM6:N3 with varied SEBS contents and the molecular weight dependence of SEBS on microstructure and mechanical properties are thoroughly characterized. This strategy for mechanical performance improvement exhibits excellent applicability in some other OSC blend systems, e.g., PBQx-TF:eC9-2Cl and PBDB-T:ITIC. More crucially, the elastic modulus of such complex ternary blends can be nicely predicted by a mechanical model. Therefore, incorporating thermoplastic elastomers is a widely applicable and cost-effective strategy to improve mechanical properties of nonfullerene OSCs and beyond.","container-title":"Advanced Materials","DOI":"10.1002/adma.202106732","ISSN":"1521-4095","issue":"49","language":"en","note":"_eprint: https://onlinelibrary.wiley.com/doi/pdf/10.1002/adma.202106732","page":"2106732","source":"Wiley Online Library","title":"Thermoplastic Elastomer Tunes Phase Structure and Promotes Stretchability of High-Efficiency Organic Solar Cells","volume":"33","author":[{"family":"Peng","given":"Zhongxiang"},{"family":"Xian","given":"Kaihu"},{"family":"Cui","given":"Yong"},{"family":"Qi","given":"Qingchun"},{"family":"Liu","given":"Junwei"},{"family":"Xu","given":"Ye"},{"family":"Chai","given":"Yubo"},{"family":"Yang","given":"Chunming"},{"family":"Hou","given":"Jianhui"},{"family":"Geng","given":"Yanhou"},{"family":"Ye","given":"Long"}],"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[109]</w:t>
            </w:r>
            <w:r w:rsidRPr="00B55044">
              <w:rPr>
                <w:rFonts w:eastAsia="Times New Roman"/>
                <w:color w:val="0000FF"/>
                <w:sz w:val="16"/>
                <w:szCs w:val="16"/>
              </w:rPr>
              <w:fldChar w:fldCharType="end"/>
            </w:r>
          </w:p>
        </w:tc>
      </w:tr>
      <w:tr w:rsidR="00D47774" w:rsidRPr="00B55044" w14:paraId="2EE7122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25528C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192</w:t>
            </w:r>
          </w:p>
        </w:tc>
        <w:tc>
          <w:tcPr>
            <w:tcW w:w="1525" w:type="pct"/>
            <w:tcBorders>
              <w:top w:val="single" w:sz="4" w:space="0" w:color="auto"/>
              <w:left w:val="nil"/>
              <w:bottom w:val="single" w:sz="4" w:space="0" w:color="auto"/>
              <w:right w:val="nil"/>
            </w:tcBorders>
            <w:shd w:val="clear" w:color="auto" w:fill="auto"/>
            <w:noWrap/>
            <w:vAlign w:val="bottom"/>
            <w:hideMark/>
          </w:tcPr>
          <w:p w14:paraId="380AE54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150A1C4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PM6:Y6:SEBS (20%)</w:t>
            </w:r>
          </w:p>
        </w:tc>
        <w:tc>
          <w:tcPr>
            <w:tcW w:w="379" w:type="pct"/>
            <w:tcBorders>
              <w:top w:val="single" w:sz="4" w:space="0" w:color="auto"/>
              <w:left w:val="nil"/>
              <w:bottom w:val="single" w:sz="4" w:space="0" w:color="auto"/>
              <w:right w:val="nil"/>
            </w:tcBorders>
            <w:shd w:val="clear" w:color="auto" w:fill="auto"/>
            <w:noWrap/>
            <w:vAlign w:val="bottom"/>
            <w:hideMark/>
          </w:tcPr>
          <w:p w14:paraId="3FEC6B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6BD56F9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24.18</w:t>
            </w:r>
          </w:p>
        </w:tc>
        <w:tc>
          <w:tcPr>
            <w:tcW w:w="378" w:type="pct"/>
            <w:tcBorders>
              <w:top w:val="single" w:sz="4" w:space="0" w:color="auto"/>
              <w:left w:val="nil"/>
              <w:bottom w:val="single" w:sz="4" w:space="0" w:color="auto"/>
              <w:right w:val="nil"/>
            </w:tcBorders>
            <w:shd w:val="clear" w:color="auto" w:fill="auto"/>
            <w:noWrap/>
            <w:vAlign w:val="bottom"/>
            <w:hideMark/>
          </w:tcPr>
          <w:p w14:paraId="762758C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63.1</w:t>
            </w:r>
          </w:p>
        </w:tc>
        <w:tc>
          <w:tcPr>
            <w:tcW w:w="381" w:type="pct"/>
            <w:tcBorders>
              <w:top w:val="single" w:sz="4" w:space="0" w:color="auto"/>
              <w:left w:val="nil"/>
              <w:bottom w:val="single" w:sz="4" w:space="0" w:color="auto"/>
              <w:right w:val="nil"/>
            </w:tcBorders>
            <w:shd w:val="clear" w:color="auto" w:fill="auto"/>
            <w:noWrap/>
            <w:vAlign w:val="bottom"/>
            <w:hideMark/>
          </w:tcPr>
          <w:p w14:paraId="5E85076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12.81</w:t>
            </w:r>
          </w:p>
        </w:tc>
        <w:tc>
          <w:tcPr>
            <w:tcW w:w="378" w:type="pct"/>
            <w:tcBorders>
              <w:top w:val="single" w:sz="4" w:space="0" w:color="auto"/>
              <w:left w:val="nil"/>
              <w:bottom w:val="single" w:sz="4" w:space="0" w:color="auto"/>
              <w:right w:val="nil"/>
            </w:tcBorders>
            <w:shd w:val="clear" w:color="auto" w:fill="auto"/>
            <w:noWrap/>
            <w:vAlign w:val="bottom"/>
            <w:hideMark/>
          </w:tcPr>
          <w:p w14:paraId="30790CA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{"citationID":"a1lvkr013ok","properties":{"formattedCitation":"[109]","plainCitation":"[109]","noteIndex":0},"citationItems":[{"id":545,"uris":["http://zotero.org/users/12909065/items/LN6XDZKB"],"itemData":{"id":545,"type":"article-journal","abstract":"Top-performance organic solar cells (OSCs) consisting of conjugated polymer donors and nonfullerene small molecule acceptors (NF-SMAs) deliver rapid increases in efficiencies. Nevertheless, many of the polymer donors exhibit high stiffness and small molecule acceptors are very brittle, which limit their applications in wearable devices. Here, a simple and effective strategy is reported to improve the stretchability and reduce the stiffness of high-efficiency polymer:NF-SMA blends and simultaneously maintain the high efficiency by incorporating a low-cost commercial thermoplastic elastomer, polystyrene-block-poly(ethylene-ran-butylene)-block-polystyrene (SEBS). The microstructure, mechanical properties, and photovoltaic performance of PM6:N3 with varied SEBS contents and the molecular weight dependence of SEBS on microstructure and mechanical properties are thoroughly characterized. This strategy for mechanical performance improvement exhibits excellent applicability in some other OSC blend systems, e.g., PBQx-TF:eC9-2Cl and PBDB-T:ITIC. More crucially, the elastic modulus of such complex ternary blends can be nicely predicted by a mechanical model. Therefore, incorporating thermoplastic elastomers is a widely applicable and cost-effective strategy to improve mechanical properties of nonfullerene OSCs and beyond.","container-title":"Advanced Materials","DOI":"10.1002/adma.202106732","ISSN":"1521-4095","issue":"49","language":"en","note":"_eprint: https://onlinelibrary.wiley.com/doi/pdf/10.1002/adma.202106732","page":"2106732","source":"Wiley Online Library","title":"Thermoplastic Elastomer Tunes Phase Structure and Promotes Stretchability of High-Efficiency Organic Solar Cells","volume":"33","author":[{"family":"Peng","given":"Zhongxiang"},{"family":"Xian","given":"Kaihu"},{"family":"Cui","given":"Yong"},{"family":"Qi","given":"Qingchun"},{"family":"Liu","given":"Junwei"},{"family":"Xu","given":"Ye"},{"family":"Chai","given":"Yubo"},{"family":"Yang","given":"Chunming"},{"family":"Hou","given":"Jianhui"},{"family":"Geng","given":"Yanhou"},{"family":"Ye","given":"Long"}],"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[109]</w:t>
            </w:r>
            <w:r w:rsidRPr="00B55044">
              <w:rPr>
                <w:rFonts w:eastAsia="Times New Roman"/>
                <w:color w:val="0000FF"/>
                <w:sz w:val="16"/>
                <w:szCs w:val="16"/>
              </w:rPr>
              <w:fldChar w:fldCharType="end"/>
            </w:r>
          </w:p>
        </w:tc>
      </w:tr>
      <w:tr w:rsidR="00D47774" w:rsidRPr="00B55044" w14:paraId="29EFC7B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1B101F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193</w:t>
            </w:r>
          </w:p>
        </w:tc>
        <w:tc>
          <w:tcPr>
            <w:tcW w:w="1525" w:type="pct"/>
            <w:tcBorders>
              <w:top w:val="single" w:sz="4" w:space="0" w:color="auto"/>
              <w:left w:val="nil"/>
              <w:bottom w:val="single" w:sz="4" w:space="0" w:color="auto"/>
              <w:right w:val="nil"/>
            </w:tcBorders>
            <w:shd w:val="clear" w:color="auto" w:fill="auto"/>
            <w:noWrap/>
            <w:vAlign w:val="bottom"/>
            <w:hideMark/>
          </w:tcPr>
          <w:p w14:paraId="2EA554B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17AFF79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PM6:Y6:SEBS (30%)</w:t>
            </w:r>
          </w:p>
        </w:tc>
        <w:tc>
          <w:tcPr>
            <w:tcW w:w="379" w:type="pct"/>
            <w:tcBorders>
              <w:top w:val="single" w:sz="4" w:space="0" w:color="auto"/>
              <w:left w:val="nil"/>
              <w:bottom w:val="single" w:sz="4" w:space="0" w:color="auto"/>
              <w:right w:val="nil"/>
            </w:tcBorders>
            <w:shd w:val="clear" w:color="auto" w:fill="auto"/>
            <w:noWrap/>
            <w:vAlign w:val="bottom"/>
            <w:hideMark/>
          </w:tcPr>
          <w:p w14:paraId="54B9AF5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0.839</w:t>
            </w:r>
          </w:p>
        </w:tc>
        <w:tc>
          <w:tcPr>
            <w:tcW w:w="379" w:type="pct"/>
            <w:tcBorders>
              <w:top w:val="single" w:sz="4" w:space="0" w:color="auto"/>
              <w:left w:val="nil"/>
              <w:bottom w:val="single" w:sz="4" w:space="0" w:color="auto"/>
              <w:right w:val="nil"/>
            </w:tcBorders>
            <w:shd w:val="clear" w:color="auto" w:fill="auto"/>
            <w:noWrap/>
            <w:vAlign w:val="bottom"/>
            <w:hideMark/>
          </w:tcPr>
          <w:p w14:paraId="7288C73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22.33</w:t>
            </w:r>
          </w:p>
        </w:tc>
        <w:tc>
          <w:tcPr>
            <w:tcW w:w="378" w:type="pct"/>
            <w:tcBorders>
              <w:top w:val="single" w:sz="4" w:space="0" w:color="auto"/>
              <w:left w:val="nil"/>
              <w:bottom w:val="single" w:sz="4" w:space="0" w:color="auto"/>
              <w:right w:val="nil"/>
            </w:tcBorders>
            <w:shd w:val="clear" w:color="auto" w:fill="auto"/>
            <w:noWrap/>
            <w:vAlign w:val="bottom"/>
            <w:hideMark/>
          </w:tcPr>
          <w:p w14:paraId="044F79A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60.5</w:t>
            </w:r>
          </w:p>
        </w:tc>
        <w:tc>
          <w:tcPr>
            <w:tcW w:w="381" w:type="pct"/>
            <w:tcBorders>
              <w:top w:val="single" w:sz="4" w:space="0" w:color="auto"/>
              <w:left w:val="nil"/>
              <w:bottom w:val="single" w:sz="4" w:space="0" w:color="auto"/>
              <w:right w:val="nil"/>
            </w:tcBorders>
            <w:shd w:val="clear" w:color="auto" w:fill="auto"/>
            <w:noWrap/>
            <w:vAlign w:val="bottom"/>
            <w:hideMark/>
          </w:tcPr>
          <w:p w14:paraId="77FB9C8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11.34</w:t>
            </w:r>
          </w:p>
        </w:tc>
        <w:tc>
          <w:tcPr>
            <w:tcW w:w="378" w:type="pct"/>
            <w:tcBorders>
              <w:top w:val="single" w:sz="4" w:space="0" w:color="auto"/>
              <w:left w:val="nil"/>
              <w:bottom w:val="single" w:sz="4" w:space="0" w:color="auto"/>
              <w:right w:val="nil"/>
            </w:tcBorders>
            <w:shd w:val="clear" w:color="auto" w:fill="auto"/>
            <w:noWrap/>
            <w:vAlign w:val="bottom"/>
            <w:hideMark/>
          </w:tcPr>
          <w:p w14:paraId="0AB0566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{"citationID":"a2c3lb9o3ph","properties":{"formattedCitation":"[109]","plainCitation":"[109]","noteIndex":0},"citationItems":[{"id":545,"uris":["http://zotero.org/users/12909065/items/LN6XDZKB"],"itemData":{"id":545,"type":"article-journal","abstract":"Top-performance organic solar cells (OSCs) consisting of conjugated polymer donors and nonfullerene small molecule acceptors (NF-SMAs) deliver rapid increases in efficiencies. Nevertheless, many of the polymer donors exhibit high stiffness and small molecule acceptors are very brittle, which limit their applications in wearable devices. Here, a simple and effective strategy is reported to improve the stretchability and reduce the stiffness of high-efficiency polymer:NF-SMA blends and simultaneously maintain the high efficiency by incorporating a low-cost commercial thermoplastic elastomer, polystyrene-block-poly(ethylene-ran-butylene)-block-polystyrene (SEBS). The microstructure, mechanical properties, and photovoltaic performance of PM6:N3 with varied SEBS contents and the molecular weight dependence of SEBS on microstructure and mechanical properties are thoroughly characterized. This strategy for mechanical performance improvement exhibits excellent applicability in some other OSC blend systems, e.g., PBQx-TF:eC9-2Cl and PBDB-T:ITIC. More crucially, the elastic modulus of such complex ternary blends can be nicely predicted by a mechanical model. Therefore, incorporating thermoplastic elastomers is a widely applicable and cost-effective strategy to improve mechanical properties of nonfullerene OSCs and beyond.","container-title":"Advanced Materials","DOI":"10.1002/adma.202106732","ISSN":"1521-4095","issue":"49","language":"en","note":"_eprint: https://onlinelibrary.wiley.com/doi/pdf/10.1002/adma.202106732","page":"2106732","source":"Wiley Online Library","title":"Thermoplastic Elastomer Tunes Phase Structure and Promotes Stretchability of High-Efficiency Organic Solar Cells","volume":"33","author":[{"family":"Peng","given":"Zhongxiang"},{"family":"Xian","given":"Kaihu"},{"family":"Cui","given":"Yong"},{"family":"Qi","given":"Qingchun"},{"family":"Liu","given":"Junwei"},{"family":"Xu","given":"Ye"},{"family":"Chai","given":"Yubo"},{"family":"Yang","given":"Chunming"},{"family":"Hou","given":"Jianhui"},{"family":"Geng","given":"Yanhou"},{"family":"Ye","given":"Long"}],"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[109]</w:t>
            </w:r>
            <w:r w:rsidRPr="00B55044">
              <w:rPr>
                <w:rFonts w:eastAsia="Times New Roman"/>
                <w:color w:val="0000FF"/>
                <w:sz w:val="16"/>
                <w:szCs w:val="16"/>
              </w:rPr>
              <w:fldChar w:fldCharType="end"/>
            </w:r>
          </w:p>
        </w:tc>
      </w:tr>
      <w:tr w:rsidR="00D47774" w:rsidRPr="00B55044" w14:paraId="21BD0CB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ECCD16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194</w:t>
            </w:r>
          </w:p>
        </w:tc>
        <w:tc>
          <w:tcPr>
            <w:tcW w:w="1525" w:type="pct"/>
            <w:tcBorders>
              <w:top w:val="single" w:sz="4" w:space="0" w:color="auto"/>
              <w:left w:val="nil"/>
              <w:bottom w:val="single" w:sz="4" w:space="0" w:color="auto"/>
              <w:right w:val="nil"/>
            </w:tcBorders>
            <w:shd w:val="clear" w:color="auto" w:fill="auto"/>
            <w:noWrap/>
            <w:vAlign w:val="bottom"/>
            <w:hideMark/>
          </w:tcPr>
          <w:p w14:paraId="428B33A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7149DE5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PM6:Y6:Y-T (5%)</w:t>
            </w:r>
          </w:p>
        </w:tc>
        <w:tc>
          <w:tcPr>
            <w:tcW w:w="379" w:type="pct"/>
            <w:tcBorders>
              <w:top w:val="single" w:sz="4" w:space="0" w:color="auto"/>
              <w:left w:val="nil"/>
              <w:bottom w:val="single" w:sz="4" w:space="0" w:color="auto"/>
              <w:right w:val="nil"/>
            </w:tcBorders>
            <w:shd w:val="clear" w:color="auto" w:fill="auto"/>
            <w:noWrap/>
            <w:vAlign w:val="bottom"/>
            <w:hideMark/>
          </w:tcPr>
          <w:p w14:paraId="39E3AAC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6E1BD28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26.37</w:t>
            </w:r>
          </w:p>
        </w:tc>
        <w:tc>
          <w:tcPr>
            <w:tcW w:w="378" w:type="pct"/>
            <w:tcBorders>
              <w:top w:val="single" w:sz="4" w:space="0" w:color="auto"/>
              <w:left w:val="nil"/>
              <w:bottom w:val="single" w:sz="4" w:space="0" w:color="auto"/>
              <w:right w:val="nil"/>
            </w:tcBorders>
            <w:shd w:val="clear" w:color="auto" w:fill="auto"/>
            <w:noWrap/>
            <w:vAlign w:val="bottom"/>
            <w:hideMark/>
          </w:tcPr>
          <w:p w14:paraId="3C68B2B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72.88</w:t>
            </w:r>
          </w:p>
        </w:tc>
        <w:tc>
          <w:tcPr>
            <w:tcW w:w="381" w:type="pct"/>
            <w:tcBorders>
              <w:top w:val="single" w:sz="4" w:space="0" w:color="auto"/>
              <w:left w:val="nil"/>
              <w:bottom w:val="single" w:sz="4" w:space="0" w:color="auto"/>
              <w:right w:val="nil"/>
            </w:tcBorders>
            <w:shd w:val="clear" w:color="auto" w:fill="auto"/>
            <w:noWrap/>
            <w:vAlign w:val="bottom"/>
            <w:hideMark/>
          </w:tcPr>
          <w:p w14:paraId="179D653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16.28</w:t>
            </w:r>
          </w:p>
        </w:tc>
        <w:tc>
          <w:tcPr>
            <w:tcW w:w="378" w:type="pct"/>
            <w:tcBorders>
              <w:top w:val="single" w:sz="4" w:space="0" w:color="auto"/>
              <w:left w:val="nil"/>
              <w:bottom w:val="single" w:sz="4" w:space="0" w:color="auto"/>
              <w:right w:val="nil"/>
            </w:tcBorders>
            <w:shd w:val="clear" w:color="auto" w:fill="auto"/>
            <w:noWrap/>
            <w:vAlign w:val="bottom"/>
            <w:hideMark/>
          </w:tcPr>
          <w:p w14:paraId="0C4081B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{"citationID":"air50kp3np","properties":{"formattedCitation":"[110]","plainCitation":"[110]","noteIndex":0},"citationItems":[{"id":544,"uris":["http://zotero.org/users/12909065/items/S3WJKSZE"],"itemData":{"id":544,"type":"article-journal","abstract":"Constructing ternary structure is one of the most effective design strategies to break the efficiency ceiling of traditional binary organic solar cells (OSCs). Here, a new Y-series non-fullerene acceptor (Y-T) featuring 1,3-diethyl-2-thiobarbituric acid (DTBA) end groups is developed as a third component for the classical PM6:Y6 binary system. The champion power conversion efficiency of ternary OSCs is increased from 15.64% to 17.37% via incorporating 10 wt% Y-T, with the simultaneously enhanced open-circuit voltage (Voc) of 0.865 V, a short-circuit current density (Jsc) of 26.90 mA/cm2, and a fill factor (FF) of 74.97%. The positive contribution of Y-T in the ternary blend can be ascribed to the improved spectroscopic complementarity and enhanced exciton utilization ratio due to the additional energy transfer process. Moreover, Y-T guest acceptor plays a critical role in adjusting the active layer morphology and facilitating three-dimension phase separation, resulting in a balanced charge transport and enhanced FF of ternary OSCs. This work provides insight into the molecular design of non-fullerene acceptor and suggest guidelines to rationally select guest component for ternary OSCs.","container-title":"Nano Energy","DOI":"10.1016/j.nanoen.2021.106538","ISSN":"2211-2855","journalAbbreviation":"Nano Energy","page":"106538","source":"ScienceDirect","title":"Boosting photovoltaic performance of ternary organic solar cells by integrating a multi-functional guest acceptor","volume":"90","author":[{"family":"Yin","given":"Yuli"},{"family":"Zhan","given":"Lingling"},{"family":"Liu","given":"Ming"},{"family":"Yang","given":"Chongqing"},{"family":"Guo","given":"Fengyun"},{"family":"Liu","given":"Yi"},{"family":"Gao","given":"Shiyong"},{"family":"Zhao","given":"Liancheng"},{"family":"Chen","given":"Hongzheng"},{"family":"Zhang","given":"Yong"}],"issued":{"date-parts":[["2021",12,1]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[110]</w:t>
            </w:r>
            <w:r w:rsidRPr="00B55044">
              <w:rPr>
                <w:rFonts w:eastAsia="Times New Roman"/>
                <w:color w:val="0000FF"/>
                <w:sz w:val="16"/>
                <w:szCs w:val="16"/>
              </w:rPr>
              <w:fldChar w:fldCharType="end"/>
            </w:r>
          </w:p>
        </w:tc>
      </w:tr>
      <w:tr w:rsidR="00D47774" w:rsidRPr="00B55044" w14:paraId="6640CC4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C9CB98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195</w:t>
            </w:r>
          </w:p>
        </w:tc>
        <w:tc>
          <w:tcPr>
            <w:tcW w:w="1525" w:type="pct"/>
            <w:tcBorders>
              <w:top w:val="single" w:sz="4" w:space="0" w:color="auto"/>
              <w:left w:val="nil"/>
              <w:bottom w:val="single" w:sz="4" w:space="0" w:color="auto"/>
              <w:right w:val="nil"/>
            </w:tcBorders>
            <w:shd w:val="clear" w:color="auto" w:fill="auto"/>
            <w:noWrap/>
            <w:vAlign w:val="bottom"/>
            <w:hideMark/>
          </w:tcPr>
          <w:p w14:paraId="5385E74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53065F0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PM6:Y6:Y-T (10%)</w:t>
            </w:r>
          </w:p>
        </w:tc>
        <w:tc>
          <w:tcPr>
            <w:tcW w:w="379" w:type="pct"/>
            <w:tcBorders>
              <w:top w:val="single" w:sz="4" w:space="0" w:color="auto"/>
              <w:left w:val="nil"/>
              <w:bottom w:val="single" w:sz="4" w:space="0" w:color="auto"/>
              <w:right w:val="nil"/>
            </w:tcBorders>
            <w:shd w:val="clear" w:color="auto" w:fill="auto"/>
            <w:noWrap/>
            <w:vAlign w:val="bottom"/>
            <w:hideMark/>
          </w:tcPr>
          <w:p w14:paraId="3678F1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0.865</w:t>
            </w:r>
          </w:p>
        </w:tc>
        <w:tc>
          <w:tcPr>
            <w:tcW w:w="379" w:type="pct"/>
            <w:tcBorders>
              <w:top w:val="single" w:sz="4" w:space="0" w:color="auto"/>
              <w:left w:val="nil"/>
              <w:bottom w:val="single" w:sz="4" w:space="0" w:color="auto"/>
              <w:right w:val="nil"/>
            </w:tcBorders>
            <w:shd w:val="clear" w:color="auto" w:fill="auto"/>
            <w:noWrap/>
            <w:vAlign w:val="bottom"/>
            <w:hideMark/>
          </w:tcPr>
          <w:p w14:paraId="58C55C1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26.9</w:t>
            </w:r>
          </w:p>
        </w:tc>
        <w:tc>
          <w:tcPr>
            <w:tcW w:w="378" w:type="pct"/>
            <w:tcBorders>
              <w:top w:val="single" w:sz="4" w:space="0" w:color="auto"/>
              <w:left w:val="nil"/>
              <w:bottom w:val="single" w:sz="4" w:space="0" w:color="auto"/>
              <w:right w:val="nil"/>
            </w:tcBorders>
            <w:shd w:val="clear" w:color="auto" w:fill="auto"/>
            <w:noWrap/>
            <w:vAlign w:val="bottom"/>
            <w:hideMark/>
          </w:tcPr>
          <w:p w14:paraId="2669BCD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74.97</w:t>
            </w:r>
          </w:p>
        </w:tc>
        <w:tc>
          <w:tcPr>
            <w:tcW w:w="381" w:type="pct"/>
            <w:tcBorders>
              <w:top w:val="single" w:sz="4" w:space="0" w:color="auto"/>
              <w:left w:val="nil"/>
              <w:bottom w:val="single" w:sz="4" w:space="0" w:color="auto"/>
              <w:right w:val="nil"/>
            </w:tcBorders>
            <w:shd w:val="clear" w:color="auto" w:fill="auto"/>
            <w:noWrap/>
            <w:vAlign w:val="bottom"/>
            <w:hideMark/>
          </w:tcPr>
          <w:p w14:paraId="417D39B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17.37</w:t>
            </w:r>
          </w:p>
        </w:tc>
        <w:tc>
          <w:tcPr>
            <w:tcW w:w="378" w:type="pct"/>
            <w:tcBorders>
              <w:top w:val="single" w:sz="4" w:space="0" w:color="auto"/>
              <w:left w:val="nil"/>
              <w:bottom w:val="single" w:sz="4" w:space="0" w:color="auto"/>
              <w:right w:val="nil"/>
            </w:tcBorders>
            <w:shd w:val="clear" w:color="auto" w:fill="auto"/>
            <w:noWrap/>
            <w:vAlign w:val="bottom"/>
            <w:hideMark/>
          </w:tcPr>
          <w:p w14:paraId="7C1C56F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{"citationID":"a2f769ndtse","properties":{"formattedCitation":"[110]","plainCitation":"[110]","noteIndex":0},"citationItems":[{"id":544,"uris":["http://zotero.org/users/12909065/items/S3WJKSZE"],"itemData":{"id":544,"type":"article-journal","abstract":"Constructing ternary structure is one of the most effective design strategies to break the efficiency ceiling of traditional binary organic solar cells (OSCs). Here, a new Y-series non-fullerene acceptor (Y-T) featuring 1,3-diethyl-2-thiobarbituric acid (DTBA) end groups is developed as a third component for the classical PM6:Y6 binary system. The champion power conversion efficiency of ternary OSCs is increased from 15.64% to 17.37% via incorporating 10 wt% Y-T, with the simultaneously enhanced open-circuit voltage (Voc) of 0.865 V, a short-circuit current density (Jsc) of 26.90 mA/cm2, and a fill factor (FF) of 74.97%. The positive contribution of Y-T in the ternary blend can be ascribed to the improved spectroscopic complementarity and enhanced exciton utilization ratio due to the additional energy transfer process. Moreover, Y-T guest acceptor plays a critical role in adjusting the active layer morphology and facilitating three-dimension phase separation, resulting in a balanced charge transport and enhanced FF of ternary OSCs. This work provides insight into the molecular design of non-fullerene acceptor and suggest guidelines to rationally select guest component for ternary OSCs.","container-title":"Nano Energy","DOI":"10.1016/j.nanoen.2021.106538","ISSN":"2211-2855","journalAbbreviation":"Nano Energy","page":"106538","source":"ScienceDirect","title":"Boosting photovoltaic performance of ternary organic solar cells by integrating a multi-functional guest acceptor","volume":"90","author":[{"family":"Yin","given":"Yuli"},{"family":"Zhan","given":"Lingling"},{"family":"Liu","given":"Ming"},{"family":"Yang","given":"Chongqing"},{"family":"Guo","given":"Fengyun"},{"family":"Liu","given":"Yi"},{"family":"Gao","given":"Shiyong"},{"family":"Zhao","given":"Liancheng"},{"family":"Chen","given":"Hongzheng"},{"family":"Zhang","given":"Yong"}],"issued":{"date-parts":[["2021",12,1]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[110]</w:t>
            </w:r>
            <w:r w:rsidRPr="00B55044">
              <w:rPr>
                <w:rFonts w:eastAsia="Times New Roman"/>
                <w:color w:val="0000FF"/>
                <w:sz w:val="16"/>
                <w:szCs w:val="16"/>
              </w:rPr>
              <w:fldChar w:fldCharType="end"/>
            </w:r>
          </w:p>
        </w:tc>
      </w:tr>
      <w:tr w:rsidR="00D47774" w:rsidRPr="00B55044" w14:paraId="090751C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EEA4A9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196</w:t>
            </w:r>
          </w:p>
        </w:tc>
        <w:tc>
          <w:tcPr>
            <w:tcW w:w="1525" w:type="pct"/>
            <w:tcBorders>
              <w:top w:val="single" w:sz="4" w:space="0" w:color="auto"/>
              <w:left w:val="nil"/>
              <w:bottom w:val="single" w:sz="4" w:space="0" w:color="auto"/>
              <w:right w:val="nil"/>
            </w:tcBorders>
            <w:shd w:val="clear" w:color="auto" w:fill="auto"/>
            <w:noWrap/>
            <w:vAlign w:val="bottom"/>
            <w:hideMark/>
          </w:tcPr>
          <w:p w14:paraId="5D3D3C0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1135C8D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PM6:Y6:Y-T (15%)</w:t>
            </w:r>
          </w:p>
        </w:tc>
        <w:tc>
          <w:tcPr>
            <w:tcW w:w="379" w:type="pct"/>
            <w:tcBorders>
              <w:top w:val="single" w:sz="4" w:space="0" w:color="auto"/>
              <w:left w:val="nil"/>
              <w:bottom w:val="single" w:sz="4" w:space="0" w:color="auto"/>
              <w:right w:val="nil"/>
            </w:tcBorders>
            <w:shd w:val="clear" w:color="auto" w:fill="auto"/>
            <w:noWrap/>
            <w:vAlign w:val="bottom"/>
            <w:hideMark/>
          </w:tcPr>
          <w:p w14:paraId="5765CAB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0.869</w:t>
            </w:r>
          </w:p>
        </w:tc>
        <w:tc>
          <w:tcPr>
            <w:tcW w:w="379" w:type="pct"/>
            <w:tcBorders>
              <w:top w:val="single" w:sz="4" w:space="0" w:color="auto"/>
              <w:left w:val="nil"/>
              <w:bottom w:val="single" w:sz="4" w:space="0" w:color="auto"/>
              <w:right w:val="nil"/>
            </w:tcBorders>
            <w:shd w:val="clear" w:color="auto" w:fill="auto"/>
            <w:noWrap/>
            <w:vAlign w:val="bottom"/>
            <w:hideMark/>
          </w:tcPr>
          <w:p w14:paraId="771E078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26.28</w:t>
            </w:r>
          </w:p>
        </w:tc>
        <w:tc>
          <w:tcPr>
            <w:tcW w:w="378" w:type="pct"/>
            <w:tcBorders>
              <w:top w:val="single" w:sz="4" w:space="0" w:color="auto"/>
              <w:left w:val="nil"/>
              <w:bottom w:val="single" w:sz="4" w:space="0" w:color="auto"/>
              <w:right w:val="nil"/>
            </w:tcBorders>
            <w:shd w:val="clear" w:color="auto" w:fill="auto"/>
            <w:noWrap/>
            <w:vAlign w:val="bottom"/>
            <w:hideMark/>
          </w:tcPr>
          <w:p w14:paraId="561378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75.24</w:t>
            </w:r>
          </w:p>
        </w:tc>
        <w:tc>
          <w:tcPr>
            <w:tcW w:w="381" w:type="pct"/>
            <w:tcBorders>
              <w:top w:val="single" w:sz="4" w:space="0" w:color="auto"/>
              <w:left w:val="nil"/>
              <w:bottom w:val="single" w:sz="4" w:space="0" w:color="auto"/>
              <w:right w:val="nil"/>
            </w:tcBorders>
            <w:shd w:val="clear" w:color="auto" w:fill="auto"/>
            <w:noWrap/>
            <w:vAlign w:val="bottom"/>
            <w:hideMark/>
          </w:tcPr>
          <w:p w14:paraId="441595E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17.11</w:t>
            </w:r>
          </w:p>
        </w:tc>
        <w:tc>
          <w:tcPr>
            <w:tcW w:w="378" w:type="pct"/>
            <w:tcBorders>
              <w:top w:val="single" w:sz="4" w:space="0" w:color="auto"/>
              <w:left w:val="nil"/>
              <w:bottom w:val="single" w:sz="4" w:space="0" w:color="auto"/>
              <w:right w:val="nil"/>
            </w:tcBorders>
            <w:shd w:val="clear" w:color="auto" w:fill="auto"/>
            <w:noWrap/>
            <w:vAlign w:val="bottom"/>
            <w:hideMark/>
          </w:tcPr>
          <w:p w14:paraId="0B24421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{"citationID":"a1kpjkrnu62","properties":{"formattedCitation":"[110]","plainCitation":"[110]","noteIndex":0},"citationItems":[{"id":544,"uris":["http://zotero.org/users/12909065/items/S3WJKSZE"],"itemData":{"id":544,"type":"article-journal","abstract":"Constructing ternary structure is one of the most effective design strategies to break the efficiency ceiling of traditional binary organic solar cells (OSCs). Here, a new Y-series non-fullerene acceptor (Y-T) featuring 1,3-diethyl-2-thiobarbituric acid (DTBA) end groups is developed as a third component for the classical PM6:Y6 binary system. The champion power conversion efficiency of ternary OSCs is increased from 15.64% to 17.37% via incorporating 10 wt% Y-T, with the simultaneously enhanced open-circuit voltage (Voc) of 0.865 V, a short-circuit current density (Jsc) of 26.90 mA/cm2, and a fill factor (FF) of 74.97%. The positive contribution of Y-T in the ternary blend can be ascribed to the improved spectroscopic complementarity and enhanced exciton utilization ratio due to the additional energy transfer process. Moreover, Y-T guest acceptor plays a critical role in adjusting the active layer morphology and facilitating three-dimension phase separation, resulting in a balanced charge transport and enhanced FF of ternary OSCs. This work provides insight into the molecular design of non-fullerene acceptor and suggest guidelines to rationally select guest component for ternary OSCs.","container-title":"Nano Energy","DOI":"10.1016/j.nanoen.2021.106538","ISSN":"2211-2855","journalAbbreviation":"Nano Energy","page":"106538","source":"ScienceDirect","title":"Boosting photovoltaic performance of ternary organic solar cells by integrating a multi-functional guest acceptor","volume":"90","author":[{"family":"Yin","given":"Yuli"},{"family":"Zhan","given":"Lingling"},{"family":"Liu","given":"Ming"},{"family":"Yang","given":"Chongqing"},{"family":"Guo","given":"Fengyun"},{"family":"Liu","given":"Yi"},{"family":"Gao","given":"Shiyong"},{"family":"Zhao","given":"Liancheng"},{"family":"Chen","given":"Hongzheng"},{"family":"Zhang","given":"Yong"}],"issued":{"date-parts":[["2021",12,1]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[110]</w:t>
            </w:r>
            <w:r w:rsidRPr="00B55044">
              <w:rPr>
                <w:rFonts w:eastAsia="Times New Roman"/>
                <w:color w:val="0000FF"/>
                <w:sz w:val="16"/>
                <w:szCs w:val="16"/>
              </w:rPr>
              <w:fldChar w:fldCharType="end"/>
            </w:r>
          </w:p>
        </w:tc>
      </w:tr>
      <w:tr w:rsidR="00D47774" w:rsidRPr="00B55044" w14:paraId="6025E4A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8D923B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197</w:t>
            </w:r>
          </w:p>
        </w:tc>
        <w:tc>
          <w:tcPr>
            <w:tcW w:w="1525" w:type="pct"/>
            <w:tcBorders>
              <w:top w:val="single" w:sz="4" w:space="0" w:color="auto"/>
              <w:left w:val="nil"/>
              <w:bottom w:val="single" w:sz="4" w:space="0" w:color="auto"/>
              <w:right w:val="nil"/>
            </w:tcBorders>
            <w:shd w:val="clear" w:color="auto" w:fill="auto"/>
            <w:noWrap/>
            <w:vAlign w:val="bottom"/>
            <w:hideMark/>
          </w:tcPr>
          <w:p w14:paraId="3D3B4CC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26FDB53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PM6:PBDTDTzT:Y6</w:t>
            </w:r>
          </w:p>
        </w:tc>
        <w:tc>
          <w:tcPr>
            <w:tcW w:w="379" w:type="pct"/>
            <w:tcBorders>
              <w:top w:val="single" w:sz="4" w:space="0" w:color="auto"/>
              <w:left w:val="nil"/>
              <w:bottom w:val="single" w:sz="4" w:space="0" w:color="auto"/>
              <w:right w:val="nil"/>
            </w:tcBorders>
            <w:shd w:val="clear" w:color="auto" w:fill="auto"/>
            <w:noWrap/>
            <w:vAlign w:val="bottom"/>
            <w:hideMark/>
          </w:tcPr>
          <w:p w14:paraId="6E1E55B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1CCB8A6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26.3</w:t>
            </w:r>
          </w:p>
        </w:tc>
        <w:tc>
          <w:tcPr>
            <w:tcW w:w="378" w:type="pct"/>
            <w:tcBorders>
              <w:top w:val="single" w:sz="4" w:space="0" w:color="auto"/>
              <w:left w:val="nil"/>
              <w:bottom w:val="single" w:sz="4" w:space="0" w:color="auto"/>
              <w:right w:val="nil"/>
            </w:tcBorders>
            <w:shd w:val="clear" w:color="auto" w:fill="auto"/>
            <w:noWrap/>
            <w:vAlign w:val="bottom"/>
            <w:hideMark/>
          </w:tcPr>
          <w:p w14:paraId="47885B9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74.9</w:t>
            </w:r>
          </w:p>
        </w:tc>
        <w:tc>
          <w:tcPr>
            <w:tcW w:w="381" w:type="pct"/>
            <w:tcBorders>
              <w:top w:val="single" w:sz="4" w:space="0" w:color="auto"/>
              <w:left w:val="nil"/>
              <w:bottom w:val="single" w:sz="4" w:space="0" w:color="auto"/>
              <w:right w:val="nil"/>
            </w:tcBorders>
            <w:shd w:val="clear" w:color="auto" w:fill="auto"/>
            <w:noWrap/>
            <w:vAlign w:val="bottom"/>
            <w:hideMark/>
          </w:tcPr>
          <w:p w14:paraId="552DA99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w:t>
            </w:r>
          </w:p>
        </w:tc>
        <w:tc>
          <w:tcPr>
            <w:tcW w:w="378" w:type="pct"/>
            <w:tcBorders>
              <w:top w:val="single" w:sz="4" w:space="0" w:color="auto"/>
              <w:left w:val="nil"/>
              <w:bottom w:val="single" w:sz="4" w:space="0" w:color="auto"/>
              <w:right w:val="nil"/>
            </w:tcBorders>
            <w:shd w:val="clear" w:color="auto" w:fill="auto"/>
            <w:noWrap/>
            <w:vAlign w:val="bottom"/>
            <w:hideMark/>
          </w:tcPr>
          <w:p w14:paraId="53CFA62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{"citationID":"a1fjaqcprv8","properties":{"formattedCitation":"[111]","plainCitation":"[111]","noteIndex":0},"citationItems":[{"id":543,"uris":["http://zotero.org/users/12909065/items/WPYYLM49"],"itemData":{"id":543,"type":"article-journal","abstract":"Ternary strategy is one of the most effective methods for improving the power conversion efficiency (PCE) of organic solar cells (OSCs). The selection of the third component is very important for improving device performance. In this study, we demonstrated a simple and effective copolymer, PBDTDTzT, which is based on a benzo[1,2-b:4,5-b’]dithiophene donor unit and 2,5-di(thiazol-2-yl)thiophene acceptor unit, as the third component in the PM6:Y6 system. An optimal ternary device based on PM6:PBDTDTzT:Y6 (w/w = 1:0.1:1.1) achieved an impressive PCE of 17.0%. Detailed studies revealed that the loading of PBDTDTzT into the PM6:Y6 blend can not only optimize the ladder-type arrangement of energy levels but can also further optimize the morphology of the blend film, leading to balanced charge transport and reduced charge recombination simultaneously. Enhanced device performance is a result of the strong crystallization of PBDTDTzT and good compatibility between PBDTDTzT and PM6:Y6 blends. The results indicate that PBDTDTzT is a promising third component of high-efficiency ternary OSCs.","container-title":"Chemical Engineering Journal","DOI":"10.1016/j.cej.2021.130575","ISSN":"1385-8947","journalAbbreviation":"Chemical Engineering Journal","page":"130575","source":"ScienceDirect","title":"Enhanced short circuit current density and efficiency of ternary organic solar cells by addition of a simple copolymer third component","volume":"425","author":[{"family":"Wang","given":"Kun"},{"family":"Wang","given":"Huiyan"},{"family":"Li","given":"Guifen"},{"family":"Hu","given":"Yiming"},{"family":"Guo","given":"Xia"},{"family":"Zhang","given":"Maojie"},{"family":"Li","given":"Yongfang"}],"issued":{"date-parts":[["2021",12,1]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[111]</w:t>
            </w:r>
            <w:r w:rsidRPr="00B55044">
              <w:rPr>
                <w:rFonts w:eastAsia="Times New Roman"/>
                <w:color w:val="0000FF"/>
                <w:sz w:val="16"/>
                <w:szCs w:val="16"/>
              </w:rPr>
              <w:fldChar w:fldCharType="end"/>
            </w:r>
          </w:p>
        </w:tc>
      </w:tr>
      <w:tr w:rsidR="00D47774" w:rsidRPr="00B55044" w14:paraId="03E0FC2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8C1ED9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198</w:t>
            </w:r>
          </w:p>
        </w:tc>
        <w:tc>
          <w:tcPr>
            <w:tcW w:w="1525" w:type="pct"/>
            <w:tcBorders>
              <w:top w:val="single" w:sz="4" w:space="0" w:color="auto"/>
              <w:left w:val="nil"/>
              <w:bottom w:val="single" w:sz="4" w:space="0" w:color="auto"/>
              <w:right w:val="nil"/>
            </w:tcBorders>
            <w:shd w:val="clear" w:color="auto" w:fill="auto"/>
            <w:noWrap/>
            <w:vAlign w:val="bottom"/>
            <w:hideMark/>
          </w:tcPr>
          <w:p w14:paraId="32C50E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4CC471A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PM6:BTP4F–C9-20:Y7- BO</w:t>
            </w:r>
          </w:p>
        </w:tc>
        <w:tc>
          <w:tcPr>
            <w:tcW w:w="379" w:type="pct"/>
            <w:tcBorders>
              <w:top w:val="single" w:sz="4" w:space="0" w:color="auto"/>
              <w:left w:val="nil"/>
              <w:bottom w:val="single" w:sz="4" w:space="0" w:color="auto"/>
              <w:right w:val="nil"/>
            </w:tcBorders>
            <w:shd w:val="clear" w:color="auto" w:fill="auto"/>
            <w:noWrap/>
            <w:vAlign w:val="bottom"/>
            <w:hideMark/>
          </w:tcPr>
          <w:p w14:paraId="27480CA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121A0A0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w:t>
            </w:r>
          </w:p>
        </w:tc>
        <w:tc>
          <w:tcPr>
            <w:tcW w:w="378" w:type="pct"/>
            <w:tcBorders>
              <w:top w:val="single" w:sz="4" w:space="0" w:color="auto"/>
              <w:left w:val="nil"/>
              <w:bottom w:val="single" w:sz="4" w:space="0" w:color="auto"/>
              <w:right w:val="nil"/>
            </w:tcBorders>
            <w:shd w:val="clear" w:color="auto" w:fill="auto"/>
            <w:noWrap/>
            <w:vAlign w:val="bottom"/>
            <w:hideMark/>
          </w:tcPr>
          <w:p w14:paraId="0BFEB01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74.8</w:t>
            </w:r>
          </w:p>
        </w:tc>
        <w:tc>
          <w:tcPr>
            <w:tcW w:w="381" w:type="pct"/>
            <w:tcBorders>
              <w:top w:val="single" w:sz="4" w:space="0" w:color="auto"/>
              <w:left w:val="nil"/>
              <w:bottom w:val="single" w:sz="4" w:space="0" w:color="auto"/>
              <w:right w:val="nil"/>
            </w:tcBorders>
            <w:shd w:val="clear" w:color="auto" w:fill="auto"/>
            <w:noWrap/>
            <w:vAlign w:val="bottom"/>
            <w:hideMark/>
          </w:tcPr>
          <w:p w14:paraId="44B53EA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17.3</w:t>
            </w:r>
          </w:p>
        </w:tc>
        <w:tc>
          <w:tcPr>
            <w:tcW w:w="378" w:type="pct"/>
            <w:tcBorders>
              <w:top w:val="single" w:sz="4" w:space="0" w:color="auto"/>
              <w:left w:val="nil"/>
              <w:bottom w:val="single" w:sz="4" w:space="0" w:color="auto"/>
              <w:right w:val="nil"/>
            </w:tcBorders>
            <w:shd w:val="clear" w:color="auto" w:fill="auto"/>
            <w:noWrap/>
            <w:vAlign w:val="bottom"/>
            <w:hideMark/>
          </w:tcPr>
          <w:p w14:paraId="7830D17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{"citationID":"a1ebmsg9vv","properties":{"formattedCitation":"[112]","plainCitation":"[112]","noteIndex":0},"citationItems":[{"id":542,"uris":["http://zotero.org/users/12909065/items/HHLLJLUW"],"itemData":{"id":542,"type":"article-journal","abstract":"The morphology of the photoactive layer within organic solar cells (OSCs) plays a key role in determining device performance. In addition to the film forming conditions, miscibility between donors and acceptors critically derives the corresponding morphology, which can be empirically evaluated by the Flory–Huggins interaction (χ). Herein, a new non-fullerene acceptor (NFA) with long alkyl chains and fluorinated end groups, BTP-4F–C9-20, is reported, which has sufficient solubility in common solvents and good miscibility with the polymer donor PM6. PM6:BTP-4F–C9-20 binary OSC achieved a maximum PCE of 16.5%, as a result of fine phase separation that creates abundant heterojunctions for exciton dissociation but insufficient bi-continuous pathways for charge transport. A chlorinated NFA Y7-BO with higher χ with PM6 is introduced into the PM6:BTP-4F–C9-20 host system, which increases phase separation with slightly enlarged domains to better shape the charge transport pathways. The PM6:BTP-4F–C9-20:Y7-BO (1:1.1:0.1) ternary OSC achieved a higher PCE of 17.3%, although Y7-BO provides limited complementary light absorption. This work demonstrates that the Flory–Huggins interaction is an effective parameter to fine tune the morphology of ternary OSCs to promote photovoltaic performance.","container-title":"Polymer","DOI":"10.1016/j.polymer.2021.124322","ISSN":"0032-3861","journalAbbreviation":"Polymer","page":"124322","source":"ScienceDirect","title":"Reduced miscibility between highly compatible non-fullerene acceptor and donor enables efficient ternary organic solar cells","volume":"236","author":[{"family":"Cheng","given":"Shili"},{"family":"Wang","given":"Liang"},{"family":"Guo","given":"Chuanhang"},{"family":"Li","given":"Donghui"},{"family":"Cai","given":"Jinlong"},{"family":"Miao","given":"Weiqiang"},{"family":"Du","given":"Baocai"},{"family":"Wang","given":"Pang"},{"family":"Liu","given":"Dan"},{"family":"Wang","given":"Tao"}],"issued":{"date-parts":[["2021",11,30]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[112]</w:t>
            </w:r>
            <w:r w:rsidRPr="00B55044">
              <w:rPr>
                <w:rFonts w:eastAsia="Times New Roman"/>
                <w:color w:val="0000FF"/>
                <w:sz w:val="16"/>
                <w:szCs w:val="16"/>
              </w:rPr>
              <w:fldChar w:fldCharType="end"/>
            </w:r>
          </w:p>
        </w:tc>
      </w:tr>
      <w:tr w:rsidR="00D47774" w:rsidRPr="00B55044" w14:paraId="5ECE18B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9354A7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199</w:t>
            </w:r>
          </w:p>
        </w:tc>
        <w:tc>
          <w:tcPr>
            <w:tcW w:w="1525" w:type="pct"/>
            <w:tcBorders>
              <w:top w:val="single" w:sz="4" w:space="0" w:color="auto"/>
              <w:left w:val="nil"/>
              <w:bottom w:val="single" w:sz="4" w:space="0" w:color="auto"/>
              <w:right w:val="nil"/>
            </w:tcBorders>
            <w:shd w:val="clear" w:color="auto" w:fill="auto"/>
            <w:noWrap/>
            <w:vAlign w:val="bottom"/>
            <w:hideMark/>
          </w:tcPr>
          <w:p w14:paraId="3C7788B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50C465C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PM6:BPR-SCl:BTPeC9</w:t>
            </w:r>
          </w:p>
        </w:tc>
        <w:tc>
          <w:tcPr>
            <w:tcW w:w="379" w:type="pct"/>
            <w:tcBorders>
              <w:top w:val="single" w:sz="4" w:space="0" w:color="auto"/>
              <w:left w:val="nil"/>
              <w:bottom w:val="single" w:sz="4" w:space="0" w:color="auto"/>
              <w:right w:val="nil"/>
            </w:tcBorders>
            <w:shd w:val="clear" w:color="auto" w:fill="auto"/>
            <w:noWrap/>
            <w:vAlign w:val="bottom"/>
            <w:hideMark/>
          </w:tcPr>
          <w:p w14:paraId="1981CEA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0.856</w:t>
            </w:r>
          </w:p>
        </w:tc>
        <w:tc>
          <w:tcPr>
            <w:tcW w:w="379" w:type="pct"/>
            <w:tcBorders>
              <w:top w:val="single" w:sz="4" w:space="0" w:color="auto"/>
              <w:left w:val="nil"/>
              <w:bottom w:val="single" w:sz="4" w:space="0" w:color="auto"/>
              <w:right w:val="nil"/>
            </w:tcBorders>
            <w:shd w:val="clear" w:color="auto" w:fill="auto"/>
            <w:noWrap/>
            <w:vAlign w:val="bottom"/>
            <w:hideMark/>
          </w:tcPr>
          <w:p w14:paraId="23E18F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27.13</w:t>
            </w:r>
          </w:p>
        </w:tc>
        <w:tc>
          <w:tcPr>
            <w:tcW w:w="378" w:type="pct"/>
            <w:tcBorders>
              <w:top w:val="single" w:sz="4" w:space="0" w:color="auto"/>
              <w:left w:val="nil"/>
              <w:bottom w:val="single" w:sz="4" w:space="0" w:color="auto"/>
              <w:right w:val="nil"/>
            </w:tcBorders>
            <w:shd w:val="clear" w:color="auto" w:fill="auto"/>
            <w:noWrap/>
            <w:vAlign w:val="bottom"/>
            <w:hideMark/>
          </w:tcPr>
          <w:p w14:paraId="1F3B6EE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77.6</w:t>
            </w:r>
          </w:p>
        </w:tc>
        <w:tc>
          <w:tcPr>
            <w:tcW w:w="381" w:type="pct"/>
            <w:tcBorders>
              <w:top w:val="single" w:sz="4" w:space="0" w:color="auto"/>
              <w:left w:val="nil"/>
              <w:bottom w:val="single" w:sz="4" w:space="0" w:color="auto"/>
              <w:right w:val="nil"/>
            </w:tcBorders>
            <w:shd w:val="clear" w:color="auto" w:fill="auto"/>
            <w:noWrap/>
            <w:vAlign w:val="bottom"/>
            <w:hideMark/>
          </w:tcPr>
          <w:p w14:paraId="461B407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18.02</w:t>
            </w:r>
          </w:p>
        </w:tc>
        <w:tc>
          <w:tcPr>
            <w:tcW w:w="378" w:type="pct"/>
            <w:tcBorders>
              <w:top w:val="single" w:sz="4" w:space="0" w:color="auto"/>
              <w:left w:val="nil"/>
              <w:bottom w:val="single" w:sz="4" w:space="0" w:color="auto"/>
              <w:right w:val="nil"/>
            </w:tcBorders>
            <w:shd w:val="clear" w:color="auto" w:fill="auto"/>
            <w:noWrap/>
            <w:vAlign w:val="bottom"/>
            <w:hideMark/>
          </w:tcPr>
          <w:p w14:paraId="1E84917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{"citationID":"a16mp57e9mk","properties":{"formattedCitation":"[113]","plainCitation":"[113]","noteIndex":0},"citationItems":[{"id":541,"uris":["http://zotero.org/users/12909065/items/RY98NZYC"],"itemData":{"id":541,"type":"article-journal","abstract":"Ternary strategy is one of the most effective approaches to boost the power conversion efficiency (PCE) of organic solar cells (OSCs) and overcome the trade-off between photovoltage and photocurrent that sets limitation on the performance enhancement of regular binary devices. Herein, a small-molecule (SM) donor BPR-SCl, with deep-lying highest occupied molecular orbital (HOMO) energy level and strong crystallinity, was elaborately selected as the third component in the PM6:BTP-eC9 host binary blend to fabricate ternary organic solar cells (TOSCs). The doping of BPR-SCl is found to enhance the crystallinity of the photoactive layers but slightly reduce the donor/acceptor phase separation scale. The TOSCs with 20 wt% BPR-SCl in donors delivered a high PCE of 18.02% together with the enhanced Voc and Jsc, which was ascribed to the deep-lying HOMO energy level, broadened absorption spectra, improved exciton separation process and faster hole transfer. To the best of our knowledge, this is the highest PCE for TOSCs using SM donor as the third component reported so far, which provides new insight in achieving high-performance TOSCs.","container-title":"Chemical Engineering Journal","DOI":"10.1016/j.cej.2021.130397","ISSN":"1385-8947","journalAbbreviation":"Chemical Engineering Journal","page":"130397","source":"ScienceDirect","title":"18.02% Efficiency ternary organic solar cells with a small-molecular donor third component","volume":"424","author":[{"family":"Chen","given":"Xianjie"},{"family":"Wang","given":"Di"},{"family":"Wang","given":"Zukun"},{"family":"Li","given":"Yuhao"},{"family":"Zhu","given":"Haiming"},{"family":"Lu","given":"Xinhui"},{"family":"Chen","given":"Wanzhi"},{"family":"Qiu","given":"Huayu"},{"family":"Zhang","given":"Qian"}],"issued":{"date-parts":[["2021",11,15]]}}}],"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[113]</w:t>
            </w:r>
            <w:r w:rsidRPr="00B55044">
              <w:rPr>
                <w:rFonts w:eastAsia="Times New Roman"/>
                <w:color w:val="0000FF"/>
                <w:sz w:val="16"/>
                <w:szCs w:val="16"/>
              </w:rPr>
              <w:fldChar w:fldCharType="end"/>
            </w:r>
          </w:p>
        </w:tc>
      </w:tr>
      <w:tr w:rsidR="00D47774" w:rsidRPr="00B55044" w14:paraId="1F422E8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397EA9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200</w:t>
            </w:r>
          </w:p>
        </w:tc>
        <w:tc>
          <w:tcPr>
            <w:tcW w:w="1525" w:type="pct"/>
            <w:tcBorders>
              <w:top w:val="single" w:sz="4" w:space="0" w:color="auto"/>
              <w:left w:val="nil"/>
              <w:bottom w:val="single" w:sz="4" w:space="0" w:color="auto"/>
              <w:right w:val="nil"/>
            </w:tcBorders>
            <w:shd w:val="clear" w:color="auto" w:fill="auto"/>
            <w:noWrap/>
            <w:vAlign w:val="bottom"/>
            <w:hideMark/>
          </w:tcPr>
          <w:p w14:paraId="160EA9B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ITO/PEDOT:PSS/AL/NEA/Al</w:t>
            </w:r>
          </w:p>
        </w:tc>
        <w:tc>
          <w:tcPr>
            <w:tcW w:w="1288" w:type="pct"/>
            <w:tcBorders>
              <w:top w:val="single" w:sz="4" w:space="0" w:color="auto"/>
              <w:left w:val="nil"/>
              <w:bottom w:val="single" w:sz="4" w:space="0" w:color="auto"/>
              <w:right w:val="nil"/>
            </w:tcBorders>
            <w:shd w:val="clear" w:color="auto" w:fill="auto"/>
            <w:noWrap/>
            <w:vAlign w:val="bottom"/>
            <w:hideMark/>
          </w:tcPr>
          <w:p w14:paraId="4B90F68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PM6:Y6:IT-M</w:t>
            </w:r>
          </w:p>
        </w:tc>
        <w:tc>
          <w:tcPr>
            <w:tcW w:w="379" w:type="pct"/>
            <w:tcBorders>
              <w:top w:val="single" w:sz="4" w:space="0" w:color="auto"/>
              <w:left w:val="nil"/>
              <w:bottom w:val="single" w:sz="4" w:space="0" w:color="auto"/>
              <w:right w:val="nil"/>
            </w:tcBorders>
            <w:shd w:val="clear" w:color="auto" w:fill="auto"/>
            <w:noWrap/>
            <w:vAlign w:val="bottom"/>
            <w:hideMark/>
          </w:tcPr>
          <w:p w14:paraId="134E128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0.855</w:t>
            </w:r>
          </w:p>
        </w:tc>
        <w:tc>
          <w:tcPr>
            <w:tcW w:w="379" w:type="pct"/>
            <w:tcBorders>
              <w:top w:val="single" w:sz="4" w:space="0" w:color="auto"/>
              <w:left w:val="nil"/>
              <w:bottom w:val="single" w:sz="4" w:space="0" w:color="auto"/>
              <w:right w:val="nil"/>
            </w:tcBorders>
            <w:shd w:val="clear" w:color="auto" w:fill="auto"/>
            <w:noWrap/>
            <w:vAlign w:val="bottom"/>
            <w:hideMark/>
          </w:tcPr>
          <w:p w14:paraId="3529801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26.91</w:t>
            </w:r>
          </w:p>
        </w:tc>
        <w:tc>
          <w:tcPr>
            <w:tcW w:w="378" w:type="pct"/>
            <w:tcBorders>
              <w:top w:val="single" w:sz="4" w:space="0" w:color="auto"/>
              <w:left w:val="nil"/>
              <w:bottom w:val="single" w:sz="4" w:space="0" w:color="auto"/>
              <w:right w:val="nil"/>
            </w:tcBorders>
            <w:shd w:val="clear" w:color="auto" w:fill="auto"/>
            <w:noWrap/>
            <w:vAlign w:val="bottom"/>
            <w:hideMark/>
          </w:tcPr>
          <w:p w14:paraId="1423AAE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68.7</w:t>
            </w:r>
          </w:p>
        </w:tc>
        <w:tc>
          <w:tcPr>
            <w:tcW w:w="381" w:type="pct"/>
            <w:tcBorders>
              <w:top w:val="single" w:sz="4" w:space="0" w:color="auto"/>
              <w:left w:val="nil"/>
              <w:bottom w:val="single" w:sz="4" w:space="0" w:color="auto"/>
              <w:right w:val="nil"/>
            </w:tcBorders>
            <w:shd w:val="clear" w:color="auto" w:fill="auto"/>
            <w:noWrap/>
            <w:vAlign w:val="bottom"/>
            <w:hideMark/>
          </w:tcPr>
          <w:p w14:paraId="3761254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15.8</w:t>
            </w:r>
          </w:p>
        </w:tc>
        <w:tc>
          <w:tcPr>
            <w:tcW w:w="378" w:type="pct"/>
            <w:tcBorders>
              <w:top w:val="single" w:sz="4" w:space="0" w:color="auto"/>
              <w:left w:val="nil"/>
              <w:bottom w:val="single" w:sz="4" w:space="0" w:color="auto"/>
              <w:right w:val="nil"/>
            </w:tcBorders>
            <w:shd w:val="clear" w:color="auto" w:fill="auto"/>
            <w:noWrap/>
            <w:vAlign w:val="bottom"/>
            <w:hideMark/>
          </w:tcPr>
          <w:p w14:paraId="24DF22A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{"citationID":"akvpikthgu","properties":{"formattedCitation":"[114]","plainCitation":"[114]","noteIndex":0},"citationItems":[{"id":540,"uris":["http://zotero.org/users/12909065/items/NZC7GKPV"],"itemData":{"id":540,"type":"article-journal","abstract":"A series of imide-based small molecules, namely NA, NAA, and NEA with simple structures, were designed and synthesized by introducing different amine side-chains into the benzene unit of imide, which were used as cathode interfacial materials in organic solar cells (OSCs). The amine side-chain substitution positions were systematically investigated with these small-molecule imides. Compared with NA without amide chains-NAA, and NEA, with 3-dimethylaminopropylamine and ethylenediamine chains, respectively-show bathochromic shifts in absorption, decreased band gaps, and higher highest occupied molecular orbital (HOMO) energy levels. A power conversion efficiency (PCE) of 15.04 % was obtained with the NEA-based as-cast OSCs with a high open-circuit voltage and fill factor for PM6 : Y6 blend and the maximum PCE of 15.80 % was reached for as-cast PM6 : Y6 : IT-M ternary OSCs. NEA exhibits better conductivity, higher electron mobility, and stronger the capability of lower work function of cathode among three molecules, affording OSCs with better photovoltaic performance. Additionally, these three molecules show excellent thermal stability both in solution and in films at 150 °C. The results indicate that imide-based small molecules are promising cathode interfacial materials for commercial OSCs.","container-title":"ChemSusChem","DOI":"10.1002/cssc.202101383","ISSN":"1864-564X","issue":"21","language":"en","license":"© 2021 Wiley-VCH GmbH","note":"_eprint: https://onlinelibrary.wiley.com/doi/pdf/10.1002/cssc.202101383","page":"4783-4792","source":"Wiley Online Library","title":"Aminonaphthalimide-Based Molecular Cathode Interlayers for As-Cast Organic Solar Cells","volume":"14","author":[{"family":"Zhao","given":"Yong"},{"family":"Liu","given":"Yang"},{"family":"Liu","given":"Xiaojie"},{"family":"Kang","given":"Xiao"},{"family":"Yu","given":"Liangmin"},{"family":"Dai","given":"Shuixing"},{"family":"Sun","given":"Mingliang"}],"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[114]</w:t>
            </w:r>
            <w:r w:rsidRPr="00B55044">
              <w:rPr>
                <w:rFonts w:eastAsia="Times New Roman"/>
                <w:color w:val="0000FF"/>
                <w:sz w:val="16"/>
                <w:szCs w:val="16"/>
              </w:rPr>
              <w:fldChar w:fldCharType="end"/>
            </w:r>
          </w:p>
        </w:tc>
      </w:tr>
      <w:tr w:rsidR="00D47774" w:rsidRPr="00B55044" w14:paraId="3D83DEC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90099A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201</w:t>
            </w:r>
          </w:p>
        </w:tc>
        <w:tc>
          <w:tcPr>
            <w:tcW w:w="1525" w:type="pct"/>
            <w:tcBorders>
              <w:top w:val="single" w:sz="4" w:space="0" w:color="auto"/>
              <w:left w:val="nil"/>
              <w:bottom w:val="single" w:sz="4" w:space="0" w:color="auto"/>
              <w:right w:val="nil"/>
            </w:tcBorders>
            <w:shd w:val="clear" w:color="auto" w:fill="auto"/>
            <w:noWrap/>
            <w:vAlign w:val="bottom"/>
            <w:hideMark/>
          </w:tcPr>
          <w:p w14:paraId="3714ACD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ITO/PEDOT:PSS/AL/Zracac/Al</w:t>
            </w:r>
          </w:p>
        </w:tc>
        <w:tc>
          <w:tcPr>
            <w:tcW w:w="1288" w:type="pct"/>
            <w:tcBorders>
              <w:top w:val="single" w:sz="4" w:space="0" w:color="auto"/>
              <w:left w:val="nil"/>
              <w:bottom w:val="single" w:sz="4" w:space="0" w:color="auto"/>
              <w:right w:val="nil"/>
            </w:tcBorders>
            <w:shd w:val="clear" w:color="auto" w:fill="auto"/>
            <w:noWrap/>
            <w:vAlign w:val="bottom"/>
            <w:hideMark/>
          </w:tcPr>
          <w:p w14:paraId="2F37548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PM6:Y6:ZY2</w:t>
            </w:r>
          </w:p>
        </w:tc>
        <w:tc>
          <w:tcPr>
            <w:tcW w:w="379" w:type="pct"/>
            <w:tcBorders>
              <w:top w:val="single" w:sz="4" w:space="0" w:color="auto"/>
              <w:left w:val="nil"/>
              <w:bottom w:val="single" w:sz="4" w:space="0" w:color="auto"/>
              <w:right w:val="nil"/>
            </w:tcBorders>
            <w:shd w:val="clear" w:color="auto" w:fill="auto"/>
            <w:noWrap/>
            <w:vAlign w:val="bottom"/>
            <w:hideMark/>
          </w:tcPr>
          <w:p w14:paraId="78B371A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171BD1A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25.95</w:t>
            </w:r>
          </w:p>
        </w:tc>
        <w:tc>
          <w:tcPr>
            <w:tcW w:w="378" w:type="pct"/>
            <w:tcBorders>
              <w:top w:val="single" w:sz="4" w:space="0" w:color="auto"/>
              <w:left w:val="nil"/>
              <w:bottom w:val="single" w:sz="4" w:space="0" w:color="auto"/>
              <w:right w:val="nil"/>
            </w:tcBorders>
            <w:shd w:val="clear" w:color="auto" w:fill="auto"/>
            <w:noWrap/>
            <w:vAlign w:val="bottom"/>
            <w:hideMark/>
          </w:tcPr>
          <w:p w14:paraId="2146161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w:t>
            </w:r>
          </w:p>
        </w:tc>
        <w:tc>
          <w:tcPr>
            <w:tcW w:w="381" w:type="pct"/>
            <w:tcBorders>
              <w:top w:val="single" w:sz="4" w:space="0" w:color="auto"/>
              <w:left w:val="nil"/>
              <w:bottom w:val="single" w:sz="4" w:space="0" w:color="auto"/>
              <w:right w:val="nil"/>
            </w:tcBorders>
            <w:shd w:val="clear" w:color="auto" w:fill="auto"/>
            <w:noWrap/>
            <w:vAlign w:val="bottom"/>
            <w:hideMark/>
          </w:tcPr>
          <w:p w14:paraId="18CA027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17.23</w:t>
            </w:r>
          </w:p>
        </w:tc>
        <w:tc>
          <w:tcPr>
            <w:tcW w:w="378" w:type="pct"/>
            <w:tcBorders>
              <w:top w:val="single" w:sz="4" w:space="0" w:color="auto"/>
              <w:left w:val="nil"/>
              <w:bottom w:val="single" w:sz="4" w:space="0" w:color="auto"/>
              <w:right w:val="nil"/>
            </w:tcBorders>
            <w:shd w:val="clear" w:color="auto" w:fill="auto"/>
            <w:noWrap/>
            <w:vAlign w:val="bottom"/>
            <w:hideMark/>
          </w:tcPr>
          <w:p w14:paraId="18CE4D9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{"citationID":"aredh9n78b","properties":{"formattedCitation":"[115]","plainCitation":"[115]","noteIndex":0},"citationItems":[{"id":538,"uris":["http://zotero.org/users/12909065/items/V546CEU9"],"itemData":{"id":538,"type":"article-journal","abstract":"Organic solar cells based on narrow bandgap small-molecule acceptors (SMAs) with highly crystalline characteristics have attracted great attentions for their superiority in obtaining high photovoltaic efficiency. Employing highly crystalline SMAs to enhance power conversion efficiencies (PCEs) by regulating and controlling morphology and compatibility of donor and acceptor materials has turned out to be an effective approach. In this study, we synthesized three different crystalline SMAs by using fluorine substitution on alkoxyphenyl conjugated side chains to modulate the relationship of crystallinity and morphologies, namely ZY1 (zero F atoms), ZY2 (two F atoms), and ZY3 (four F atoms). The three SMAs show the broad absorption edges and similar frontier orbital energy levels, generating the analogical (over 0.9 ​V) open circuit voltage (VOC) of the polymer solar cells (PSCs). As a result, the PM6:ZY2-based PSCs yield a PCE of 10.81% with a VOC of 0.95 ​V, a short-circuit current density (JSC) of 16.154 ​mA ​cm−2, and a fill factor (FF) of 0.71, which is higher than that of 9.17% (PM6:ZY1) and 6.37% (PM6:ZY3). And the PCE (17.23%) of the PM6:Y6:ZY2 based ternary PSCs is also higher than that of 16.32% PM6:Y6 based binary device. Obviously, the results demonstrate that adding fluorine atoms on the conjugated side chains to construct high crystalline materials is a positive strategy to effectively increase the efficiencies of binary and ternary PSCs. © 2021 Chongqing Xixin Tianyuan Data &amp; Information Co., Ltd","archive":"Scopus","container-title":"Materials Reports: Energy","DOI":"10.1016/j.matre.2021.100059","ISSN":"2666-9358","issue":"4","language":"English","source":"Scopus","title":"Highly crystalline acceptor materials based on benzodithiophene with different amount of fluorine substitution on alkoxyphenyl conjugated side chains for organic photovoltaics","volume":"1","author":[{"family":"Zhang","given":"Y."},{"family":"Ma","given":"R."},{"family":"Wang","given":"Y."},{"family":"Wang","given":"Y."},{"family":"Liu","given":"T."},{"family":"Xiao","given":"Y."},{"family":"Cho","given":"Y."},{"family":"Luo","given":"Z."},{"family":"Lu","given":"X."},{"family":"Zhao","given":"L."},{"family":"Yuan","given":"Z."},{"family":"Yang","given":"C."},{"family":"Yan","given":"H."},{"family":"Chen","given":"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[115]</w:t>
            </w:r>
            <w:r w:rsidRPr="00B55044">
              <w:rPr>
                <w:rFonts w:eastAsia="Times New Roman"/>
                <w:color w:val="0000FF"/>
                <w:sz w:val="16"/>
                <w:szCs w:val="16"/>
              </w:rPr>
              <w:fldChar w:fldCharType="end"/>
            </w:r>
          </w:p>
        </w:tc>
      </w:tr>
      <w:tr w:rsidR="00D47774" w:rsidRPr="00B55044" w14:paraId="4E14C5D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705EC8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202</w:t>
            </w:r>
          </w:p>
        </w:tc>
        <w:tc>
          <w:tcPr>
            <w:tcW w:w="1525" w:type="pct"/>
            <w:tcBorders>
              <w:top w:val="single" w:sz="4" w:space="0" w:color="auto"/>
              <w:left w:val="nil"/>
              <w:bottom w:val="single" w:sz="4" w:space="0" w:color="auto"/>
              <w:right w:val="nil"/>
            </w:tcBorders>
            <w:shd w:val="clear" w:color="auto" w:fill="auto"/>
            <w:noWrap/>
            <w:vAlign w:val="bottom"/>
            <w:hideMark/>
          </w:tcPr>
          <w:p w14:paraId="094FE36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8D33FD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PM6:PBB1-Cl:Y6-BO-4</w:t>
            </w:r>
          </w:p>
        </w:tc>
        <w:tc>
          <w:tcPr>
            <w:tcW w:w="379" w:type="pct"/>
            <w:tcBorders>
              <w:top w:val="single" w:sz="4" w:space="0" w:color="auto"/>
              <w:left w:val="nil"/>
              <w:bottom w:val="single" w:sz="4" w:space="0" w:color="auto"/>
              <w:right w:val="nil"/>
            </w:tcBorders>
            <w:shd w:val="clear" w:color="auto" w:fill="auto"/>
            <w:noWrap/>
            <w:vAlign w:val="bottom"/>
            <w:hideMark/>
          </w:tcPr>
          <w:p w14:paraId="3B44935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0.866</w:t>
            </w:r>
          </w:p>
        </w:tc>
        <w:tc>
          <w:tcPr>
            <w:tcW w:w="379" w:type="pct"/>
            <w:tcBorders>
              <w:top w:val="single" w:sz="4" w:space="0" w:color="auto"/>
              <w:left w:val="nil"/>
              <w:bottom w:val="single" w:sz="4" w:space="0" w:color="auto"/>
              <w:right w:val="nil"/>
            </w:tcBorders>
            <w:shd w:val="clear" w:color="auto" w:fill="auto"/>
            <w:noWrap/>
            <w:vAlign w:val="bottom"/>
            <w:hideMark/>
          </w:tcPr>
          <w:p w14:paraId="50D442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26.84</w:t>
            </w:r>
          </w:p>
        </w:tc>
        <w:tc>
          <w:tcPr>
            <w:tcW w:w="378" w:type="pct"/>
            <w:tcBorders>
              <w:top w:val="single" w:sz="4" w:space="0" w:color="auto"/>
              <w:left w:val="nil"/>
              <w:bottom w:val="single" w:sz="4" w:space="0" w:color="auto"/>
              <w:right w:val="nil"/>
            </w:tcBorders>
            <w:shd w:val="clear" w:color="auto" w:fill="auto"/>
            <w:noWrap/>
            <w:vAlign w:val="bottom"/>
            <w:hideMark/>
          </w:tcPr>
          <w:p w14:paraId="79F8915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74.63</w:t>
            </w:r>
          </w:p>
        </w:tc>
        <w:tc>
          <w:tcPr>
            <w:tcW w:w="381" w:type="pct"/>
            <w:tcBorders>
              <w:top w:val="single" w:sz="4" w:space="0" w:color="auto"/>
              <w:left w:val="nil"/>
              <w:bottom w:val="single" w:sz="4" w:space="0" w:color="auto"/>
              <w:right w:val="nil"/>
            </w:tcBorders>
            <w:shd w:val="clear" w:color="auto" w:fill="auto"/>
            <w:noWrap/>
            <w:vAlign w:val="bottom"/>
            <w:hideMark/>
          </w:tcPr>
          <w:p w14:paraId="4FECDC1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17.36</w:t>
            </w:r>
          </w:p>
        </w:tc>
        <w:tc>
          <w:tcPr>
            <w:tcW w:w="378" w:type="pct"/>
            <w:tcBorders>
              <w:top w:val="single" w:sz="4" w:space="0" w:color="auto"/>
              <w:left w:val="nil"/>
              <w:bottom w:val="single" w:sz="4" w:space="0" w:color="auto"/>
              <w:right w:val="nil"/>
            </w:tcBorders>
            <w:shd w:val="clear" w:color="auto" w:fill="auto"/>
            <w:noWrap/>
            <w:vAlign w:val="bottom"/>
            <w:hideMark/>
          </w:tcPr>
          <w:p w14:paraId="4CC5748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{"citationID":"a114t9938la","properties":{"formattedCitation":"[116]","plainCitation":"[116]","noteIndex":0},"citationItems":[{"id":537,"uris":["http://zotero.org/users/12909065/items/88DC88A7"],"itemData":{"id":537,"type":"article-journal","abstract":"The flexibility and stability of organic solar cells (OSCs) are becoming hotspot research due to their practical applications. Molecular arrangement and network morphology of the active layer are important factors affecting the flexibility and stability of OSCs. Here, two polymer donors (PBB1-Cl and PBB2-Cl) with different side chains were investigated as the third component to finely regulate morphology and molecular accumulation of the active layer to improve the performance of OSCs. Both third components show complementary absorption spectra and good compatibility. The good planarity of PBB1-Cl and PBB2-Cl significantly increases intermolecular overlap to promote the charge transfer in the active layer. In addition, the steric hindrance of the one-dimensional side chain of PBB1-Cl enhanced the intermolecular close packing and entanglement of the active layer. As a result, the tensile endurance of PM6:PBB1-Cl:Y6-BO-4Cl ternary blend film reached 4.6 times (26.86%) of the PM6:Y6-BO-4Cl binary blend film. Furthermore, the power conversion efficiency (PCE) increased from 15.83% for PM6:Y6-BO-4Cl based binary OSCs to 17.36% for PBB1-Cl based rigid ternary OSCs, and the flexible OSCs increased from 13.44% to 14.96%, respectively. 17.36% efficiency of PBB1-Cl based ternary OSCs is the highest value in OSCs with elongation at the break of active layer exceeding 25% so far. Further, the PCEs of PBB1-Cl-based flexible ternary OSCs still remain above 74% within 500 cycles of bending with a diameter of 10 mm or annealing at 100 °C for 24 hours, which is mainly attributed to the smaller surface energy difference between PBB1-Cl-based ternary blend film and transport layers, higher glass transition temperature and larger elongation at break of the active layer. All results suggest that enhancing intermolecular overlapping fasten packing in the active layer has great potential in improving the photovoltaic performance, mechanical and thermal stability of OSCs. © 2021 The Royal Society of Chemistry.","archive":"Scopus","container-title":"Energy and Environmental Science","DOI":"10.1039/d1ee02320a","ISSN":"1754-5692","issue":"11","language":"English","page":"5968-5978","source":"Scopus","title":"Overlapping fasten packing enables efficient dual-donor ternary organic solar cells with super stretchability","volume":"14","author":[{"family":"Wang","given":"J."},{"family":"Han","given":"C."},{"family":"Bi","given":"F."},{"family":"Huang","given":"D."},{"family":"Wu","given":"Y."},{"family":"Li","given":"Y."},{"family":"Wen","given":"S."},{"family":"Han","given":"L."},{"family":"Yang","given":"C."},{"family":"Bao","given":"X."},{"family":"Chu","given":"J."}],"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[116]</w:t>
            </w:r>
            <w:r w:rsidRPr="00B55044">
              <w:rPr>
                <w:rFonts w:eastAsia="Times New Roman"/>
                <w:color w:val="0000FF"/>
                <w:sz w:val="16"/>
                <w:szCs w:val="16"/>
              </w:rPr>
              <w:fldChar w:fldCharType="end"/>
            </w:r>
          </w:p>
        </w:tc>
      </w:tr>
      <w:tr w:rsidR="00D47774" w:rsidRPr="00B55044" w14:paraId="3DBA7DC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DF5F48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203</w:t>
            </w:r>
          </w:p>
        </w:tc>
        <w:tc>
          <w:tcPr>
            <w:tcW w:w="1525" w:type="pct"/>
            <w:tcBorders>
              <w:top w:val="single" w:sz="4" w:space="0" w:color="auto"/>
              <w:left w:val="nil"/>
              <w:bottom w:val="single" w:sz="4" w:space="0" w:color="auto"/>
              <w:right w:val="nil"/>
            </w:tcBorders>
            <w:shd w:val="clear" w:color="auto" w:fill="auto"/>
            <w:noWrap/>
            <w:vAlign w:val="bottom"/>
            <w:hideMark/>
          </w:tcPr>
          <w:p w14:paraId="2FB21CA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F02356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PM6:PBB2-Cl:Y6-BO-4</w:t>
            </w:r>
          </w:p>
        </w:tc>
        <w:tc>
          <w:tcPr>
            <w:tcW w:w="379" w:type="pct"/>
            <w:tcBorders>
              <w:top w:val="single" w:sz="4" w:space="0" w:color="auto"/>
              <w:left w:val="nil"/>
              <w:bottom w:val="single" w:sz="4" w:space="0" w:color="auto"/>
              <w:right w:val="nil"/>
            </w:tcBorders>
            <w:shd w:val="clear" w:color="auto" w:fill="auto"/>
            <w:noWrap/>
            <w:vAlign w:val="bottom"/>
            <w:hideMark/>
          </w:tcPr>
          <w:p w14:paraId="72C822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02D8314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26.77</w:t>
            </w:r>
          </w:p>
        </w:tc>
        <w:tc>
          <w:tcPr>
            <w:tcW w:w="378" w:type="pct"/>
            <w:tcBorders>
              <w:top w:val="single" w:sz="4" w:space="0" w:color="auto"/>
              <w:left w:val="nil"/>
              <w:bottom w:val="single" w:sz="4" w:space="0" w:color="auto"/>
              <w:right w:val="nil"/>
            </w:tcBorders>
            <w:shd w:val="clear" w:color="auto" w:fill="auto"/>
            <w:noWrap/>
            <w:vAlign w:val="bottom"/>
            <w:hideMark/>
          </w:tcPr>
          <w:p w14:paraId="3AE618E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75.04</w:t>
            </w:r>
          </w:p>
        </w:tc>
        <w:tc>
          <w:tcPr>
            <w:tcW w:w="381" w:type="pct"/>
            <w:tcBorders>
              <w:top w:val="single" w:sz="4" w:space="0" w:color="auto"/>
              <w:left w:val="nil"/>
              <w:bottom w:val="single" w:sz="4" w:space="0" w:color="auto"/>
              <w:right w:val="nil"/>
            </w:tcBorders>
            <w:shd w:val="clear" w:color="auto" w:fill="auto"/>
            <w:noWrap/>
            <w:vAlign w:val="bottom"/>
            <w:hideMark/>
          </w:tcPr>
          <w:p w14:paraId="28570A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17.09</w:t>
            </w:r>
          </w:p>
        </w:tc>
        <w:tc>
          <w:tcPr>
            <w:tcW w:w="378" w:type="pct"/>
            <w:tcBorders>
              <w:top w:val="single" w:sz="4" w:space="0" w:color="auto"/>
              <w:left w:val="nil"/>
              <w:bottom w:val="single" w:sz="4" w:space="0" w:color="auto"/>
              <w:right w:val="nil"/>
            </w:tcBorders>
            <w:shd w:val="clear" w:color="auto" w:fill="auto"/>
            <w:noWrap/>
            <w:vAlign w:val="bottom"/>
            <w:hideMark/>
          </w:tcPr>
          <w:p w14:paraId="2E2E352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{"citationID":"ajm2oraq62","properties":{"formattedCitation":"[116]","plainCitation":"[116]","noteIndex":0},"citationItems":[{"id":537,"uris":["http://zotero.org/users/12909065/items/88DC88A7"],"itemData":{"id":537,"type":"article-journal","abstract":"The flexibility and stability of organic solar cells (OSCs) are becoming hotspot research due to their practical applications. Molecular arrangement and network morphology of the active layer are important factors affecting the flexibility and stability of OSCs. Here, two polymer donors (PBB1-Cl and PBB2-Cl) with different side chains were investigated as the third component to finely regulate morphology and molecular accumulation of the active layer to improve the performance of OSCs. Both third components show complementary absorption spectra and good compatibility. The good planarity of PBB1-Cl and PBB2-Cl significantly increases intermolecular overlap to promote the charge transfer in the active layer. In addition, the steric hindrance of the one-dimensional side chain of PBB1-Cl enhanced the intermolecular close packing and entanglement of the active layer. As a result, the tensile endurance of PM6:PBB1-Cl:Y6-BO-4Cl ternary blend film reached 4.6 times (26.86%) of the PM6:Y6-BO-4Cl binary blend film. Furthermore, the power conversion efficiency (PCE) increased from 15.83% for PM6:Y6-BO-4Cl based binary OSCs to 17.36% for PBB1-Cl based rigid ternary OSCs, and the flexible OSCs increased from 13.44% to 14.96%, respectively. 17.36% efficiency of PBB1-Cl based ternary OSCs is the highest value in OSCs with elongation at the break of active layer exceeding 25% so far. Further, the PCEs of PBB1-Cl-based flexible ternary OSCs still remain above 74% within 500 cycles of bending with a diameter of 10 mm or annealing at 100 °C for 24 hours, which is mainly attributed to the smaller surface energy difference between PBB1-Cl-based ternary blend film and transport layers, higher glass transition temperature and larger elongation at break of the active layer. All results suggest that enhancing intermolecular overlapping fasten packing in the active layer has great potential in improving the photovoltaic performance, mechanical and thermal stability of OSCs. © 2021 The Royal Society of Chemistry.","archive":"Scopus","container-title":"Energy and Environmental Science","DOI":"10.1039/d1ee02320a","ISSN":"1754-5692","issue":"11","language":"English","page":"5968-5978","source":"Scopus","title":"Overlapping fasten packing enables efficient dual-donor ternary organic solar cells with super stretchability","volume":"14","author":[{"family":"Wang","given":"J."},{"family":"Han","given":"C."},{"family":"Bi","given":"F."},{"family":"Huang","given":"D."},{"family":"Wu","given":"Y."},{"family":"Li","given":"Y."},{"family":"Wen","given":"S."},{"family":"Han","given":"L."},{"family":"Yang","given":"C."},{"family":"Bao","given":"X."},{"family":"Chu","given":"J."}],"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[116]</w:t>
            </w:r>
            <w:r w:rsidRPr="00B55044">
              <w:rPr>
                <w:rFonts w:eastAsia="Times New Roman"/>
                <w:color w:val="0000FF"/>
                <w:sz w:val="16"/>
                <w:szCs w:val="16"/>
              </w:rPr>
              <w:fldChar w:fldCharType="end"/>
            </w:r>
          </w:p>
        </w:tc>
      </w:tr>
      <w:tr w:rsidR="00D47774" w:rsidRPr="00B55044" w14:paraId="4C56896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677F5E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204</w:t>
            </w:r>
          </w:p>
        </w:tc>
        <w:tc>
          <w:tcPr>
            <w:tcW w:w="1525" w:type="pct"/>
            <w:tcBorders>
              <w:top w:val="single" w:sz="4" w:space="0" w:color="auto"/>
              <w:left w:val="nil"/>
              <w:bottom w:val="single" w:sz="4" w:space="0" w:color="auto"/>
              <w:right w:val="nil"/>
            </w:tcBorders>
            <w:shd w:val="clear" w:color="auto" w:fill="auto"/>
            <w:noWrap/>
            <w:vAlign w:val="bottom"/>
            <w:hideMark/>
          </w:tcPr>
          <w:p w14:paraId="3320E0F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0F62C22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PM6:PM7:M36</w:t>
            </w:r>
          </w:p>
        </w:tc>
        <w:tc>
          <w:tcPr>
            <w:tcW w:w="379" w:type="pct"/>
            <w:tcBorders>
              <w:top w:val="single" w:sz="4" w:space="0" w:color="auto"/>
              <w:left w:val="nil"/>
              <w:bottom w:val="single" w:sz="4" w:space="0" w:color="auto"/>
              <w:right w:val="nil"/>
            </w:tcBorders>
            <w:shd w:val="clear" w:color="auto" w:fill="auto"/>
            <w:noWrap/>
            <w:vAlign w:val="bottom"/>
            <w:hideMark/>
          </w:tcPr>
          <w:p w14:paraId="5ABF90B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w:t>
            </w:r>
          </w:p>
        </w:tc>
        <w:tc>
          <w:tcPr>
            <w:tcW w:w="379" w:type="pct"/>
            <w:tcBorders>
              <w:top w:val="single" w:sz="4" w:space="0" w:color="auto"/>
              <w:left w:val="nil"/>
              <w:bottom w:val="single" w:sz="4" w:space="0" w:color="auto"/>
              <w:right w:val="nil"/>
            </w:tcBorders>
            <w:shd w:val="clear" w:color="auto" w:fill="auto"/>
            <w:noWrap/>
            <w:vAlign w:val="bottom"/>
            <w:hideMark/>
          </w:tcPr>
          <w:p w14:paraId="021F6C9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24.3</w:t>
            </w:r>
          </w:p>
        </w:tc>
        <w:tc>
          <w:tcPr>
            <w:tcW w:w="378" w:type="pct"/>
            <w:tcBorders>
              <w:top w:val="single" w:sz="4" w:space="0" w:color="auto"/>
              <w:left w:val="nil"/>
              <w:bottom w:val="single" w:sz="4" w:space="0" w:color="auto"/>
              <w:right w:val="nil"/>
            </w:tcBorders>
            <w:shd w:val="clear" w:color="auto" w:fill="auto"/>
            <w:noWrap/>
            <w:vAlign w:val="bottom"/>
            <w:hideMark/>
          </w:tcPr>
          <w:p w14:paraId="0A95818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72.6</w:t>
            </w:r>
          </w:p>
        </w:tc>
        <w:tc>
          <w:tcPr>
            <w:tcW w:w="381" w:type="pct"/>
            <w:tcBorders>
              <w:top w:val="single" w:sz="4" w:space="0" w:color="auto"/>
              <w:left w:val="nil"/>
              <w:bottom w:val="single" w:sz="4" w:space="0" w:color="auto"/>
              <w:right w:val="nil"/>
            </w:tcBorders>
            <w:shd w:val="clear" w:color="auto" w:fill="auto"/>
            <w:noWrap/>
            <w:vAlign w:val="bottom"/>
            <w:hideMark/>
          </w:tcPr>
          <w:p w14:paraId="2495B82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15.6</w:t>
            </w:r>
          </w:p>
        </w:tc>
        <w:tc>
          <w:tcPr>
            <w:tcW w:w="378" w:type="pct"/>
            <w:tcBorders>
              <w:top w:val="single" w:sz="4" w:space="0" w:color="auto"/>
              <w:left w:val="nil"/>
              <w:bottom w:val="single" w:sz="4" w:space="0" w:color="auto"/>
              <w:right w:val="nil"/>
            </w:tcBorders>
            <w:shd w:val="clear" w:color="auto" w:fill="auto"/>
            <w:noWrap/>
            <w:vAlign w:val="bottom"/>
            <w:hideMark/>
          </w:tcPr>
          <w:p w14:paraId="1EC6D14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{"citationID":"a20cvqd4l5d","properties":{"formattedCitation":"[117]","plainCitation":"[117]","noteIndex":0},"citationItems":[{"id":536,"uris":["http://zotero.org/users/12909065/items/I7KILVK3"],"itemData":{"id":536,"type":"article-journal","abstract":"Despite the substantial climb of the power conversion efficiency (PCE) of organic solar cells (OSCs), the majority of processing solvent remains halogenated and stand as a critical issue for commercialization. Herein, a halogen-free solvent system consisting of toluene (Tol) and 1-phenylnaphthalene (PN) is used to replace the traditional halogenated chloroform (CF) and1-chloronaphthalene (CN) for the processing of the PM6:M36 OSC, reducing the maximum PCE from 15.0% to 13.3%. Hot-casting is demonstrated to boost the maximum PCE of halogen-free solvents processed OSCs back to 15.2%. The preheated substrate fastens the evaporation of Tol and enables similar film-forming kinetics to CF, resulting in the inhibition of immoderate molecular aggregation and excessive phase separation. Ternary OSCs, with either another donor or acceptor as the third component, can further improve device PCE to 15.8%, confirming the versatile photovoltaic systems that this hot-casting method can be applied to. Encouragingly, the hot-casting processed binary and ternary OSCs also exhibit retained storage stability. Therefore, hot-casting is demonstrated as a superior strategy to fabricate OSCs without efficiency and stability loss using halogen-free solvents. © 2021 Wiley-VCH GmbH","archive":"Scopus","container-title":"Advanced Functional Materials","DOI":"10.1002/adfm.202105794","ISSN":"1616-301X","issue":"45","language":"English","source":"Scopus","title":"Hot-Casting Boosts Efficiency of Halogen-Free Solvent Processed Non-Fullerene Organic Solar Cells","volume":"31","author":[{"family":"Du","given":"B."},{"family":"Ma","given":"Y."},{"family":"Guo","given":"C."},{"family":"Cai","given":"J."},{"family":"Li","given":"D."},{"family":"Cheng","given":"S."},{"family":"Liu","given":"D."},{"family":"Zheng","given":"Q."},{"family":"Wang","given":"T."}],"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[117]</w:t>
            </w:r>
            <w:r w:rsidRPr="00B55044">
              <w:rPr>
                <w:rFonts w:eastAsia="Times New Roman"/>
                <w:color w:val="0000FF"/>
                <w:sz w:val="16"/>
                <w:szCs w:val="16"/>
              </w:rPr>
              <w:fldChar w:fldCharType="end"/>
            </w:r>
          </w:p>
        </w:tc>
      </w:tr>
      <w:tr w:rsidR="00D47774" w:rsidRPr="00B55044" w14:paraId="251E556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EE34F3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205</w:t>
            </w:r>
          </w:p>
        </w:tc>
        <w:tc>
          <w:tcPr>
            <w:tcW w:w="1525" w:type="pct"/>
            <w:tcBorders>
              <w:top w:val="single" w:sz="4" w:space="0" w:color="auto"/>
              <w:left w:val="nil"/>
              <w:bottom w:val="single" w:sz="4" w:space="0" w:color="auto"/>
              <w:right w:val="nil"/>
            </w:tcBorders>
            <w:shd w:val="clear" w:color="auto" w:fill="auto"/>
            <w:noWrap/>
            <w:vAlign w:val="bottom"/>
            <w:hideMark/>
          </w:tcPr>
          <w:p w14:paraId="6162B1B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2248B74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PM6:M36:ITCC-M</w:t>
            </w:r>
          </w:p>
        </w:tc>
        <w:tc>
          <w:tcPr>
            <w:tcW w:w="379" w:type="pct"/>
            <w:tcBorders>
              <w:top w:val="single" w:sz="4" w:space="0" w:color="auto"/>
              <w:left w:val="nil"/>
              <w:bottom w:val="single" w:sz="4" w:space="0" w:color="auto"/>
              <w:right w:val="nil"/>
            </w:tcBorders>
            <w:shd w:val="clear" w:color="auto" w:fill="auto"/>
            <w:noWrap/>
            <w:vAlign w:val="bottom"/>
            <w:hideMark/>
          </w:tcPr>
          <w:p w14:paraId="5AAC446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w:t>
            </w:r>
          </w:p>
        </w:tc>
        <w:tc>
          <w:tcPr>
            <w:tcW w:w="379" w:type="pct"/>
            <w:tcBorders>
              <w:top w:val="single" w:sz="4" w:space="0" w:color="auto"/>
              <w:left w:val="nil"/>
              <w:bottom w:val="single" w:sz="4" w:space="0" w:color="auto"/>
              <w:right w:val="nil"/>
            </w:tcBorders>
            <w:shd w:val="clear" w:color="auto" w:fill="auto"/>
            <w:noWrap/>
            <w:vAlign w:val="bottom"/>
            <w:hideMark/>
          </w:tcPr>
          <w:p w14:paraId="1DC84DC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24.5</w:t>
            </w:r>
          </w:p>
        </w:tc>
        <w:tc>
          <w:tcPr>
            <w:tcW w:w="378" w:type="pct"/>
            <w:tcBorders>
              <w:top w:val="single" w:sz="4" w:space="0" w:color="auto"/>
              <w:left w:val="nil"/>
              <w:bottom w:val="single" w:sz="4" w:space="0" w:color="auto"/>
              <w:right w:val="nil"/>
            </w:tcBorders>
            <w:shd w:val="clear" w:color="auto" w:fill="auto"/>
            <w:noWrap/>
            <w:vAlign w:val="bottom"/>
            <w:hideMark/>
          </w:tcPr>
          <w:p w14:paraId="285C8D8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71.7</w:t>
            </w:r>
          </w:p>
        </w:tc>
        <w:tc>
          <w:tcPr>
            <w:tcW w:w="381" w:type="pct"/>
            <w:tcBorders>
              <w:top w:val="single" w:sz="4" w:space="0" w:color="auto"/>
              <w:left w:val="nil"/>
              <w:bottom w:val="single" w:sz="4" w:space="0" w:color="auto"/>
              <w:right w:val="nil"/>
            </w:tcBorders>
            <w:shd w:val="clear" w:color="auto" w:fill="auto"/>
            <w:noWrap/>
            <w:vAlign w:val="bottom"/>
            <w:hideMark/>
          </w:tcPr>
          <w:p w14:paraId="01AE63C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15.5</w:t>
            </w:r>
          </w:p>
        </w:tc>
        <w:tc>
          <w:tcPr>
            <w:tcW w:w="378" w:type="pct"/>
            <w:tcBorders>
              <w:top w:val="single" w:sz="4" w:space="0" w:color="auto"/>
              <w:left w:val="nil"/>
              <w:bottom w:val="single" w:sz="4" w:space="0" w:color="auto"/>
              <w:right w:val="nil"/>
            </w:tcBorders>
            <w:shd w:val="clear" w:color="auto" w:fill="auto"/>
            <w:noWrap/>
            <w:vAlign w:val="bottom"/>
            <w:hideMark/>
          </w:tcPr>
          <w:p w14:paraId="1A36030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{"citationID":"a1tgiuu5dc4","properties":{"formattedCitation":"[117]","plainCitation":"[117]","noteIndex":0},"citationItems":[{"id":536,"uris":["http://zotero.org/users/12909065/items/I7KILVK3"],"itemData":{"id":536,"type":"article-journal","abstract":"Despite the substantial climb of the power conversion efficiency (PCE) of organic solar cells (OSCs), the majority of processing solvent remains halogenated and stand as a critical issue for commercialization. Herein, a halogen-free solvent system consisting of toluene (Tol) and 1-phenylnaphthalene (PN) is used to replace the traditional halogenated chloroform (CF) and1-chloronaphthalene (CN) for the processing of the PM6:M36 OSC, reducing the maximum PCE from 15.0% to 13.3%. Hot-casting is demonstrated to boost the maximum PCE of halogen-free solvents processed OSCs back to 15.2%. The preheated substrate fastens the evaporation of Tol and enables similar film-forming kinetics to CF, resulting in the inhibition of immoderate molecular aggregation and excessive phase separation. Ternary OSCs, with either another donor or acceptor as the third component, can further improve device PCE to 15.8%, confirming the versatile photovoltaic systems that this hot-casting method can be applied to. Encouragingly, the hot-casting processed binary and ternary OSCs also exhibit retained storage stability. Therefore, hot-casting is demonstrated as a superior strategy to fabricate OSCs without efficiency and stability loss using halogen-free solvents. © 2021 Wiley-VCH GmbH","archive":"Scopus","container-title":"Advanced Functional Materials","DOI":"10.1002/adfm.202105794","ISSN":"1616-301X","issue":"45","language":"English","source":"Scopus","title":"Hot-Casting Boosts Efficiency of Halogen-Free Solvent Processed Non-Fullerene Organic Solar Cells","volume":"31","author":[{"family":"Du","given":"B."},{"family":"Ma","given":"Y."},{"family":"Guo","given":"C."},{"family":"Cai","given":"J."},{"family":"Li","given":"D."},{"family":"Cheng","given":"S."},{"family":"Liu","given":"D."},{"family":"Zheng","given":"Q."},{"family":"Wang","given":"T."}],"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[117]</w:t>
            </w:r>
            <w:r w:rsidRPr="00B55044">
              <w:rPr>
                <w:rFonts w:eastAsia="Times New Roman"/>
                <w:color w:val="0000FF"/>
                <w:sz w:val="16"/>
                <w:szCs w:val="16"/>
              </w:rPr>
              <w:fldChar w:fldCharType="end"/>
            </w:r>
          </w:p>
        </w:tc>
      </w:tr>
      <w:tr w:rsidR="00D47774" w:rsidRPr="00B55044" w14:paraId="7C67E35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7BEE33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206</w:t>
            </w:r>
          </w:p>
        </w:tc>
        <w:tc>
          <w:tcPr>
            <w:tcW w:w="1525" w:type="pct"/>
            <w:tcBorders>
              <w:top w:val="single" w:sz="4" w:space="0" w:color="auto"/>
              <w:left w:val="nil"/>
              <w:bottom w:val="single" w:sz="4" w:space="0" w:color="auto"/>
              <w:right w:val="nil"/>
            </w:tcBorders>
            <w:shd w:val="clear" w:color="auto" w:fill="auto"/>
            <w:noWrap/>
            <w:vAlign w:val="bottom"/>
            <w:hideMark/>
          </w:tcPr>
          <w:p w14:paraId="111FF24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119D545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PM6:BTP-BO-4Cl:PC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5BB99EA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0.847</w:t>
            </w:r>
          </w:p>
        </w:tc>
        <w:tc>
          <w:tcPr>
            <w:tcW w:w="379" w:type="pct"/>
            <w:tcBorders>
              <w:top w:val="single" w:sz="4" w:space="0" w:color="auto"/>
              <w:left w:val="nil"/>
              <w:bottom w:val="single" w:sz="4" w:space="0" w:color="auto"/>
              <w:right w:val="nil"/>
            </w:tcBorders>
            <w:shd w:val="clear" w:color="auto" w:fill="auto"/>
            <w:noWrap/>
            <w:vAlign w:val="bottom"/>
            <w:hideMark/>
          </w:tcPr>
          <w:p w14:paraId="7B08D2C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26.44</w:t>
            </w:r>
          </w:p>
        </w:tc>
        <w:tc>
          <w:tcPr>
            <w:tcW w:w="378" w:type="pct"/>
            <w:tcBorders>
              <w:top w:val="single" w:sz="4" w:space="0" w:color="auto"/>
              <w:left w:val="nil"/>
              <w:bottom w:val="single" w:sz="4" w:space="0" w:color="auto"/>
              <w:right w:val="nil"/>
            </w:tcBorders>
            <w:shd w:val="clear" w:color="auto" w:fill="auto"/>
            <w:noWrap/>
            <w:vAlign w:val="bottom"/>
            <w:hideMark/>
          </w:tcPr>
          <w:p w14:paraId="1C8AC8C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77.65</w:t>
            </w:r>
          </w:p>
        </w:tc>
        <w:tc>
          <w:tcPr>
            <w:tcW w:w="381" w:type="pct"/>
            <w:tcBorders>
              <w:top w:val="single" w:sz="4" w:space="0" w:color="auto"/>
              <w:left w:val="nil"/>
              <w:bottom w:val="single" w:sz="4" w:space="0" w:color="auto"/>
              <w:right w:val="nil"/>
            </w:tcBorders>
            <w:shd w:val="clear" w:color="auto" w:fill="auto"/>
            <w:noWrap/>
            <w:vAlign w:val="bottom"/>
            <w:hideMark/>
          </w:tcPr>
          <w:p w14:paraId="1346366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17.39</w:t>
            </w:r>
          </w:p>
        </w:tc>
        <w:tc>
          <w:tcPr>
            <w:tcW w:w="378" w:type="pct"/>
            <w:tcBorders>
              <w:top w:val="single" w:sz="4" w:space="0" w:color="auto"/>
              <w:left w:val="nil"/>
              <w:bottom w:val="single" w:sz="4" w:space="0" w:color="auto"/>
              <w:right w:val="nil"/>
            </w:tcBorders>
            <w:shd w:val="clear" w:color="auto" w:fill="auto"/>
            <w:noWrap/>
            <w:vAlign w:val="bottom"/>
            <w:hideMark/>
          </w:tcPr>
          <w:p w14:paraId="07A2677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{"citationID":"a24ebct04ps","properties":{"formattedCitation":"[118]","plainCitation":"[118]","noteIndex":0},"citationItems":[{"id":535,"uris":["http://zotero.org/users/12909065/items/YJW6GKZR"],"itemData":{"id":535,"type":"article-journal","abstract":"In this work, we introduced a fullerene acceptor (PC71BM) into the binary photo-active layer based on a polymer donor (PM6) and a non-fullerene small molecular acceptor (BTP-BO-4Cl), and as a consequence, the ternary organic solar cells realized a high-power conversion efficiency of 17.39% compared to 16.65% in binary solar cells. The performance enhancement was found to be due to the optimized morphology and hence balanced hole and electron mobilities, which is responsible for the suppressed charge recombination and hence high photocurrent in solar cells. In addition, PC71BM shows the complementary absorption with PM6 and BTP-BO-4Cl, which can broaden the absorption range of the photo-active layer and hence more photons from the sunlight can be utilized. Besides, PC71BM shows the cascade energy level alignment between PM6 and BTP-BO-4Cl, which is helpful for charge transfer from donor to acceptor. All these merits explain the high performance in ternary solar cells, and also demonstrate that ternary photovoltaics adopting non-fullerene acceptor with the fullerene acceptor as small amount of additive is an efficient strategy to gain high performing organic solar cells. © 2021 Elsevier Inc.","archive":"Scopus","container-title":"Journal of Colloid and Interface Science","DOI":"10.1016/j.jcis.2021.05.033","ISSN":"0021-9797","language":"English","page":"70-77","source":"Scopus","title":"Fullerene as an additive for increasing the efficiency of organic solar cells to more than 17%","volume":"601","author":[{"family":"Xia","given":"D."},{"family":"Zhang","given":"Z."},{"family":"Zhao","given":"C."},{"family":"Wang","given":"J."},{"family":"Xia","given":"J."},{"family":"Chen","given":"G."},{"family":"Li","given":"S."},{"family":"Tang","given":"Z."},{"family":"You","given":"S."},{"family":"Li","given":"W."}],"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[118]</w:t>
            </w:r>
            <w:r w:rsidRPr="00B55044">
              <w:rPr>
                <w:rFonts w:eastAsia="Times New Roman"/>
                <w:color w:val="0000FF"/>
                <w:sz w:val="16"/>
                <w:szCs w:val="16"/>
              </w:rPr>
              <w:fldChar w:fldCharType="end"/>
            </w:r>
          </w:p>
        </w:tc>
      </w:tr>
      <w:tr w:rsidR="00D47774" w:rsidRPr="00B55044" w14:paraId="29EEAC6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88A949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207</w:t>
            </w:r>
          </w:p>
        </w:tc>
        <w:tc>
          <w:tcPr>
            <w:tcW w:w="1525" w:type="pct"/>
            <w:tcBorders>
              <w:top w:val="single" w:sz="4" w:space="0" w:color="auto"/>
              <w:left w:val="nil"/>
              <w:bottom w:val="single" w:sz="4" w:space="0" w:color="auto"/>
              <w:right w:val="nil"/>
            </w:tcBorders>
            <w:shd w:val="clear" w:color="auto" w:fill="auto"/>
            <w:noWrap/>
            <w:vAlign w:val="bottom"/>
            <w:hideMark/>
          </w:tcPr>
          <w:p w14:paraId="37745AD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ITO/PEDOT:PSS/AL/PDINO/Ag</w:t>
            </w:r>
          </w:p>
        </w:tc>
        <w:tc>
          <w:tcPr>
            <w:tcW w:w="1288" w:type="pct"/>
            <w:tcBorders>
              <w:top w:val="single" w:sz="4" w:space="0" w:color="auto"/>
              <w:left w:val="nil"/>
              <w:bottom w:val="single" w:sz="4" w:space="0" w:color="auto"/>
              <w:right w:val="nil"/>
            </w:tcBorders>
            <w:shd w:val="clear" w:color="auto" w:fill="auto"/>
            <w:noWrap/>
            <w:vAlign w:val="bottom"/>
            <w:hideMark/>
          </w:tcPr>
          <w:p w14:paraId="05CD19F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PM6:Y6:IDTT-M</w:t>
            </w:r>
          </w:p>
        </w:tc>
        <w:tc>
          <w:tcPr>
            <w:tcW w:w="379" w:type="pct"/>
            <w:tcBorders>
              <w:top w:val="single" w:sz="4" w:space="0" w:color="auto"/>
              <w:left w:val="nil"/>
              <w:bottom w:val="single" w:sz="4" w:space="0" w:color="auto"/>
              <w:right w:val="nil"/>
            </w:tcBorders>
            <w:shd w:val="clear" w:color="auto" w:fill="auto"/>
            <w:noWrap/>
            <w:vAlign w:val="bottom"/>
            <w:hideMark/>
          </w:tcPr>
          <w:p w14:paraId="2868B20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0.872</w:t>
            </w:r>
          </w:p>
        </w:tc>
        <w:tc>
          <w:tcPr>
            <w:tcW w:w="379" w:type="pct"/>
            <w:tcBorders>
              <w:top w:val="single" w:sz="4" w:space="0" w:color="auto"/>
              <w:left w:val="nil"/>
              <w:bottom w:val="single" w:sz="4" w:space="0" w:color="auto"/>
              <w:right w:val="nil"/>
            </w:tcBorders>
            <w:shd w:val="clear" w:color="auto" w:fill="auto"/>
            <w:noWrap/>
            <w:vAlign w:val="bottom"/>
            <w:hideMark/>
          </w:tcPr>
          <w:p w14:paraId="538285F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25.81</w:t>
            </w:r>
          </w:p>
        </w:tc>
        <w:tc>
          <w:tcPr>
            <w:tcW w:w="378" w:type="pct"/>
            <w:tcBorders>
              <w:top w:val="single" w:sz="4" w:space="0" w:color="auto"/>
              <w:left w:val="nil"/>
              <w:bottom w:val="single" w:sz="4" w:space="0" w:color="auto"/>
              <w:right w:val="nil"/>
            </w:tcBorders>
            <w:shd w:val="clear" w:color="auto" w:fill="auto"/>
            <w:noWrap/>
            <w:vAlign w:val="bottom"/>
            <w:hideMark/>
          </w:tcPr>
          <w:p w14:paraId="515A434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73.89</w:t>
            </w:r>
          </w:p>
        </w:tc>
        <w:tc>
          <w:tcPr>
            <w:tcW w:w="381" w:type="pct"/>
            <w:tcBorders>
              <w:top w:val="single" w:sz="4" w:space="0" w:color="auto"/>
              <w:left w:val="nil"/>
              <w:bottom w:val="single" w:sz="4" w:space="0" w:color="auto"/>
              <w:right w:val="nil"/>
            </w:tcBorders>
            <w:shd w:val="clear" w:color="auto" w:fill="auto"/>
            <w:noWrap/>
            <w:vAlign w:val="bottom"/>
            <w:hideMark/>
          </w:tcPr>
          <w:p w14:paraId="0ED2C50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16.63</w:t>
            </w:r>
          </w:p>
        </w:tc>
        <w:tc>
          <w:tcPr>
            <w:tcW w:w="378" w:type="pct"/>
            <w:tcBorders>
              <w:top w:val="single" w:sz="4" w:space="0" w:color="auto"/>
              <w:left w:val="nil"/>
              <w:bottom w:val="single" w:sz="4" w:space="0" w:color="auto"/>
              <w:right w:val="nil"/>
            </w:tcBorders>
            <w:shd w:val="clear" w:color="auto" w:fill="auto"/>
            <w:noWrap/>
            <w:vAlign w:val="bottom"/>
            <w:hideMark/>
          </w:tcPr>
          <w:p w14:paraId="46DD115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{"citationID":"a2nmodqsml1","properties":{"formattedCitation":"[119]","plainCitation":"[119]","noteIndex":0},"citationItems":[{"id":534,"uris":["http://zotero.org/users/12909065/items/GSS7A6UU"],"itemData":{"id":534,"type":"article-journal","abstract":"Introducing a third component into organic bulk heterojunction solar cells has become an effective strategy to improve photovoltaic performance. Meanwhile, the rapid development of non-fullerene acceptors (NFAs) has pushed the power conversion efficiency (PCE) of organic solar cells (OSCs) to a higher standard. Herein, a series of fullerene-free ternary solar cells are fabricated based on a wide bandgap acceptor, IDTT-M, together with a wide bandgap donor polymer PM6 and a narrow bandgap NFA Y6. Insights from the morphological and electronic characterizations reveal that IDTT-M has been incorporated into Y6 domains without disrupting its molecular packing and sacrificing its electron mobility and work synergistically with Y6 to regulate the packing pattern of PM6, leading to enhanced hole mobility and suppressed recombination. IDTT-M further functions as an energy-level mediator that increases open-circuit voltage (VOC) in ternary devices. In addition, efficient Förster resonance energy transfer (FRET) between IDTT-M and Y6 provides a non-radiative pathway for facilitating exciton dissociation and charge collection. As a result, the optimized ternary device features a significantly improved PCE up to 16.63% with simultaneously enhanced short-circuit current (JSC), VOC, and fill factor (FF). © 2021 Wiley-VCH GmbH","archive":"Scopus","container-title":"Advanced Functional Materials","DOI":"10.1002/adfm.202105304","ISSN":"1616-301X","issue":"41","language":"English","source":"Scopus","title":"Highly Efficient Ternary Solar Cells with Efficient Förster Resonance Energy Transfer for Simultaneously Enhanced Photovoltaic Parameters","volume":"31","author":[{"family":"Xiao","given":"L."},{"family":"Wu","given":"X."},{"family":"Ren","given":"G."},{"family":"Kolaczkowski","given":"M.A."},{"family":"Huang","given":"G."},{"family":"Tan","given":"W."},{"family":"Ma","given":"L."},{"family":"Liu","given":"Y."},{"family":"Peng","given":"X."},{"family":"Min","given":"Y."},{"family":"Liu","given":"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[119]</w:t>
            </w:r>
            <w:r w:rsidRPr="00B55044">
              <w:rPr>
                <w:rFonts w:eastAsia="Times New Roman"/>
                <w:color w:val="0000FF"/>
                <w:sz w:val="16"/>
                <w:szCs w:val="16"/>
              </w:rPr>
              <w:fldChar w:fldCharType="end"/>
            </w:r>
          </w:p>
        </w:tc>
      </w:tr>
      <w:tr w:rsidR="00D47774" w:rsidRPr="00B55044" w14:paraId="0A180DE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45943B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208</w:t>
            </w:r>
          </w:p>
        </w:tc>
        <w:tc>
          <w:tcPr>
            <w:tcW w:w="1525" w:type="pct"/>
            <w:tcBorders>
              <w:top w:val="single" w:sz="4" w:space="0" w:color="auto"/>
              <w:left w:val="nil"/>
              <w:bottom w:val="single" w:sz="4" w:space="0" w:color="auto"/>
              <w:right w:val="nil"/>
            </w:tcBorders>
            <w:shd w:val="clear" w:color="auto" w:fill="auto"/>
            <w:noWrap/>
            <w:vAlign w:val="bottom"/>
            <w:hideMark/>
          </w:tcPr>
          <w:p w14:paraId="2F886C5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ITO/PEDOT:PSS/AL/PDINO/Ag</w:t>
            </w:r>
          </w:p>
        </w:tc>
        <w:tc>
          <w:tcPr>
            <w:tcW w:w="1288" w:type="pct"/>
            <w:tcBorders>
              <w:top w:val="single" w:sz="4" w:space="0" w:color="auto"/>
              <w:left w:val="nil"/>
              <w:bottom w:val="single" w:sz="4" w:space="0" w:color="auto"/>
              <w:right w:val="nil"/>
            </w:tcBorders>
            <w:shd w:val="clear" w:color="auto" w:fill="auto"/>
            <w:noWrap/>
            <w:vAlign w:val="bottom"/>
            <w:hideMark/>
          </w:tcPr>
          <w:p w14:paraId="1FB15F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PM6:TiC12:Y6</w:t>
            </w:r>
          </w:p>
        </w:tc>
        <w:tc>
          <w:tcPr>
            <w:tcW w:w="379" w:type="pct"/>
            <w:tcBorders>
              <w:top w:val="single" w:sz="4" w:space="0" w:color="auto"/>
              <w:left w:val="nil"/>
              <w:bottom w:val="single" w:sz="4" w:space="0" w:color="auto"/>
              <w:right w:val="nil"/>
            </w:tcBorders>
            <w:shd w:val="clear" w:color="auto" w:fill="auto"/>
            <w:noWrap/>
            <w:vAlign w:val="bottom"/>
            <w:hideMark/>
          </w:tcPr>
          <w:p w14:paraId="729B7C2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0.852</w:t>
            </w:r>
          </w:p>
        </w:tc>
        <w:tc>
          <w:tcPr>
            <w:tcW w:w="379" w:type="pct"/>
            <w:tcBorders>
              <w:top w:val="single" w:sz="4" w:space="0" w:color="auto"/>
              <w:left w:val="nil"/>
              <w:bottom w:val="single" w:sz="4" w:space="0" w:color="auto"/>
              <w:right w:val="nil"/>
            </w:tcBorders>
            <w:shd w:val="clear" w:color="auto" w:fill="auto"/>
            <w:noWrap/>
            <w:vAlign w:val="bottom"/>
            <w:hideMark/>
          </w:tcPr>
          <w:p w14:paraId="51F6FE7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w:t>
            </w:r>
          </w:p>
        </w:tc>
        <w:tc>
          <w:tcPr>
            <w:tcW w:w="378" w:type="pct"/>
            <w:tcBorders>
              <w:top w:val="single" w:sz="4" w:space="0" w:color="auto"/>
              <w:left w:val="nil"/>
              <w:bottom w:val="single" w:sz="4" w:space="0" w:color="auto"/>
              <w:right w:val="nil"/>
            </w:tcBorders>
            <w:shd w:val="clear" w:color="auto" w:fill="auto"/>
            <w:noWrap/>
            <w:vAlign w:val="bottom"/>
            <w:hideMark/>
          </w:tcPr>
          <w:p w14:paraId="0B8C354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75.4</w:t>
            </w:r>
          </w:p>
        </w:tc>
        <w:tc>
          <w:tcPr>
            <w:tcW w:w="381" w:type="pct"/>
            <w:tcBorders>
              <w:top w:val="single" w:sz="4" w:space="0" w:color="auto"/>
              <w:left w:val="nil"/>
              <w:bottom w:val="single" w:sz="4" w:space="0" w:color="auto"/>
              <w:right w:val="nil"/>
            </w:tcBorders>
            <w:shd w:val="clear" w:color="auto" w:fill="auto"/>
            <w:noWrap/>
            <w:vAlign w:val="bottom"/>
            <w:hideMark/>
          </w:tcPr>
          <w:p w14:paraId="1CE3D04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17.25</w:t>
            </w:r>
          </w:p>
        </w:tc>
        <w:tc>
          <w:tcPr>
            <w:tcW w:w="378" w:type="pct"/>
            <w:tcBorders>
              <w:top w:val="single" w:sz="4" w:space="0" w:color="auto"/>
              <w:left w:val="nil"/>
              <w:bottom w:val="single" w:sz="4" w:space="0" w:color="auto"/>
              <w:right w:val="nil"/>
            </w:tcBorders>
            <w:shd w:val="clear" w:color="auto" w:fill="auto"/>
            <w:noWrap/>
            <w:vAlign w:val="bottom"/>
            <w:hideMark/>
          </w:tcPr>
          <w:p w14:paraId="6ABA59E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{"citationID":"a21p2nue7k3","properties":{"formattedCitation":"[120]","plainCitation":"[120]","noteIndex":0},"citationItems":[{"id":533,"uris":["http://zotero.org/users/12909065/items/XSTQ69WE"],"itemData":{"id":533,"type":"article-journal","abstract":"A small molecule donor TiC12 with an asymmetric thieno[3,2-c]isochromene unit is incorporated into the PM6:Y6 system as the third component for constructing ternary organic solar cells (OSCs). It was found that TiC12 played an outstanding role in improvement of open-circuit voltage (Voc), short-circuit current (Jsc) and fill factor (FF) for the OSCs. The effects of TiC12 on the absorption, exciton dissociation, charge extraction, bimolecular recombination and morphology of the active layer are analyzed in detail. The synergetic improvement ofJsc,Vocand FF parameters is realized to generate an advanced power conversion efficiency (PCE) of 17.25% in the optimized PM6 : TiC12 : Y6 (0.9 : 0.1 : 1.2) ternary device. Furthermore, theVocis increased in proportion to the added amount of TiC12 in the ternary devices due to reduced disorder and nonradiative energy loss, although the guest donor TiC12 exhibited a higher HOMO level than PM6. This study provides an effective and innovative approach to elevateVocand thus PCE for ternary OSCs by introducing a guest small molecule donor with a higher HOMO level and better miscibility with the acceptor. © The Royal Society of Chemistry 2021.","archive":"Scopus","container-title":"Journal of Materials Chemistry A","DOI":"10.1039/d1ta05284e","ISSN":"2050-7488","issue":"36","language":"English","page":"20493-20501","source":"Scopus","title":"17.25% high efficiency ternary solar cells with increased open-circuit voltage using a high HOMO level small molecule guest donor in a PM6:Y6 blend","title-short":"17.25% high efficiency ternary solar cells with increased open-circuit voltage using a high HOMO level small molecule guest donor in a PM6","volume":"9","author":[{"family":"Tang","given":"W."},{"family":"Peng","given":"W."},{"family":"Zhu","given":"M."},{"family":"Jiang","given":"H."},{"family":"Wang","given":"W."},{"family":"Xia","given":"H."},{"family":"Yang","given":"R."},{"family":"Inganäs","given":"O."},{"family":"Tan","given":"H."},{"family":"Bian","given":"Q."},{"family":"Wang","given":"E."},{"family":"Zhu","given":"W."}],"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[120]</w:t>
            </w:r>
            <w:r w:rsidRPr="00B55044">
              <w:rPr>
                <w:rFonts w:eastAsia="Times New Roman"/>
                <w:color w:val="0000FF"/>
                <w:sz w:val="16"/>
                <w:szCs w:val="16"/>
              </w:rPr>
              <w:fldChar w:fldCharType="end"/>
            </w:r>
          </w:p>
        </w:tc>
      </w:tr>
      <w:tr w:rsidR="00D47774" w:rsidRPr="00B55044" w14:paraId="0643988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7D8EFC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209</w:t>
            </w:r>
          </w:p>
        </w:tc>
        <w:tc>
          <w:tcPr>
            <w:tcW w:w="1525" w:type="pct"/>
            <w:tcBorders>
              <w:top w:val="single" w:sz="4" w:space="0" w:color="auto"/>
              <w:left w:val="nil"/>
              <w:bottom w:val="single" w:sz="4" w:space="0" w:color="auto"/>
              <w:right w:val="nil"/>
            </w:tcBorders>
            <w:shd w:val="clear" w:color="auto" w:fill="auto"/>
            <w:noWrap/>
            <w:vAlign w:val="bottom"/>
            <w:hideMark/>
          </w:tcPr>
          <w:p w14:paraId="3872FE2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2E8E0B9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PM6:PM7-Si:BTP-eC9</w:t>
            </w:r>
          </w:p>
        </w:tc>
        <w:tc>
          <w:tcPr>
            <w:tcW w:w="379" w:type="pct"/>
            <w:tcBorders>
              <w:top w:val="single" w:sz="4" w:space="0" w:color="auto"/>
              <w:left w:val="nil"/>
              <w:bottom w:val="single" w:sz="4" w:space="0" w:color="auto"/>
              <w:right w:val="nil"/>
            </w:tcBorders>
            <w:shd w:val="clear" w:color="auto" w:fill="auto"/>
            <w:noWrap/>
            <w:vAlign w:val="bottom"/>
            <w:hideMark/>
          </w:tcPr>
          <w:p w14:paraId="1A5F9AB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0.864</w:t>
            </w:r>
          </w:p>
        </w:tc>
        <w:tc>
          <w:tcPr>
            <w:tcW w:w="379" w:type="pct"/>
            <w:tcBorders>
              <w:top w:val="single" w:sz="4" w:space="0" w:color="auto"/>
              <w:left w:val="nil"/>
              <w:bottom w:val="single" w:sz="4" w:space="0" w:color="auto"/>
              <w:right w:val="nil"/>
            </w:tcBorders>
            <w:shd w:val="clear" w:color="auto" w:fill="auto"/>
            <w:noWrap/>
            <w:vAlign w:val="bottom"/>
            <w:hideMark/>
          </w:tcPr>
          <w:p w14:paraId="60C01A4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26.35</w:t>
            </w:r>
          </w:p>
        </w:tc>
        <w:tc>
          <w:tcPr>
            <w:tcW w:w="378" w:type="pct"/>
            <w:tcBorders>
              <w:top w:val="single" w:sz="4" w:space="0" w:color="auto"/>
              <w:left w:val="nil"/>
              <w:bottom w:val="single" w:sz="4" w:space="0" w:color="auto"/>
              <w:right w:val="nil"/>
            </w:tcBorders>
            <w:shd w:val="clear" w:color="auto" w:fill="auto"/>
            <w:noWrap/>
            <w:vAlign w:val="bottom"/>
            <w:hideMark/>
          </w:tcPr>
          <w:p w14:paraId="44BDED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77.6</w:t>
            </w:r>
          </w:p>
        </w:tc>
        <w:tc>
          <w:tcPr>
            <w:tcW w:w="381" w:type="pct"/>
            <w:tcBorders>
              <w:top w:val="single" w:sz="4" w:space="0" w:color="auto"/>
              <w:left w:val="nil"/>
              <w:bottom w:val="single" w:sz="4" w:space="0" w:color="auto"/>
              <w:right w:val="nil"/>
            </w:tcBorders>
            <w:shd w:val="clear" w:color="auto" w:fill="auto"/>
            <w:noWrap/>
            <w:vAlign w:val="bottom"/>
            <w:hideMark/>
          </w:tcPr>
          <w:p w14:paraId="4549D5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17.7</w:t>
            </w:r>
          </w:p>
        </w:tc>
        <w:tc>
          <w:tcPr>
            <w:tcW w:w="378" w:type="pct"/>
            <w:tcBorders>
              <w:top w:val="single" w:sz="4" w:space="0" w:color="auto"/>
              <w:left w:val="nil"/>
              <w:bottom w:val="single" w:sz="4" w:space="0" w:color="auto"/>
              <w:right w:val="nil"/>
            </w:tcBorders>
            <w:shd w:val="clear" w:color="auto" w:fill="auto"/>
            <w:noWrap/>
            <w:vAlign w:val="bottom"/>
            <w:hideMark/>
          </w:tcPr>
          <w:p w14:paraId="3C9048B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{"citationID":"a2505c1jbn7","properties":{"formattedCitation":"[121]","plainCitation":"[121]","noteIndex":0},"citationItems":[{"id":532,"uris":["http://zotero.org/users/12909065/items/54VCB5AI"],"itemData":{"id":532,"type":"article-journal","abstract":"The use of ternary organic semiconducting blends is recognized as an effective strategy to boost the performance of polymer solar cells (PSCs) by increasing the photocurrent while minimizing voltage losses. Yet, the scarcity of suitable donors with a deep highest occupied molecular orbital (HOMO) level poses a challenge in extending this strategy to ternary systems based on two polymers. Here, we address this challenge by the synthesis of a new donor polymer (PM7-Si), which is akin to the well-known PM6 but has a deeper HOMO level. PM7-Si is utilized as the third component to enhance the performance of the best-in-class binary system of PM6:BTP-eC9, leading to simultaneous improvements in the efficiency (17.7%), open-circuit voltage (0.864 V), and fill factor (77.6%). These decisively enhanced features are attributed to the efficient carrier transport, improved stacking order, and morphology. Our results highlight the use of two polymer donors as a promising strategy toward high-performance ternary PSCs. © 2021 The Authors. Published by American Chemical Society","archive":"Scopus","container-title":"Chemistry of Materials","DOI":"10.1021/acs.chemmater.1c01433","ISSN":"0897-4756","issue":"18","language":"English","page":"7254-7262","source":"Scopus","title":"Using Two Compatible Donor Polymers Boosts the Efficiency of Ternary Organic Solar Cells to 17.7%","volume":"33","author":[{"family":"Peng","given":"W."},{"family":"Lin","given":"Y."},{"family":"Jeong","given":"S.Y."},{"family":"Firdaus","given":"Y."},{"family":"Genene","given":"Z."},{"family":"Nikitaras","given":"A."},{"family":"Tsetseris","given":"L."},{"family":"Woo","given":"H.Y."},{"family":"Zhu","given":"W."},{"family":"Anthopoulos","given":"T.D."},{"family":"Wang","given":"E."}],"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[121]</w:t>
            </w:r>
            <w:r w:rsidRPr="00B55044">
              <w:rPr>
                <w:rFonts w:eastAsia="Times New Roman"/>
                <w:color w:val="0000FF"/>
                <w:sz w:val="16"/>
                <w:szCs w:val="16"/>
              </w:rPr>
              <w:fldChar w:fldCharType="end"/>
            </w:r>
          </w:p>
        </w:tc>
      </w:tr>
      <w:tr w:rsidR="00D47774" w:rsidRPr="00B55044" w14:paraId="6843D6D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A3F8EB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210</w:t>
            </w:r>
          </w:p>
        </w:tc>
        <w:tc>
          <w:tcPr>
            <w:tcW w:w="1525" w:type="pct"/>
            <w:tcBorders>
              <w:top w:val="single" w:sz="4" w:space="0" w:color="auto"/>
              <w:left w:val="nil"/>
              <w:bottom w:val="single" w:sz="4" w:space="0" w:color="auto"/>
              <w:right w:val="nil"/>
            </w:tcBorders>
            <w:shd w:val="clear" w:color="auto" w:fill="auto"/>
            <w:noWrap/>
            <w:vAlign w:val="bottom"/>
            <w:hideMark/>
          </w:tcPr>
          <w:p w14:paraId="2353FA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67AE5A3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PM6:ITIC-4F:BITIC-C8F4</w:t>
            </w:r>
          </w:p>
        </w:tc>
        <w:tc>
          <w:tcPr>
            <w:tcW w:w="379" w:type="pct"/>
            <w:tcBorders>
              <w:top w:val="single" w:sz="4" w:space="0" w:color="auto"/>
              <w:left w:val="nil"/>
              <w:bottom w:val="single" w:sz="4" w:space="0" w:color="auto"/>
              <w:right w:val="nil"/>
            </w:tcBorders>
            <w:shd w:val="clear" w:color="auto" w:fill="auto"/>
            <w:noWrap/>
            <w:vAlign w:val="bottom"/>
            <w:hideMark/>
          </w:tcPr>
          <w:p w14:paraId="26C7AE3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w:t>
            </w:r>
          </w:p>
        </w:tc>
        <w:tc>
          <w:tcPr>
            <w:tcW w:w="379" w:type="pct"/>
            <w:tcBorders>
              <w:top w:val="single" w:sz="4" w:space="0" w:color="auto"/>
              <w:left w:val="nil"/>
              <w:bottom w:val="single" w:sz="4" w:space="0" w:color="auto"/>
              <w:right w:val="nil"/>
            </w:tcBorders>
            <w:shd w:val="clear" w:color="auto" w:fill="auto"/>
            <w:noWrap/>
            <w:vAlign w:val="bottom"/>
            <w:hideMark/>
          </w:tcPr>
          <w:p w14:paraId="55747E8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19.21</w:t>
            </w:r>
          </w:p>
        </w:tc>
        <w:tc>
          <w:tcPr>
            <w:tcW w:w="378" w:type="pct"/>
            <w:tcBorders>
              <w:top w:val="single" w:sz="4" w:space="0" w:color="auto"/>
              <w:left w:val="nil"/>
              <w:bottom w:val="single" w:sz="4" w:space="0" w:color="auto"/>
              <w:right w:val="nil"/>
            </w:tcBorders>
            <w:shd w:val="clear" w:color="auto" w:fill="auto"/>
            <w:noWrap/>
            <w:vAlign w:val="bottom"/>
            <w:hideMark/>
          </w:tcPr>
          <w:p w14:paraId="7127D4F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64.51</w:t>
            </w:r>
          </w:p>
        </w:tc>
        <w:tc>
          <w:tcPr>
            <w:tcW w:w="381" w:type="pct"/>
            <w:tcBorders>
              <w:top w:val="single" w:sz="4" w:space="0" w:color="auto"/>
              <w:left w:val="nil"/>
              <w:bottom w:val="single" w:sz="4" w:space="0" w:color="auto"/>
              <w:right w:val="nil"/>
            </w:tcBorders>
            <w:shd w:val="clear" w:color="auto" w:fill="auto"/>
            <w:noWrap/>
            <w:vAlign w:val="bottom"/>
            <w:hideMark/>
          </w:tcPr>
          <w:p w14:paraId="2022F21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11.1</w:t>
            </w:r>
          </w:p>
        </w:tc>
        <w:tc>
          <w:tcPr>
            <w:tcW w:w="378" w:type="pct"/>
            <w:tcBorders>
              <w:top w:val="single" w:sz="4" w:space="0" w:color="auto"/>
              <w:left w:val="nil"/>
              <w:bottom w:val="single" w:sz="4" w:space="0" w:color="auto"/>
              <w:right w:val="nil"/>
            </w:tcBorders>
            <w:shd w:val="clear" w:color="auto" w:fill="auto"/>
            <w:noWrap/>
            <w:vAlign w:val="bottom"/>
            <w:hideMark/>
          </w:tcPr>
          <w:p w14:paraId="77ADF95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{"citationID":"aaqaa79ia5","properties":{"formattedCitation":"[122]","plainCitation":"[122]","noteIndex":0},"citationItems":[{"id":531,"uris":["http://zotero.org/users/12909065/items/KLHUH3S7"],"itemData":{"id":531,"type":"article-journal","abstract":"The synthesis of four non-fullerene acceptors (NFAs) with a “A–π–D–π–A” structure, in which the electron-donating core is extended, was achieved. The molecules differed by the nature of the solubilizing groups on the π-spacer and/or the presence of fluorine atoms on the peripheral electron-accepting units. The optoelectronic properties of the molecules were characterized in solution, in thin film, and in photovoltaic devices. The nature of the solubilizing groups had a minor influence on the optoelectronic properties but affected the organization in the solid state. On the other hand, the fluorine atoms influenced the optoelectronics properties and increased the photo-stability of the molecules in thin films. Compared to reference ITIC, the extended molecules showed a wider absorption across the visible range and higher lowest unoccupied molecular orbital energy levels. The photovoltaic performances of the four NFAs were assessed in binary blends using PM6 (PBDB-T-2F) as the donating polymer and in ternary blends with ITIC-4F. Solar cells (active area 0.27 cm2) showed power conversion efficiencies of up to 11.1 % when ternary blends were processed from non-halogenated solvents, without any thermal post-treatment or use of halogenated additives, making this process compatible with industrial requirements. © 2021 Wiley-VCH GmbH","archive":"Scopus","container-title":"ChemSusChem","DOI":"10.1002/cssc.202101005","ISSN":"1864-5631","issue":"17","language":"English","page":"3502-3510","source":"Scopus","title":"Non-Fullerene Acceptors with an Extended π-Conjugated Core: Third Components in Ternary Blends for High-Efficiency, Post-Treatment-Free Organic Solar Cells","title-short":"Non-Fullerene Acceptors with an Extended π-Conjugated Core","volume":"14","author":[{"family":"Avalos-Quiroz","given":"Y.A."},{"family":"Bardagot","given":"O."},{"family":"Kervella","given":"Y."},{"family":"Aumaître","given":"C."},{"family":"Cabau","given":"L."},{"family":"Rivaton","given":"A."},{"family":"Margeat","given":"O."},{"family":"Videlot-Ackermann","given":"C."},{"family":"Vongsaysy","given":"U."},{"family":"Ackermann","given":"J."},{"family":"Demadrille","given":"R."}],"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[122]</w:t>
            </w:r>
            <w:r w:rsidRPr="00B55044">
              <w:rPr>
                <w:rFonts w:eastAsia="Times New Roman"/>
                <w:color w:val="0000FF"/>
                <w:sz w:val="16"/>
                <w:szCs w:val="16"/>
              </w:rPr>
              <w:fldChar w:fldCharType="end"/>
            </w:r>
          </w:p>
        </w:tc>
      </w:tr>
      <w:tr w:rsidR="00D47774" w:rsidRPr="00B55044" w14:paraId="161475F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D96251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211</w:t>
            </w:r>
          </w:p>
        </w:tc>
        <w:tc>
          <w:tcPr>
            <w:tcW w:w="1525" w:type="pct"/>
            <w:tcBorders>
              <w:top w:val="single" w:sz="4" w:space="0" w:color="auto"/>
              <w:left w:val="nil"/>
              <w:bottom w:val="single" w:sz="4" w:space="0" w:color="auto"/>
              <w:right w:val="nil"/>
            </w:tcBorders>
            <w:shd w:val="clear" w:color="auto" w:fill="auto"/>
            <w:noWrap/>
            <w:vAlign w:val="bottom"/>
            <w:hideMark/>
          </w:tcPr>
          <w:p w14:paraId="5418B5A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52FE5FA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PM6:BTP-eC9:BTP-F</w:t>
            </w:r>
          </w:p>
        </w:tc>
        <w:tc>
          <w:tcPr>
            <w:tcW w:w="379" w:type="pct"/>
            <w:tcBorders>
              <w:top w:val="single" w:sz="4" w:space="0" w:color="auto"/>
              <w:left w:val="nil"/>
              <w:bottom w:val="single" w:sz="4" w:space="0" w:color="auto"/>
              <w:right w:val="nil"/>
            </w:tcBorders>
            <w:shd w:val="clear" w:color="auto" w:fill="auto"/>
            <w:noWrap/>
            <w:vAlign w:val="bottom"/>
            <w:hideMark/>
          </w:tcPr>
          <w:p w14:paraId="03A941A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0.858</w:t>
            </w:r>
          </w:p>
        </w:tc>
        <w:tc>
          <w:tcPr>
            <w:tcW w:w="379" w:type="pct"/>
            <w:tcBorders>
              <w:top w:val="single" w:sz="4" w:space="0" w:color="auto"/>
              <w:left w:val="nil"/>
              <w:bottom w:val="single" w:sz="4" w:space="0" w:color="auto"/>
              <w:right w:val="nil"/>
            </w:tcBorders>
            <w:shd w:val="clear" w:color="auto" w:fill="auto"/>
            <w:noWrap/>
            <w:vAlign w:val="bottom"/>
            <w:hideMark/>
          </w:tcPr>
          <w:p w14:paraId="0F49247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26.99</w:t>
            </w:r>
          </w:p>
        </w:tc>
        <w:tc>
          <w:tcPr>
            <w:tcW w:w="378" w:type="pct"/>
            <w:tcBorders>
              <w:top w:val="single" w:sz="4" w:space="0" w:color="auto"/>
              <w:left w:val="nil"/>
              <w:bottom w:val="single" w:sz="4" w:space="0" w:color="auto"/>
              <w:right w:val="nil"/>
            </w:tcBorders>
            <w:shd w:val="clear" w:color="auto" w:fill="auto"/>
            <w:noWrap/>
            <w:vAlign w:val="bottom"/>
            <w:hideMark/>
          </w:tcPr>
          <w:p w14:paraId="040815C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79.7</w:t>
            </w:r>
          </w:p>
        </w:tc>
        <w:tc>
          <w:tcPr>
            <w:tcW w:w="381" w:type="pct"/>
            <w:tcBorders>
              <w:top w:val="single" w:sz="4" w:space="0" w:color="auto"/>
              <w:left w:val="nil"/>
              <w:bottom w:val="single" w:sz="4" w:space="0" w:color="auto"/>
              <w:right w:val="nil"/>
            </w:tcBorders>
            <w:shd w:val="clear" w:color="auto" w:fill="auto"/>
            <w:noWrap/>
            <w:vAlign w:val="bottom"/>
            <w:hideMark/>
          </w:tcPr>
          <w:p w14:paraId="4537A65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18.45</w:t>
            </w:r>
          </w:p>
        </w:tc>
        <w:tc>
          <w:tcPr>
            <w:tcW w:w="378" w:type="pct"/>
            <w:tcBorders>
              <w:top w:val="single" w:sz="4" w:space="0" w:color="auto"/>
              <w:left w:val="nil"/>
              <w:bottom w:val="single" w:sz="4" w:space="0" w:color="auto"/>
              <w:right w:val="nil"/>
            </w:tcBorders>
            <w:shd w:val="clear" w:color="auto" w:fill="auto"/>
            <w:noWrap/>
            <w:vAlign w:val="bottom"/>
            <w:hideMark/>
          </w:tcPr>
          <w:p w14:paraId="02F542E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{"citationID":"aijqhv09dg","properties":{"formattedCitation":"[123]","plainCitation":"[123]","noteIndex":0},"citationItems":[{"id":530,"uris":["http://zotero.org/users/12909065/items/4EF8X5LN"],"itemData":{"id":530,"type":"article-journal","abstract":"The ternary strategy has been proved to be an efficient approach to improve the power conversion efficiency (PCE) of organic solar cells (OSCs). However, little attention has been paid to deriving the general design principle for selecting an appropriate third component. Herein, we proposed a facile strategy for third-component selection in non-fullerene acceptor-based ternary OSCs. By sharing the same central unit with the host acceptor and a single fluorinated end group, the designed non-fullerene acceptor can successfully function as the third component in ternary OSCs. Following this design principle, we synthesized the BTP-F acceptor, and then incorporated it into the PM6:BTP-eC9 blend. Encouragingly, the optimized ternary OSC exhibited a high PCE of 18.45%, which is among the highest efficiency values reported for OSCs so far. In addition, the PM6:BTP-eC9:BTP-F ternary OSC displayed superior stability compared to the host system. Systematic characterizations reveal that the introduction of BTP-F into the ternary blend increases the charge transport, improves the active-layer morphology and reduces non-radiative recombination, therefore leading to a simultaneously enhanced short-circuit current, fill factor and open-circuit voltage. Furthermore, the Y6-F and L8-BO-F acceptors have been also synthesized as the third components in ternary OSCs. Compared with the binary devices, the ternary devices all exhibited improved PCEs. These results confirm the general application of the strategy we proposed, which provides a new way to further improve the efficiency of ternary OSCs. © The Royal Society of Chemistry.","archive":"Scopus","container-title":"Energy and Environmental Science","DOI":"10.1039/d1ee01864g","ISSN":"1754-5692","issue":"9","language":"English","page":"5009-5016","source":"Scopus","title":"A facile strategy for third-component selection in non-fullerene acceptor-based ternary organic solar cells","volume":"14","author":[{"family":"Li","given":"Y."},{"family":"Cai","given":"Y."},{"family":"Xie","given":"Y."},{"family":"Song","given":"J."},{"family":"Wu","given":"H."},{"family":"Tang","given":"Z."},{"family":"Zhang","given":"J."},{"family":"Huang","given":"F."},{"family":"Sun","given":"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[123]</w:t>
            </w:r>
            <w:r w:rsidRPr="00B55044">
              <w:rPr>
                <w:rFonts w:eastAsia="Times New Roman"/>
                <w:color w:val="0000FF"/>
                <w:sz w:val="16"/>
                <w:szCs w:val="16"/>
              </w:rPr>
              <w:fldChar w:fldCharType="end"/>
            </w:r>
          </w:p>
        </w:tc>
      </w:tr>
      <w:tr w:rsidR="00D47774" w:rsidRPr="00B55044" w14:paraId="5C5C35E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9FDE9E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212</w:t>
            </w:r>
          </w:p>
        </w:tc>
        <w:tc>
          <w:tcPr>
            <w:tcW w:w="1525" w:type="pct"/>
            <w:tcBorders>
              <w:top w:val="single" w:sz="4" w:space="0" w:color="auto"/>
              <w:left w:val="nil"/>
              <w:bottom w:val="single" w:sz="4" w:space="0" w:color="auto"/>
              <w:right w:val="nil"/>
            </w:tcBorders>
            <w:shd w:val="clear" w:color="auto" w:fill="auto"/>
            <w:noWrap/>
            <w:vAlign w:val="bottom"/>
            <w:hideMark/>
          </w:tcPr>
          <w:p w14:paraId="0D0359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ITO/PEDOT:PSS/AL/PNDIT-F3N-Br/Ag</w:t>
            </w:r>
          </w:p>
        </w:tc>
        <w:tc>
          <w:tcPr>
            <w:tcW w:w="1288" w:type="pct"/>
            <w:tcBorders>
              <w:top w:val="single" w:sz="4" w:space="0" w:color="auto"/>
              <w:left w:val="nil"/>
              <w:bottom w:val="single" w:sz="4" w:space="0" w:color="auto"/>
              <w:right w:val="nil"/>
            </w:tcBorders>
            <w:shd w:val="clear" w:color="auto" w:fill="auto"/>
            <w:noWrap/>
            <w:vAlign w:val="bottom"/>
            <w:hideMark/>
          </w:tcPr>
          <w:p w14:paraId="547D080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PM6:ABP6T-4F:CH1007</w:t>
            </w:r>
          </w:p>
        </w:tc>
        <w:tc>
          <w:tcPr>
            <w:tcW w:w="379" w:type="pct"/>
            <w:tcBorders>
              <w:top w:val="single" w:sz="4" w:space="0" w:color="auto"/>
              <w:left w:val="nil"/>
              <w:bottom w:val="single" w:sz="4" w:space="0" w:color="auto"/>
              <w:right w:val="nil"/>
            </w:tcBorders>
            <w:shd w:val="clear" w:color="auto" w:fill="auto"/>
            <w:noWrap/>
            <w:vAlign w:val="bottom"/>
            <w:hideMark/>
          </w:tcPr>
          <w:p w14:paraId="5BAA55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30928E9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26.52</w:t>
            </w:r>
          </w:p>
        </w:tc>
        <w:tc>
          <w:tcPr>
            <w:tcW w:w="378" w:type="pct"/>
            <w:tcBorders>
              <w:top w:val="single" w:sz="4" w:space="0" w:color="auto"/>
              <w:left w:val="nil"/>
              <w:bottom w:val="single" w:sz="4" w:space="0" w:color="auto"/>
              <w:right w:val="nil"/>
            </w:tcBorders>
            <w:shd w:val="clear" w:color="auto" w:fill="auto"/>
            <w:noWrap/>
            <w:vAlign w:val="bottom"/>
            <w:hideMark/>
          </w:tcPr>
          <w:p w14:paraId="0176132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75.87</w:t>
            </w:r>
          </w:p>
        </w:tc>
        <w:tc>
          <w:tcPr>
            <w:tcW w:w="381" w:type="pct"/>
            <w:tcBorders>
              <w:top w:val="single" w:sz="4" w:space="0" w:color="auto"/>
              <w:left w:val="nil"/>
              <w:bottom w:val="single" w:sz="4" w:space="0" w:color="auto"/>
              <w:right w:val="nil"/>
            </w:tcBorders>
            <w:shd w:val="clear" w:color="auto" w:fill="auto"/>
            <w:noWrap/>
            <w:vAlign w:val="bottom"/>
            <w:hideMark/>
          </w:tcPr>
          <w:p w14:paraId="29C8704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17.1</w:t>
            </w:r>
          </w:p>
        </w:tc>
        <w:tc>
          <w:tcPr>
            <w:tcW w:w="378" w:type="pct"/>
            <w:tcBorders>
              <w:top w:val="single" w:sz="4" w:space="0" w:color="auto"/>
              <w:left w:val="nil"/>
              <w:bottom w:val="single" w:sz="4" w:space="0" w:color="auto"/>
              <w:right w:val="nil"/>
            </w:tcBorders>
            <w:shd w:val="clear" w:color="auto" w:fill="auto"/>
            <w:noWrap/>
            <w:vAlign w:val="bottom"/>
            <w:hideMark/>
          </w:tcPr>
          <w:p w14:paraId="0988B38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{"citationID":"a1p27hmjnjh","properties":{"formattedCitation":"[124]","plainCitation":"[124]","noteIndex":0},"citationItems":[{"id":529,"uris":["http://zotero.org/users/12909065/items/CFZVDD54"],"itemData":{"id":529,"type":"article-journal","abstract":"Herein, asymmetric isomer effects are systematically explored by designing and synthesizing two benzo[c][1,2,5]thiadiazole (BT)-fused nonacyclic electron acceptors. By changing from BP6T-4F to asymmetric ABP6T-4F, significantly enhanced dielectric constant and inhibited excessive molecular aggregation and unfavorable edge-on orientation could be achieved. The reduced exciton binding energy also facilitates a more efficient dissociation process in PM6:ABP6T-4F compared to PM6:BP6T-4F with the same energy offset. Moreover, the weaker crystallization behavior enables a significantly enhanced miscibility between PM6 and ABP6T-4F than that between PM6 and BP6T-4F, which leads to an optimized micromorphology with smooth surface, suitable domain size, and ordered π–π stacking. Organic solar cells (OSCs) based on PM6:ABP6T-4F achieve a 15.8% power conversion efficiency (PCE), which is remarkably higher than that of PM6:BP6T-4F-based OSCs (6.4%). Furthermore, ternary devices are also fabricated considering good compatibility between ABP6T-4F and CH1007 to deliver a PCE over 17%. This study reveals the effectiveness and great potential of asymmetric isomerization strategy in regulating molecular properties, which will provide guidance for the future design of non-fullerene acceptors. © 2021 Wiley-VCH GmbH","archive":"Scopus","container-title":"Advanced Functional Materials","DOI":"10.1002/adfm.202104369","ISSN":"1616-301X","issue":"37","language":"English","source":"Scopus","title":"Asymmetric Isomer Effects in Benzo[c][1,2,5]thiadiazole-Fused Nonacyclic Acceptors: Dielectric Constant and Molecular Crystallinity Control for Significant Photovoltaic Performance Enhancement","title-short":"Asymmetric Isomer Effects in Benzo[c][1,2,5]thiadiazole-Fused Nonacyclic Acceptors","volume":"31","author":[{"family":"Gao","given":"W."},{"family":"Fan","given":"B."},{"family":"Qi","given":"F."},{"family":"Lin","given":"F."},{"family":"Sun","given":"R."},{"family":"Xia","given":"X."},{"family":"Gao","given":"J."},{"family":"Zhong","given":"C."},{"family":"Lu","given":"X."},{"family":"Min","given":"J."},{"family":"Zhang","given":"F."},{"family":"Zhu","given":"Z."},{"family":"Luo","given":"J."},{"family":"Jen","given":"A.K.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[124]</w:t>
            </w:r>
            <w:r w:rsidRPr="00B55044">
              <w:rPr>
                <w:rFonts w:eastAsia="Times New Roman"/>
                <w:color w:val="0000FF"/>
                <w:sz w:val="16"/>
                <w:szCs w:val="16"/>
              </w:rPr>
              <w:fldChar w:fldCharType="end"/>
            </w:r>
          </w:p>
        </w:tc>
      </w:tr>
      <w:tr w:rsidR="00D47774" w:rsidRPr="00B55044" w14:paraId="707CAB0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88D61D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213</w:t>
            </w:r>
          </w:p>
        </w:tc>
        <w:tc>
          <w:tcPr>
            <w:tcW w:w="1525" w:type="pct"/>
            <w:tcBorders>
              <w:top w:val="single" w:sz="4" w:space="0" w:color="auto"/>
              <w:left w:val="nil"/>
              <w:bottom w:val="single" w:sz="4" w:space="0" w:color="auto"/>
              <w:right w:val="nil"/>
            </w:tcBorders>
            <w:shd w:val="clear" w:color="auto" w:fill="auto"/>
            <w:noWrap/>
            <w:vAlign w:val="bottom"/>
            <w:hideMark/>
          </w:tcPr>
          <w:p w14:paraId="42EF084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671DC58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PM6:Y6:MOITIC</w:t>
            </w:r>
          </w:p>
        </w:tc>
        <w:tc>
          <w:tcPr>
            <w:tcW w:w="379" w:type="pct"/>
            <w:tcBorders>
              <w:top w:val="single" w:sz="4" w:space="0" w:color="auto"/>
              <w:left w:val="nil"/>
              <w:bottom w:val="single" w:sz="4" w:space="0" w:color="auto"/>
              <w:right w:val="nil"/>
            </w:tcBorders>
            <w:shd w:val="clear" w:color="auto" w:fill="auto"/>
            <w:noWrap/>
            <w:vAlign w:val="bottom"/>
            <w:hideMark/>
          </w:tcPr>
          <w:p w14:paraId="7C3023F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0.882</w:t>
            </w:r>
          </w:p>
        </w:tc>
        <w:tc>
          <w:tcPr>
            <w:tcW w:w="379" w:type="pct"/>
            <w:tcBorders>
              <w:top w:val="single" w:sz="4" w:space="0" w:color="auto"/>
              <w:left w:val="nil"/>
              <w:bottom w:val="single" w:sz="4" w:space="0" w:color="auto"/>
              <w:right w:val="nil"/>
            </w:tcBorders>
            <w:shd w:val="clear" w:color="auto" w:fill="auto"/>
            <w:noWrap/>
            <w:vAlign w:val="bottom"/>
            <w:hideMark/>
          </w:tcPr>
          <w:p w14:paraId="5DE1671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25.6</w:t>
            </w:r>
          </w:p>
        </w:tc>
        <w:tc>
          <w:tcPr>
            <w:tcW w:w="378" w:type="pct"/>
            <w:tcBorders>
              <w:top w:val="single" w:sz="4" w:space="0" w:color="auto"/>
              <w:left w:val="nil"/>
              <w:bottom w:val="single" w:sz="4" w:space="0" w:color="auto"/>
              <w:right w:val="nil"/>
            </w:tcBorders>
            <w:shd w:val="clear" w:color="auto" w:fill="auto"/>
            <w:noWrap/>
            <w:vAlign w:val="bottom"/>
            <w:hideMark/>
          </w:tcPr>
          <w:p w14:paraId="2B3DCB6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75.7</w:t>
            </w:r>
          </w:p>
        </w:tc>
        <w:tc>
          <w:tcPr>
            <w:tcW w:w="381" w:type="pct"/>
            <w:tcBorders>
              <w:top w:val="single" w:sz="4" w:space="0" w:color="auto"/>
              <w:left w:val="nil"/>
              <w:bottom w:val="single" w:sz="4" w:space="0" w:color="auto"/>
              <w:right w:val="nil"/>
            </w:tcBorders>
            <w:shd w:val="clear" w:color="auto" w:fill="auto"/>
            <w:noWrap/>
            <w:vAlign w:val="bottom"/>
            <w:hideMark/>
          </w:tcPr>
          <w:p w14:paraId="7CB02E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17.1</w:t>
            </w:r>
          </w:p>
        </w:tc>
        <w:tc>
          <w:tcPr>
            <w:tcW w:w="378" w:type="pct"/>
            <w:tcBorders>
              <w:top w:val="single" w:sz="4" w:space="0" w:color="auto"/>
              <w:left w:val="nil"/>
              <w:bottom w:val="single" w:sz="4" w:space="0" w:color="auto"/>
              <w:right w:val="nil"/>
            </w:tcBorders>
            <w:shd w:val="clear" w:color="auto" w:fill="auto"/>
            <w:noWrap/>
            <w:vAlign w:val="bottom"/>
            <w:hideMark/>
          </w:tcPr>
          <w:p w14:paraId="0DE6F61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{"citationID":"a2ivs7loqrq","properties":{"formattedCitation":"[125]","plainCitation":"[125]","noteIndex":0},"citationItems":[{"id":528,"uris":["http://zotero.org/users/12909065/items/YLZFEQBR"],"itemData":{"id":528,"type":"article-journal","abstract":"To further elevate the power conversion efficiency (PCE) of organic solar cells (OSCs), ternary strategy is one of the most efficient methods via simply incorporating a suitable third component. Here, a nonfullerene small molecule acceptor MOITIC was incorporated into the state-of-art PM6:Y6 binary system to further enhance the photovoltaic performance. Detailed investigation revealed that MOITIC exhibited a good miscibility and compatibility with Y6, forming alloy-like acceptors in the ternary blends. The alloy-like phase promoted the phase separation and optimized the morphology of ternary blend, which afforded higher and more balanced carrier mobility and reduced charge recombination in devices. Moreover, the larger energy offset between PM6 and MOITIC:Y6 acceptor alloy is beneficial to enhance open-circuit voltage (Voc) of corresponding devices. As a consequence, the optimized ternary OSC (PM6:Y6:MOITIC = 1:1:0.1) showed a significantly increased PCE of 17.1% with simultaneously enhanced Voc of 0.882 V, short-circuit current density (Jsc) of 25.6 mA cm−2, and fill factor (FF) of 75.7%, which has about 9% enhancement compared to the control binary PM6:Y6 (15.7%). In addition, the optimized ternary device exhibited better stability. This work indicates that ternary strategy via combining two compatible small molecule acceptors is effective to simultaneously improve the efficiency and stability of OSCs. © 2021 Elsevier B.V.","archive":"Scopus","container-title":"Organic Electronics","DOI":"10.1016/j.orgel.2021.106227","ISSN":"1566-1199","language":"English","source":"Scopus","title":"Ternary organic solar cells with improved efficiency and stability enabled by compatible dual-acceptor strategy","volume":"96","author":[{"family":"Xiong","given":"M."},{"family":"Wu","given":"J."},{"family":"Fan","given":"Q."},{"family":"Liu","given":"Q."},{"family":"Lv","given":"J."},{"family":"Ou","given":"X."},{"family":"Guo","given":"X."},{"family":"Zhang","given":"M."}],"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[125]</w:t>
            </w:r>
            <w:r w:rsidRPr="00B55044">
              <w:rPr>
                <w:rFonts w:eastAsia="Times New Roman"/>
                <w:color w:val="0000FF"/>
                <w:sz w:val="16"/>
                <w:szCs w:val="16"/>
              </w:rPr>
              <w:fldChar w:fldCharType="end"/>
            </w:r>
          </w:p>
        </w:tc>
      </w:tr>
      <w:tr w:rsidR="00D47774" w:rsidRPr="00B55044" w14:paraId="68E7F58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9BAD68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214</w:t>
            </w:r>
          </w:p>
        </w:tc>
        <w:tc>
          <w:tcPr>
            <w:tcW w:w="1525" w:type="pct"/>
            <w:tcBorders>
              <w:top w:val="single" w:sz="4" w:space="0" w:color="auto"/>
              <w:left w:val="nil"/>
              <w:bottom w:val="single" w:sz="4" w:space="0" w:color="auto"/>
              <w:right w:val="nil"/>
            </w:tcBorders>
            <w:shd w:val="clear" w:color="auto" w:fill="auto"/>
            <w:noWrap/>
            <w:vAlign w:val="bottom"/>
            <w:hideMark/>
          </w:tcPr>
          <w:p w14:paraId="0FC4097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6EAC557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PM6:Y6:IDIC</w:t>
            </w:r>
          </w:p>
        </w:tc>
        <w:tc>
          <w:tcPr>
            <w:tcW w:w="379" w:type="pct"/>
            <w:tcBorders>
              <w:top w:val="single" w:sz="4" w:space="0" w:color="auto"/>
              <w:left w:val="nil"/>
              <w:bottom w:val="single" w:sz="4" w:space="0" w:color="auto"/>
              <w:right w:val="nil"/>
            </w:tcBorders>
            <w:shd w:val="clear" w:color="auto" w:fill="auto"/>
            <w:noWrap/>
            <w:vAlign w:val="bottom"/>
            <w:hideMark/>
          </w:tcPr>
          <w:p w14:paraId="6458001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0.859</w:t>
            </w:r>
          </w:p>
        </w:tc>
        <w:tc>
          <w:tcPr>
            <w:tcW w:w="379" w:type="pct"/>
            <w:tcBorders>
              <w:top w:val="single" w:sz="4" w:space="0" w:color="auto"/>
              <w:left w:val="nil"/>
              <w:bottom w:val="single" w:sz="4" w:space="0" w:color="auto"/>
              <w:right w:val="nil"/>
            </w:tcBorders>
            <w:shd w:val="clear" w:color="auto" w:fill="auto"/>
            <w:noWrap/>
            <w:vAlign w:val="bottom"/>
            <w:hideMark/>
          </w:tcPr>
          <w:p w14:paraId="1F08330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25.67</w:t>
            </w:r>
          </w:p>
        </w:tc>
        <w:tc>
          <w:tcPr>
            <w:tcW w:w="378" w:type="pct"/>
            <w:tcBorders>
              <w:top w:val="single" w:sz="4" w:space="0" w:color="auto"/>
              <w:left w:val="nil"/>
              <w:bottom w:val="single" w:sz="4" w:space="0" w:color="auto"/>
              <w:right w:val="nil"/>
            </w:tcBorders>
            <w:shd w:val="clear" w:color="auto" w:fill="auto"/>
            <w:noWrap/>
            <w:vAlign w:val="bottom"/>
            <w:hideMark/>
          </w:tcPr>
          <w:p w14:paraId="189A174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76.5</w:t>
            </w:r>
          </w:p>
        </w:tc>
        <w:tc>
          <w:tcPr>
            <w:tcW w:w="381" w:type="pct"/>
            <w:tcBorders>
              <w:top w:val="single" w:sz="4" w:space="0" w:color="auto"/>
              <w:left w:val="nil"/>
              <w:bottom w:val="single" w:sz="4" w:space="0" w:color="auto"/>
              <w:right w:val="nil"/>
            </w:tcBorders>
            <w:shd w:val="clear" w:color="auto" w:fill="auto"/>
            <w:noWrap/>
            <w:vAlign w:val="bottom"/>
            <w:hideMark/>
          </w:tcPr>
          <w:p w14:paraId="6A7C4ED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16.86</w:t>
            </w:r>
          </w:p>
        </w:tc>
        <w:tc>
          <w:tcPr>
            <w:tcW w:w="378" w:type="pct"/>
            <w:tcBorders>
              <w:top w:val="single" w:sz="4" w:space="0" w:color="auto"/>
              <w:left w:val="nil"/>
              <w:bottom w:val="single" w:sz="4" w:space="0" w:color="auto"/>
              <w:right w:val="nil"/>
            </w:tcBorders>
            <w:shd w:val="clear" w:color="auto" w:fill="auto"/>
            <w:noWrap/>
            <w:vAlign w:val="bottom"/>
            <w:hideMark/>
          </w:tcPr>
          <w:p w14:paraId="3DEA847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{"citationID":"a2fdp7pua14","properties":{"formattedCitation":"[126]","plainCitation":"[126]","noteIndex":0},"citationItems":[{"id":527,"uris":["http://zotero.org/users/12909065/items/LJPDI634"],"itemData":{"id":527,"type":"article-journal","abstract":"Researchers are endeavoring to decode the fundamental reasons for the non-fullerene acceptor, Y6, to deliver high-performance in organic solar cells. In this work, we tackle this problem from the molecular packing point of view. By gradually increasing the thermal annealing temperature of Y6, its backbone order in thin films is significantly enhanced and eventually reoriented to the “backbone-on” orientation with the backbone plane standing on the substrate. It displays well-defined Bragg peaks in two-dimensional grazing-incidence wide-angle X-ray scattering patterns for a clear crystal indexing. The 250 °C annealed pure Y6 and binary PM6:Y6 films exhibit square and rectangular diffraction patterns, respectively. It is suggested that both are polymorphs of two-dimensional Y6 packing in its backbone plane, which resulted from its “L” shaped core-group and the biaxial backbone order through the end-group π-π stacking. Interestingly, the square lattice can be restored in the blend PM6:Y6 film by adding a small amount of IDIC. However, on the other hand, a larger portion of IDIC in the ternary blend hinders the long-range crystalline packing of Y6 and correlatedly deteriorates the device performance. This work provides an in-depth understanding of the molecular packing mechanism of Y6 in thin films for the future rational design of high-performance organic photovoltaic molecules with advantageous crystalline packing motifs. © The Royal Society of Chemistry 2021.","archive":"Scopus","container-title":"Journal of Materials Chemistry A","DOI":"10.1039/d1ta05268c","ISSN":"2050-7488","issue":"31","language":"English","page":"17030-17038","source":"Scopus","title":"Unveiling the crystalline packing of Y6 in thin films by thermally induced “backbone-on” orientation","volume":"9","author":[{"family":"Xiao","given":"Y."},{"family":"Yuan","given":"J."},{"family":"Zhou","given":"G."},{"family":"Ngan","given":"K.C."},{"family":"Xia","given":"X."},{"family":"Zhu","given":"J."},{"family":"Zou","given":"Y."},{"family":"Zhao","given":"N."},{"family":"Zhan","given":"X."},{"family":"Lu","given":"X."}],"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[126]</w:t>
            </w:r>
            <w:r w:rsidRPr="00B55044">
              <w:rPr>
                <w:rFonts w:eastAsia="Times New Roman"/>
                <w:color w:val="0000FF"/>
                <w:sz w:val="16"/>
                <w:szCs w:val="16"/>
              </w:rPr>
              <w:fldChar w:fldCharType="end"/>
            </w:r>
          </w:p>
        </w:tc>
      </w:tr>
      <w:tr w:rsidR="00D47774" w:rsidRPr="00B55044" w14:paraId="7150C76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5C366B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215</w:t>
            </w:r>
          </w:p>
        </w:tc>
        <w:tc>
          <w:tcPr>
            <w:tcW w:w="1525" w:type="pct"/>
            <w:tcBorders>
              <w:top w:val="single" w:sz="4" w:space="0" w:color="auto"/>
              <w:left w:val="nil"/>
              <w:bottom w:val="single" w:sz="4" w:space="0" w:color="auto"/>
              <w:right w:val="nil"/>
            </w:tcBorders>
            <w:shd w:val="clear" w:color="auto" w:fill="auto"/>
            <w:noWrap/>
            <w:vAlign w:val="bottom"/>
            <w:hideMark/>
          </w:tcPr>
          <w:p w14:paraId="5448E53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0B8EE55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PM6:IM-4F:IDIC</w:t>
            </w:r>
          </w:p>
        </w:tc>
        <w:tc>
          <w:tcPr>
            <w:tcW w:w="379" w:type="pct"/>
            <w:tcBorders>
              <w:top w:val="single" w:sz="4" w:space="0" w:color="auto"/>
              <w:left w:val="nil"/>
              <w:bottom w:val="single" w:sz="4" w:space="0" w:color="auto"/>
              <w:right w:val="nil"/>
            </w:tcBorders>
            <w:shd w:val="clear" w:color="auto" w:fill="auto"/>
            <w:noWrap/>
            <w:vAlign w:val="bottom"/>
            <w:hideMark/>
          </w:tcPr>
          <w:p w14:paraId="040143C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0.891</w:t>
            </w:r>
          </w:p>
        </w:tc>
        <w:tc>
          <w:tcPr>
            <w:tcW w:w="379" w:type="pct"/>
            <w:tcBorders>
              <w:top w:val="single" w:sz="4" w:space="0" w:color="auto"/>
              <w:left w:val="nil"/>
              <w:bottom w:val="single" w:sz="4" w:space="0" w:color="auto"/>
              <w:right w:val="nil"/>
            </w:tcBorders>
            <w:shd w:val="clear" w:color="auto" w:fill="auto"/>
            <w:noWrap/>
            <w:vAlign w:val="bottom"/>
            <w:hideMark/>
          </w:tcPr>
          <w:p w14:paraId="3F92D9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22.61</w:t>
            </w:r>
          </w:p>
        </w:tc>
        <w:tc>
          <w:tcPr>
            <w:tcW w:w="378" w:type="pct"/>
            <w:tcBorders>
              <w:top w:val="single" w:sz="4" w:space="0" w:color="auto"/>
              <w:left w:val="nil"/>
              <w:bottom w:val="single" w:sz="4" w:space="0" w:color="auto"/>
              <w:right w:val="nil"/>
            </w:tcBorders>
            <w:shd w:val="clear" w:color="auto" w:fill="auto"/>
            <w:noWrap/>
            <w:vAlign w:val="bottom"/>
            <w:hideMark/>
          </w:tcPr>
          <w:p w14:paraId="7FA92F4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78.75</w:t>
            </w:r>
          </w:p>
        </w:tc>
        <w:tc>
          <w:tcPr>
            <w:tcW w:w="381" w:type="pct"/>
            <w:tcBorders>
              <w:top w:val="single" w:sz="4" w:space="0" w:color="auto"/>
              <w:left w:val="nil"/>
              <w:bottom w:val="single" w:sz="4" w:space="0" w:color="auto"/>
              <w:right w:val="nil"/>
            </w:tcBorders>
            <w:shd w:val="clear" w:color="auto" w:fill="auto"/>
            <w:noWrap/>
            <w:vAlign w:val="bottom"/>
            <w:hideMark/>
          </w:tcPr>
          <w:p w14:paraId="1887B1F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15.86</w:t>
            </w:r>
          </w:p>
        </w:tc>
        <w:tc>
          <w:tcPr>
            <w:tcW w:w="378" w:type="pct"/>
            <w:tcBorders>
              <w:top w:val="single" w:sz="4" w:space="0" w:color="auto"/>
              <w:left w:val="nil"/>
              <w:bottom w:val="single" w:sz="4" w:space="0" w:color="auto"/>
              <w:right w:val="nil"/>
            </w:tcBorders>
            <w:shd w:val="clear" w:color="auto" w:fill="auto"/>
            <w:noWrap/>
            <w:vAlign w:val="bottom"/>
            <w:hideMark/>
          </w:tcPr>
          <w:p w14:paraId="28C38EF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{"citationID":"a1qjv1v68mo","properties":{"formattedCitation":"[127]","plainCitation":"[127]","noteIndex":0},"citationItems":[{"id":526,"uris":["http://zotero.org/users/12909065/items/HZ94NPWY"],"itemData":{"id":526,"type":"article-journal","abstract":"Organic solar cells (OSCs) adopting nonfullerene acceptors have realized over 18% power conversion efficiency (PCE). It is however challenging to achieve highly efficient devices with active layers over 200 nm thickness. Herein, we report high-performance large-area and thick-film ternary OSCs by incorporating high electron mobility IDIC into PM6:IM-4F host blend. The addition of IDIC significantly improves the crystallinity and intensifies face-on orientation in proper multi-length morphology for enhanced charge transport in active layers. As a result, the optimized ~100 nm-thick ternary OSCs with 10 wt% IDIC in the acceptors exhibit a high PCE of 15.86% for small-area (0.04 cm2) and 14.80% for large-area (0.50 cm2) devices. Importantly, the optimal ternary OSCs present excellent tolerance to the active layer thickness (≈65–353 nm). The 282 nm-thick devices contribute a PCE of 14.43% and a FF of 71.23%, among the highest values for OSCs with similar active layer thicknesses reported to date, even outperforming the remarkable 300 nm-thick PM6:Y6 system. Our work demonstrates that ternary OSCs by introducing high mobility acceptor as third component to host binary blends featuring high current and low energy loss have great potential for large-scale fabrication of highly-efficient thick-film OSCs for practical application. © 2021 Elsevier B.V.","archive":"Scopus","container-title":"Chemical Engineering Journal","DOI":"10.1016/j.cej.2021.129539","ISSN":"1385-8947","language":"English","source":"Scopus","title":"High mobility acceptor as third component enabling high-performance large area and thick active layer ternary solar cells","volume":"418","author":[{"family":"Wang","given":"H."},{"family":"Zhang","given":"Z."},{"family":"Yu","given":"J."},{"family":"Liu","given":"X."},{"family":"Tang","given":"W."}],"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[127]</w:t>
            </w:r>
            <w:r w:rsidRPr="00B55044">
              <w:rPr>
                <w:rFonts w:eastAsia="Times New Roman"/>
                <w:color w:val="0000FF"/>
                <w:sz w:val="16"/>
                <w:szCs w:val="16"/>
              </w:rPr>
              <w:fldChar w:fldCharType="end"/>
            </w:r>
          </w:p>
        </w:tc>
      </w:tr>
      <w:tr w:rsidR="00D47774" w:rsidRPr="00B55044" w14:paraId="59CB932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2FF08F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216</w:t>
            </w:r>
          </w:p>
        </w:tc>
        <w:tc>
          <w:tcPr>
            <w:tcW w:w="1525" w:type="pct"/>
            <w:tcBorders>
              <w:top w:val="single" w:sz="4" w:space="0" w:color="auto"/>
              <w:left w:val="nil"/>
              <w:bottom w:val="single" w:sz="4" w:space="0" w:color="auto"/>
              <w:right w:val="nil"/>
            </w:tcBorders>
            <w:shd w:val="clear" w:color="auto" w:fill="auto"/>
            <w:noWrap/>
            <w:vAlign w:val="bottom"/>
            <w:hideMark/>
          </w:tcPr>
          <w:p w14:paraId="4D08F0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6AF5003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PM6:Y6:BTIC-EH-2ThBr</w:t>
            </w:r>
          </w:p>
        </w:tc>
        <w:tc>
          <w:tcPr>
            <w:tcW w:w="379" w:type="pct"/>
            <w:tcBorders>
              <w:top w:val="single" w:sz="4" w:space="0" w:color="auto"/>
              <w:left w:val="nil"/>
              <w:bottom w:val="single" w:sz="4" w:space="0" w:color="auto"/>
              <w:right w:val="nil"/>
            </w:tcBorders>
            <w:shd w:val="clear" w:color="auto" w:fill="auto"/>
            <w:noWrap/>
            <w:vAlign w:val="bottom"/>
            <w:hideMark/>
          </w:tcPr>
          <w:p w14:paraId="541636B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0.853</w:t>
            </w:r>
          </w:p>
        </w:tc>
        <w:tc>
          <w:tcPr>
            <w:tcW w:w="379" w:type="pct"/>
            <w:tcBorders>
              <w:top w:val="single" w:sz="4" w:space="0" w:color="auto"/>
              <w:left w:val="nil"/>
              <w:bottom w:val="single" w:sz="4" w:space="0" w:color="auto"/>
              <w:right w:val="nil"/>
            </w:tcBorders>
            <w:shd w:val="clear" w:color="auto" w:fill="auto"/>
            <w:noWrap/>
            <w:vAlign w:val="bottom"/>
            <w:hideMark/>
          </w:tcPr>
          <w:p w14:paraId="733CEFC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26.39</w:t>
            </w:r>
          </w:p>
        </w:tc>
        <w:tc>
          <w:tcPr>
            <w:tcW w:w="378" w:type="pct"/>
            <w:tcBorders>
              <w:top w:val="single" w:sz="4" w:space="0" w:color="auto"/>
              <w:left w:val="nil"/>
              <w:bottom w:val="single" w:sz="4" w:space="0" w:color="auto"/>
              <w:right w:val="nil"/>
            </w:tcBorders>
            <w:shd w:val="clear" w:color="auto" w:fill="auto"/>
            <w:noWrap/>
            <w:vAlign w:val="bottom"/>
            <w:hideMark/>
          </w:tcPr>
          <w:p w14:paraId="03C6959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77.9</w:t>
            </w:r>
          </w:p>
        </w:tc>
        <w:tc>
          <w:tcPr>
            <w:tcW w:w="381" w:type="pct"/>
            <w:tcBorders>
              <w:top w:val="single" w:sz="4" w:space="0" w:color="auto"/>
              <w:left w:val="nil"/>
              <w:bottom w:val="single" w:sz="4" w:space="0" w:color="auto"/>
              <w:right w:val="nil"/>
            </w:tcBorders>
            <w:shd w:val="clear" w:color="auto" w:fill="auto"/>
            <w:noWrap/>
            <w:vAlign w:val="bottom"/>
            <w:hideMark/>
          </w:tcPr>
          <w:p w14:paraId="7465404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17.54</w:t>
            </w:r>
          </w:p>
        </w:tc>
        <w:tc>
          <w:tcPr>
            <w:tcW w:w="378" w:type="pct"/>
            <w:tcBorders>
              <w:top w:val="single" w:sz="4" w:space="0" w:color="auto"/>
              <w:left w:val="nil"/>
              <w:bottom w:val="single" w:sz="4" w:space="0" w:color="auto"/>
              <w:right w:val="nil"/>
            </w:tcBorders>
            <w:shd w:val="clear" w:color="auto" w:fill="auto"/>
            <w:noWrap/>
            <w:vAlign w:val="bottom"/>
            <w:hideMark/>
          </w:tcPr>
          <w:p w14:paraId="6B5FEB1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{"citationID":"a10lri8kl73","properties":{"formattedCitation":"[128]","plainCitation":"[128]","noteIndex":0},"citationItems":[{"id":525,"uris":["http://zotero.org/users/12909065/items/XXPJ5JYD"],"itemData":{"id":525,"type":"article-journal","abstract":"The light harvesting and photocurrent generation from acceptors largely determine the photovoltaic performance of organic solar cells (OSCs). We have designed and prepared two medium band gap non-fullerene acceptors (NFAs), BTIC-EH-2ThBr and BTIC-BO-2ThBr, containing end groups with low electron affinity. The absorption spectrum and the energy level are simultaneously finely tuned through the weak electron-withdrawing end group to serve as an excellent third component in ternary organic solar cells (TOSCs). The emission spectra of BTIC-EH-2ThBr and BTIC-BO-2ThBr mostly overlap with the absorption spectrum of the Y6 film, and efficient energy transfer is achieved from BTIC-EH-2ThBr or BTIC-BO-2ThBr to Y6. A cascade in the energy alignment could also be obtained. The morphology of the PM6:Y6:BTIC-EH-2ThBr blend film has been optimized with the addition of BTIC-EH-2ThBr as a third component. The introduction of a medium band gap molecule, BTIC-EH-2ThBr, alleviates excessive aggregation behavior and the crystallinity of the PM6:Y6 blend film. In this way, a high efficiency ternary device has been obtained with improved charge separation, transportation, collection and reduced exciton recombination. Overall, a TOSC based on PM6:Y6:BTIC-EH-2ThBr delivers the highest photovoltaic performance of 17.54% with enhanced photo utilization. © The Royal Society of Chemistry 2021.","archive":"Scopus","container-title":"Journal of Materials Chemistry A","DOI":"10.1039/d1ta04454k","ISSN":"2050-7488","issue":"30","language":"English","page":"16418-16426","source":"Scopus","title":"Over 17.5% efficiency ternary organic solar cells with enhanced photon utilizationviaa medium band gap non-fullerene acceptor","volume":"9","author":[{"family":"Cao","given":"C."},{"family":"Lai","given":"H."},{"family":"Chen","given":"H."},{"family":"Zhu","given":"Y."},{"family":"Pu","given":"M."},{"family":"Zheng","given":"N."},{"family":"He","given":"F."}],"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[128]</w:t>
            </w:r>
            <w:r w:rsidRPr="00B55044">
              <w:rPr>
                <w:rFonts w:eastAsia="Times New Roman"/>
                <w:color w:val="0000FF"/>
                <w:sz w:val="16"/>
                <w:szCs w:val="16"/>
              </w:rPr>
              <w:fldChar w:fldCharType="end"/>
            </w:r>
          </w:p>
        </w:tc>
      </w:tr>
      <w:tr w:rsidR="00D47774" w:rsidRPr="00B55044" w14:paraId="7716E21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1D9DE8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217</w:t>
            </w:r>
          </w:p>
        </w:tc>
        <w:tc>
          <w:tcPr>
            <w:tcW w:w="1525" w:type="pct"/>
            <w:tcBorders>
              <w:top w:val="single" w:sz="4" w:space="0" w:color="auto"/>
              <w:left w:val="nil"/>
              <w:bottom w:val="single" w:sz="4" w:space="0" w:color="auto"/>
              <w:right w:val="nil"/>
            </w:tcBorders>
            <w:shd w:val="clear" w:color="auto" w:fill="auto"/>
            <w:noWrap/>
            <w:vAlign w:val="bottom"/>
            <w:hideMark/>
          </w:tcPr>
          <w:p w14:paraId="4E3A5E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3048016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PM6:Y6:BTIC-BO-2ThBr</w:t>
            </w:r>
          </w:p>
        </w:tc>
        <w:tc>
          <w:tcPr>
            <w:tcW w:w="379" w:type="pct"/>
            <w:tcBorders>
              <w:top w:val="single" w:sz="4" w:space="0" w:color="auto"/>
              <w:left w:val="nil"/>
              <w:bottom w:val="single" w:sz="4" w:space="0" w:color="auto"/>
              <w:right w:val="nil"/>
            </w:tcBorders>
            <w:shd w:val="clear" w:color="auto" w:fill="auto"/>
            <w:noWrap/>
            <w:vAlign w:val="bottom"/>
            <w:hideMark/>
          </w:tcPr>
          <w:p w14:paraId="5569DED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0.851</w:t>
            </w:r>
          </w:p>
        </w:tc>
        <w:tc>
          <w:tcPr>
            <w:tcW w:w="379" w:type="pct"/>
            <w:tcBorders>
              <w:top w:val="single" w:sz="4" w:space="0" w:color="auto"/>
              <w:left w:val="nil"/>
              <w:bottom w:val="single" w:sz="4" w:space="0" w:color="auto"/>
              <w:right w:val="nil"/>
            </w:tcBorders>
            <w:shd w:val="clear" w:color="auto" w:fill="auto"/>
            <w:noWrap/>
            <w:vAlign w:val="bottom"/>
            <w:hideMark/>
          </w:tcPr>
          <w:p w14:paraId="5997FBC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26.02</w:t>
            </w:r>
          </w:p>
        </w:tc>
        <w:tc>
          <w:tcPr>
            <w:tcW w:w="378" w:type="pct"/>
            <w:tcBorders>
              <w:top w:val="single" w:sz="4" w:space="0" w:color="auto"/>
              <w:left w:val="nil"/>
              <w:bottom w:val="single" w:sz="4" w:space="0" w:color="auto"/>
              <w:right w:val="nil"/>
            </w:tcBorders>
            <w:shd w:val="clear" w:color="auto" w:fill="auto"/>
            <w:noWrap/>
            <w:vAlign w:val="bottom"/>
            <w:hideMark/>
          </w:tcPr>
          <w:p w14:paraId="36A321A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76.1</w:t>
            </w:r>
          </w:p>
        </w:tc>
        <w:tc>
          <w:tcPr>
            <w:tcW w:w="381" w:type="pct"/>
            <w:tcBorders>
              <w:top w:val="single" w:sz="4" w:space="0" w:color="auto"/>
              <w:left w:val="nil"/>
              <w:bottom w:val="single" w:sz="4" w:space="0" w:color="auto"/>
              <w:right w:val="nil"/>
            </w:tcBorders>
            <w:shd w:val="clear" w:color="auto" w:fill="auto"/>
            <w:noWrap/>
            <w:vAlign w:val="bottom"/>
            <w:hideMark/>
          </w:tcPr>
          <w:p w14:paraId="2B4E5F5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16.86</w:t>
            </w:r>
          </w:p>
        </w:tc>
        <w:tc>
          <w:tcPr>
            <w:tcW w:w="378" w:type="pct"/>
            <w:tcBorders>
              <w:top w:val="single" w:sz="4" w:space="0" w:color="auto"/>
              <w:left w:val="nil"/>
              <w:bottom w:val="single" w:sz="4" w:space="0" w:color="auto"/>
              <w:right w:val="nil"/>
            </w:tcBorders>
            <w:shd w:val="clear" w:color="auto" w:fill="auto"/>
            <w:noWrap/>
            <w:vAlign w:val="bottom"/>
            <w:hideMark/>
          </w:tcPr>
          <w:p w14:paraId="78ABEFA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{"citationID":"a1btmm8ee8n","properties":{"formattedCitation":"[128]","plainCitation":"[128]","noteIndex":0},"citationItems":[{"id":525,"uris":["http://zotero.org/users/12909065/items/XXPJ5JYD"],"itemData":{"id":525,"type":"article-journal","abstract":"The light harvesting and photocurrent generation from acceptors largely determine the photovoltaic performance of organic solar cells (OSCs). We have designed and prepared two medium band gap non-fullerene acceptors (NFAs), BTIC-EH-2ThBr and BTIC-BO-2ThBr, containing end groups with low electron affinity. The absorption spectrum and the energy level are simultaneously finely tuned through the weak electron-withdrawing end group to serve as an excellent third component in ternary organic solar cells (TOSCs). The emission spectra of BTIC-EH-2ThBr and BTIC-BO-2ThBr mostly overlap with the absorption spectrum of the Y6 film, and efficient energy transfer is achieved from BTIC-EH-2ThBr or BTIC-BO-2ThBr to Y6. A cascade in the energy alignment could also be obtained. The morphology of the PM6:Y6:BTIC-EH-2ThBr blend film has been optimized with the addition of BTIC-EH-2ThBr as a third component. The introduction of a medium band gap molecule, BTIC-EH-2ThBr, alleviates excessive aggregation behavior and the crystallinity of the PM6:Y6 blend film. In this way, a high efficiency ternary device has been obtained with improved charge separation, transportation, collection and reduced exciton recombination. Overall, a TOSC based on PM6:Y6:BTIC-EH-2ThBr delivers the highest photovoltaic performance of 17.54% with enhanced photo utilization. © The Royal Society of Chemistry 2021.","archive":"Scopus","container-title":"Journal of Materials Chemistry A","DOI":"10.1039/d1ta04454k","ISSN":"2050-7488","issue":"30","language":"English","page":"16418-16426","source":"Scopus","title":"Over 17.5% efficiency ternary organic solar cells with enhanced photon utilizationviaa medium band gap non-fullerene acceptor","volume":"9","author":[{"family":"Cao","given":"C."},{"family":"Lai","given":"H."},{"family":"Chen","given":"H."},{"family":"Zhu","given":"Y."},{"family":"Pu","given":"M."},{"family":"Zheng","given":"N."},{"family":"He","given":"F."}],"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[128]</w:t>
            </w:r>
            <w:r w:rsidRPr="00B55044">
              <w:rPr>
                <w:rFonts w:eastAsia="Times New Roman"/>
                <w:color w:val="0000FF"/>
                <w:sz w:val="16"/>
                <w:szCs w:val="16"/>
              </w:rPr>
              <w:fldChar w:fldCharType="end"/>
            </w:r>
          </w:p>
        </w:tc>
      </w:tr>
      <w:tr w:rsidR="00D47774" w:rsidRPr="00B55044" w14:paraId="0762BCF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3EB89C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218</w:t>
            </w:r>
          </w:p>
        </w:tc>
        <w:tc>
          <w:tcPr>
            <w:tcW w:w="1525" w:type="pct"/>
            <w:tcBorders>
              <w:top w:val="single" w:sz="4" w:space="0" w:color="auto"/>
              <w:left w:val="nil"/>
              <w:bottom w:val="single" w:sz="4" w:space="0" w:color="auto"/>
              <w:right w:val="nil"/>
            </w:tcBorders>
            <w:shd w:val="clear" w:color="auto" w:fill="auto"/>
            <w:noWrap/>
            <w:vAlign w:val="bottom"/>
            <w:hideMark/>
          </w:tcPr>
          <w:p w14:paraId="3E109A6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1DFFA9A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PM6:DRTB-T-C4:Y6</w:t>
            </w:r>
          </w:p>
        </w:tc>
        <w:tc>
          <w:tcPr>
            <w:tcW w:w="379" w:type="pct"/>
            <w:tcBorders>
              <w:top w:val="single" w:sz="4" w:space="0" w:color="auto"/>
              <w:left w:val="nil"/>
              <w:bottom w:val="single" w:sz="4" w:space="0" w:color="auto"/>
              <w:right w:val="nil"/>
            </w:tcBorders>
            <w:shd w:val="clear" w:color="auto" w:fill="auto"/>
            <w:noWrap/>
            <w:vAlign w:val="bottom"/>
            <w:hideMark/>
          </w:tcPr>
          <w:p w14:paraId="741CFFE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0.854</w:t>
            </w:r>
          </w:p>
        </w:tc>
        <w:tc>
          <w:tcPr>
            <w:tcW w:w="379" w:type="pct"/>
            <w:tcBorders>
              <w:top w:val="single" w:sz="4" w:space="0" w:color="auto"/>
              <w:left w:val="nil"/>
              <w:bottom w:val="single" w:sz="4" w:space="0" w:color="auto"/>
              <w:right w:val="nil"/>
            </w:tcBorders>
            <w:shd w:val="clear" w:color="auto" w:fill="auto"/>
            <w:noWrap/>
            <w:vAlign w:val="bottom"/>
            <w:hideMark/>
          </w:tcPr>
          <w:p w14:paraId="17931C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24.68</w:t>
            </w:r>
          </w:p>
        </w:tc>
        <w:tc>
          <w:tcPr>
            <w:tcW w:w="378" w:type="pct"/>
            <w:tcBorders>
              <w:top w:val="single" w:sz="4" w:space="0" w:color="auto"/>
              <w:left w:val="nil"/>
              <w:bottom w:val="single" w:sz="4" w:space="0" w:color="auto"/>
              <w:right w:val="nil"/>
            </w:tcBorders>
            <w:shd w:val="clear" w:color="auto" w:fill="auto"/>
            <w:noWrap/>
            <w:vAlign w:val="bottom"/>
            <w:hideMark/>
          </w:tcPr>
          <w:p w14:paraId="01AB3A1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80.88</w:t>
            </w:r>
          </w:p>
        </w:tc>
        <w:tc>
          <w:tcPr>
            <w:tcW w:w="381" w:type="pct"/>
            <w:tcBorders>
              <w:top w:val="single" w:sz="4" w:space="0" w:color="auto"/>
              <w:left w:val="nil"/>
              <w:bottom w:val="single" w:sz="4" w:space="0" w:color="auto"/>
              <w:right w:val="nil"/>
            </w:tcBorders>
            <w:shd w:val="clear" w:color="auto" w:fill="auto"/>
            <w:noWrap/>
            <w:vAlign w:val="bottom"/>
            <w:hideMark/>
          </w:tcPr>
          <w:p w14:paraId="20DF5F5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17.05</w:t>
            </w:r>
          </w:p>
        </w:tc>
        <w:tc>
          <w:tcPr>
            <w:tcW w:w="378" w:type="pct"/>
            <w:tcBorders>
              <w:top w:val="single" w:sz="4" w:space="0" w:color="auto"/>
              <w:left w:val="nil"/>
              <w:bottom w:val="single" w:sz="4" w:space="0" w:color="auto"/>
              <w:right w:val="nil"/>
            </w:tcBorders>
            <w:shd w:val="clear" w:color="auto" w:fill="auto"/>
            <w:noWrap/>
            <w:vAlign w:val="bottom"/>
            <w:hideMark/>
          </w:tcPr>
          <w:p w14:paraId="345A4DA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{"citationID":"a1runf9bn6r","properties":{"formattedCitation":"[129]","plainCitation":"[129]","noteIndex":0},"citationItems":[{"id":524,"uris":["http://zotero.org/users/12909065/items/2VBEEWE3"],"itemData":{"id":524,"type":"article-journal","abstract":"Ternary architecture is a promising strategy to enhance power conversion efficiencies (PCEs) of organic solar cells (OSCs). However, among all the photovoltaic parameters that govern the final PCEs, the fill factor (FF) for ternary OSCs is generally below 78%, limiting solar cells’ performance. Here, charge dynamics in the ternary cells PM6:DRTB-T-C4:Y6 with a FF of 80.88% and a PCE of 17.05% are thoroughly investigated by a series of transient characterization technologies, including transient absorption spectroscopy, transient photovoltage, and transient photocurrent measurements. The impressive FF results from effective exciton dissociation, enhanced charge transport and suppressed recombination in ternary cells. Moreover, the correlation between the measured FF and the charge recombination-extraction competition is quantitatively analyzed by using a circuit model. The ternary cells also show small energy loss (Eloss). The findings here provide insight into achieving high-FF and low-Eloss ternary OSCs. © 2021 Wiley-VCH GmbH","archive":"Scopus","container-title":"Advanced Energy Materials","DOI":"10.1002/aenm.202101338","ISSN":"1614-6832","issue":"31","language":"English","source":"Scopus","title":"Exploring the Charge Dynamics and Energy Loss in Ternary Organic Solar Cells with a Fill Factor Exceeding 80%","volume":"11","author":[{"family":"Zeng","given":"Y."},{"family":"Li","given":"D."},{"family":"Xiao","given":"Z."},{"family":"Wu","given":"H."},{"family":"Chen","given":"Z."},{"family":"Hao","given":"T."},{"family":"Xiong","given":"S."},{"family":"Ma","given":"Z."},{"family":"Zhu","given":"H."},{"family":"Ding","given":"L."},{"family":"Bao","given":"Q."}],"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[129]</w:t>
            </w:r>
            <w:r w:rsidRPr="00B55044">
              <w:rPr>
                <w:rFonts w:eastAsia="Times New Roman"/>
                <w:color w:val="0000FF"/>
                <w:sz w:val="16"/>
                <w:szCs w:val="16"/>
              </w:rPr>
              <w:fldChar w:fldCharType="end"/>
            </w:r>
          </w:p>
        </w:tc>
      </w:tr>
      <w:tr w:rsidR="00D47774" w:rsidRPr="00B55044" w14:paraId="428F199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1F9194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219</w:t>
            </w:r>
          </w:p>
        </w:tc>
        <w:tc>
          <w:tcPr>
            <w:tcW w:w="1525" w:type="pct"/>
            <w:tcBorders>
              <w:top w:val="single" w:sz="4" w:space="0" w:color="auto"/>
              <w:left w:val="nil"/>
              <w:bottom w:val="single" w:sz="4" w:space="0" w:color="auto"/>
              <w:right w:val="nil"/>
            </w:tcBorders>
            <w:shd w:val="clear" w:color="auto" w:fill="auto"/>
            <w:noWrap/>
            <w:vAlign w:val="bottom"/>
            <w:hideMark/>
          </w:tcPr>
          <w:p w14:paraId="7C4B19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ITO/PEDOT:PSS/AL/PDINO/Ag</w:t>
            </w:r>
          </w:p>
        </w:tc>
        <w:tc>
          <w:tcPr>
            <w:tcW w:w="1288" w:type="pct"/>
            <w:tcBorders>
              <w:top w:val="single" w:sz="4" w:space="0" w:color="auto"/>
              <w:left w:val="nil"/>
              <w:bottom w:val="single" w:sz="4" w:space="0" w:color="auto"/>
              <w:right w:val="nil"/>
            </w:tcBorders>
            <w:shd w:val="clear" w:color="auto" w:fill="auto"/>
            <w:noWrap/>
            <w:vAlign w:val="bottom"/>
            <w:hideMark/>
          </w:tcPr>
          <w:p w14:paraId="683132D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PM6:Y6:ITIC-M</w:t>
            </w:r>
          </w:p>
        </w:tc>
        <w:tc>
          <w:tcPr>
            <w:tcW w:w="379" w:type="pct"/>
            <w:tcBorders>
              <w:top w:val="single" w:sz="4" w:space="0" w:color="auto"/>
              <w:left w:val="nil"/>
              <w:bottom w:val="single" w:sz="4" w:space="0" w:color="auto"/>
              <w:right w:val="nil"/>
            </w:tcBorders>
            <w:shd w:val="clear" w:color="auto" w:fill="auto"/>
            <w:noWrap/>
            <w:vAlign w:val="bottom"/>
            <w:hideMark/>
          </w:tcPr>
          <w:p w14:paraId="4277340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w:t>
            </w:r>
          </w:p>
        </w:tc>
        <w:tc>
          <w:tcPr>
            <w:tcW w:w="379" w:type="pct"/>
            <w:tcBorders>
              <w:top w:val="single" w:sz="4" w:space="0" w:color="auto"/>
              <w:left w:val="nil"/>
              <w:bottom w:val="single" w:sz="4" w:space="0" w:color="auto"/>
              <w:right w:val="nil"/>
            </w:tcBorders>
            <w:shd w:val="clear" w:color="auto" w:fill="auto"/>
            <w:noWrap/>
            <w:vAlign w:val="bottom"/>
            <w:hideMark/>
          </w:tcPr>
          <w:p w14:paraId="72148C1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24.8</w:t>
            </w:r>
          </w:p>
        </w:tc>
        <w:tc>
          <w:tcPr>
            <w:tcW w:w="378" w:type="pct"/>
            <w:tcBorders>
              <w:top w:val="single" w:sz="4" w:space="0" w:color="auto"/>
              <w:left w:val="nil"/>
              <w:bottom w:val="single" w:sz="4" w:space="0" w:color="auto"/>
              <w:right w:val="nil"/>
            </w:tcBorders>
            <w:shd w:val="clear" w:color="auto" w:fill="auto"/>
            <w:noWrap/>
            <w:vAlign w:val="bottom"/>
            <w:hideMark/>
          </w:tcPr>
          <w:p w14:paraId="194E74F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68.3</w:t>
            </w:r>
          </w:p>
        </w:tc>
        <w:tc>
          <w:tcPr>
            <w:tcW w:w="381" w:type="pct"/>
            <w:tcBorders>
              <w:top w:val="single" w:sz="4" w:space="0" w:color="auto"/>
              <w:left w:val="nil"/>
              <w:bottom w:val="single" w:sz="4" w:space="0" w:color="auto"/>
              <w:right w:val="nil"/>
            </w:tcBorders>
            <w:shd w:val="clear" w:color="auto" w:fill="auto"/>
            <w:noWrap/>
            <w:vAlign w:val="bottom"/>
            <w:hideMark/>
          </w:tcPr>
          <w:p w14:paraId="71EA0D4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14.03</w:t>
            </w:r>
          </w:p>
        </w:tc>
        <w:tc>
          <w:tcPr>
            <w:tcW w:w="378" w:type="pct"/>
            <w:tcBorders>
              <w:top w:val="single" w:sz="4" w:space="0" w:color="auto"/>
              <w:left w:val="nil"/>
              <w:bottom w:val="single" w:sz="4" w:space="0" w:color="auto"/>
              <w:right w:val="nil"/>
            </w:tcBorders>
            <w:shd w:val="clear" w:color="auto" w:fill="auto"/>
            <w:noWrap/>
            <w:vAlign w:val="bottom"/>
            <w:hideMark/>
          </w:tcPr>
          <w:p w14:paraId="3B0B7B8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{"citationID":"a2cl3c5hkhn","properties":{"formattedCitation":"[130]","plainCitation":"[130]","noteIndex":0},"citationItems":[{"id":523,"uris":["http://zotero.org/users/12909065/items/ABHHGGDS"],"itemData":{"id":523,"type":"article-journal","abstract":"Although reported ternary polymer solar cells have higher power conversion efficiency than binary polymers, the mechanism of exciton separation and charge transport in this complex ternary system is still unclear. Herein, based on PM6:Y6:ITIC-M ternary solar cells, we combine the technique of luminescence spectroscopy, including electroluminescence (EL) and photoluminescence (PL) with photovoltaic measurements, to understand clearly the detailed roles of ITIC-M as the third component in the contribution of device performance. The results show that ITIC-M can form the alloy-like composite with Y6 but leave individual Y6 acceptor to conduct charge transfer with PM6 donor, which improves Voc but decreases Jsc because of poor charge transfer capacity of ITIC-M. Meanwhile, the energy transfer from PM6 to ITIC-M exists in the active layers; small IE suppresses exciton dissociation. Deteriorating performance of solar cells demonstrates that, except for complementary absorption spectrum and suitable energy levels in PM6:Y6:ITIC-M system, the synergetic effects of carrier dynamics among different organic materials play an important role in influencing the performance of ternary solar cells. © 2021 by the authors. Licensee MDPI, Basel, Switzerland.","archive":"Scopus","container-title":"Polymers","DOI":"10.3390/polym13152398","ISSN":"2073-4360","issue":"15","language":"English","source":"Scopus","title":"Synergetic effect of different carrier dynamics in Pm6: Y6: ITIC-M ternary cascade energy level system","title-short":"Synergetic effect of different carrier dynamics in Pm6","volume":"13","author":[{"family":"Li","given":"Z."},{"family":"Song","given":"D."},{"family":"Xu","given":"Z."},{"family":"Qiao","given":"B."},{"family":"Zhao","given":"S."},{"family":"Wageh","given":"S."},{"family":"Al-Ghamdi","given":"A.A."},{"family":"Huo","given":"X."}],"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[130]</w:t>
            </w:r>
            <w:r w:rsidRPr="00B55044">
              <w:rPr>
                <w:rFonts w:eastAsia="Times New Roman"/>
                <w:color w:val="0000FF"/>
                <w:sz w:val="16"/>
                <w:szCs w:val="16"/>
              </w:rPr>
              <w:fldChar w:fldCharType="end"/>
            </w:r>
          </w:p>
        </w:tc>
      </w:tr>
      <w:tr w:rsidR="00D47774" w:rsidRPr="00B55044" w14:paraId="5D32C14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6D5F2D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220</w:t>
            </w:r>
          </w:p>
        </w:tc>
        <w:tc>
          <w:tcPr>
            <w:tcW w:w="1525" w:type="pct"/>
            <w:tcBorders>
              <w:top w:val="single" w:sz="4" w:space="0" w:color="auto"/>
              <w:left w:val="nil"/>
              <w:bottom w:val="single" w:sz="4" w:space="0" w:color="auto"/>
              <w:right w:val="nil"/>
            </w:tcBorders>
            <w:shd w:val="clear" w:color="auto" w:fill="auto"/>
            <w:noWrap/>
            <w:vAlign w:val="bottom"/>
            <w:hideMark/>
          </w:tcPr>
          <w:p w14:paraId="58D1663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744C06F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PM6:BTP-eC9:L8-BO-F</w:t>
            </w:r>
          </w:p>
        </w:tc>
        <w:tc>
          <w:tcPr>
            <w:tcW w:w="379" w:type="pct"/>
            <w:tcBorders>
              <w:top w:val="single" w:sz="4" w:space="0" w:color="auto"/>
              <w:left w:val="nil"/>
              <w:bottom w:val="single" w:sz="4" w:space="0" w:color="auto"/>
              <w:right w:val="nil"/>
            </w:tcBorders>
            <w:shd w:val="clear" w:color="auto" w:fill="auto"/>
            <w:noWrap/>
            <w:vAlign w:val="bottom"/>
            <w:hideMark/>
          </w:tcPr>
          <w:p w14:paraId="23B4965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0.853</w:t>
            </w:r>
          </w:p>
        </w:tc>
        <w:tc>
          <w:tcPr>
            <w:tcW w:w="379" w:type="pct"/>
            <w:tcBorders>
              <w:top w:val="single" w:sz="4" w:space="0" w:color="auto"/>
              <w:left w:val="nil"/>
              <w:bottom w:val="single" w:sz="4" w:space="0" w:color="auto"/>
              <w:right w:val="nil"/>
            </w:tcBorders>
            <w:shd w:val="clear" w:color="auto" w:fill="auto"/>
            <w:noWrap/>
            <w:vAlign w:val="bottom"/>
            <w:hideMark/>
          </w:tcPr>
          <w:p w14:paraId="61F842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27.35</w:t>
            </w:r>
          </w:p>
        </w:tc>
        <w:tc>
          <w:tcPr>
            <w:tcW w:w="378" w:type="pct"/>
            <w:tcBorders>
              <w:top w:val="single" w:sz="4" w:space="0" w:color="auto"/>
              <w:left w:val="nil"/>
              <w:bottom w:val="single" w:sz="4" w:space="0" w:color="auto"/>
              <w:right w:val="nil"/>
            </w:tcBorders>
            <w:shd w:val="clear" w:color="auto" w:fill="auto"/>
            <w:noWrap/>
            <w:vAlign w:val="bottom"/>
            <w:hideMark/>
          </w:tcPr>
          <w:p w14:paraId="0C1359E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80</w:t>
            </w:r>
          </w:p>
        </w:tc>
        <w:tc>
          <w:tcPr>
            <w:tcW w:w="381" w:type="pct"/>
            <w:tcBorders>
              <w:top w:val="single" w:sz="4" w:space="0" w:color="auto"/>
              <w:left w:val="nil"/>
              <w:bottom w:val="single" w:sz="4" w:space="0" w:color="auto"/>
              <w:right w:val="nil"/>
            </w:tcBorders>
            <w:shd w:val="clear" w:color="auto" w:fill="auto"/>
            <w:noWrap/>
            <w:vAlign w:val="bottom"/>
            <w:hideMark/>
          </w:tcPr>
          <w:p w14:paraId="5D6C26D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18.66</w:t>
            </w:r>
          </w:p>
        </w:tc>
        <w:tc>
          <w:tcPr>
            <w:tcW w:w="378" w:type="pct"/>
            <w:tcBorders>
              <w:top w:val="single" w:sz="4" w:space="0" w:color="auto"/>
              <w:left w:val="nil"/>
              <w:bottom w:val="single" w:sz="4" w:space="0" w:color="auto"/>
              <w:right w:val="nil"/>
            </w:tcBorders>
            <w:shd w:val="clear" w:color="auto" w:fill="auto"/>
            <w:noWrap/>
            <w:vAlign w:val="bottom"/>
            <w:hideMark/>
          </w:tcPr>
          <w:p w14:paraId="191BDE7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{"citationID":"akfcennqfu","properties":{"formattedCitation":"[131]","plainCitation":"[131]","noteIndex":0},"citationItems":[{"id":522,"uris":["http://zotero.org/users/12909065/items/2XTDEMVZ"],"itemData":{"id":522,"type":"article-journal","abstract":"The ternary strategy, introducing a third component into a binary blend, opens a simple and promising avenue to improve the power conversion efficiency (PCE) of organic solar cells (OSCs). The judicious selection of an appropriate third component, without sacrificing the photocurrent and voltage output of the OSC, is of significant importance in ternary devices. Herein, highly efficient OSCs fabricated using a ternary approach are demonstrated, wherein a novel non-fullerene acceptor L8-BO-F is designed and incorporated into the PM6:BTP-eC9 blend. The three components show complementary absorption spectra and cascade energy alignment. L8-BO-F and BTP-eC9 are found to form a homogeneous mixed phase, which improves the molecular packing of both the donor and acceptor materials, and optimizes the ternary blend morphology. Moreover, the addition of L8-BO-F into the binary blend suppresses the non-radiative recombination, thus leading to a reduced voltage loss. Consequently, concurrent increases in open-circuit voltage, short-circuit current, and fill factor are realized, resulting in an unprecedented PCE of 18.66% (certified value of 18.2%), which represents the highest efficiency values reported for both single-junction and tandem OSCs so far. © 2021 Wiley-VCH GmbH","archive":"Scopus","container-title":"Advanced Materials","DOI":"10.1002/adma.202101733","ISSN":"0935-9648","issue":"33","language":"English","source":"Scopus","title":"A Well-Mixed Phase Formed by Two Compatible Non-Fullerene Acceptors Enables Ternary Organic Solar Cells with Efficiency over 18.6%","volume":"33","author":[{"family":"Cai","given":"Y."},{"family":"Li","given":"Y."},{"family":"Wang","given":"R."},{"family":"Wu","given":"H."},{"family":"Chen","given":"Z."},{"family":"Zhang","given":"J."},{"family":"Ma","given":"Z."},{"family":"Hao","given":"X."},{"family":"Zhao","given":"Y."},{"family":"Zhang","given":"C."},{"family":"Huang","given":"F."},{"family":"Sun","given":"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[131]</w:t>
            </w:r>
            <w:r w:rsidRPr="00B55044">
              <w:rPr>
                <w:rFonts w:eastAsia="Times New Roman"/>
                <w:color w:val="0000FF"/>
                <w:sz w:val="16"/>
                <w:szCs w:val="16"/>
              </w:rPr>
              <w:fldChar w:fldCharType="end"/>
            </w:r>
          </w:p>
        </w:tc>
      </w:tr>
      <w:tr w:rsidR="00D47774" w:rsidRPr="00B55044" w14:paraId="73B6ED4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F2D2A7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221</w:t>
            </w:r>
          </w:p>
        </w:tc>
        <w:tc>
          <w:tcPr>
            <w:tcW w:w="1525" w:type="pct"/>
            <w:tcBorders>
              <w:top w:val="single" w:sz="4" w:space="0" w:color="auto"/>
              <w:left w:val="nil"/>
              <w:bottom w:val="single" w:sz="4" w:space="0" w:color="auto"/>
              <w:right w:val="nil"/>
            </w:tcBorders>
            <w:shd w:val="clear" w:color="auto" w:fill="auto"/>
            <w:noWrap/>
            <w:vAlign w:val="bottom"/>
            <w:hideMark/>
          </w:tcPr>
          <w:p w14:paraId="02C2EC2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0AE959D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PM6:D18-Cl:Y6</w:t>
            </w:r>
          </w:p>
        </w:tc>
        <w:tc>
          <w:tcPr>
            <w:tcW w:w="379" w:type="pct"/>
            <w:tcBorders>
              <w:top w:val="single" w:sz="4" w:space="0" w:color="auto"/>
              <w:left w:val="nil"/>
              <w:bottom w:val="single" w:sz="4" w:space="0" w:color="auto"/>
              <w:right w:val="nil"/>
            </w:tcBorders>
            <w:shd w:val="clear" w:color="auto" w:fill="auto"/>
            <w:noWrap/>
            <w:vAlign w:val="bottom"/>
            <w:hideMark/>
          </w:tcPr>
          <w:p w14:paraId="3527B1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0.871</w:t>
            </w:r>
          </w:p>
        </w:tc>
        <w:tc>
          <w:tcPr>
            <w:tcW w:w="379" w:type="pct"/>
            <w:tcBorders>
              <w:top w:val="single" w:sz="4" w:space="0" w:color="auto"/>
              <w:left w:val="nil"/>
              <w:bottom w:val="single" w:sz="4" w:space="0" w:color="auto"/>
              <w:right w:val="nil"/>
            </w:tcBorders>
            <w:shd w:val="clear" w:color="auto" w:fill="auto"/>
            <w:noWrap/>
            <w:vAlign w:val="bottom"/>
            <w:hideMark/>
          </w:tcPr>
          <w:p w14:paraId="4EC1D47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26.35</w:t>
            </w:r>
          </w:p>
        </w:tc>
        <w:tc>
          <w:tcPr>
            <w:tcW w:w="378" w:type="pct"/>
            <w:tcBorders>
              <w:top w:val="single" w:sz="4" w:space="0" w:color="auto"/>
              <w:left w:val="nil"/>
              <w:bottom w:val="single" w:sz="4" w:space="0" w:color="auto"/>
              <w:right w:val="nil"/>
            </w:tcBorders>
            <w:shd w:val="clear" w:color="auto" w:fill="auto"/>
            <w:noWrap/>
            <w:vAlign w:val="bottom"/>
            <w:hideMark/>
          </w:tcPr>
          <w:p w14:paraId="7D00429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76.82</w:t>
            </w:r>
          </w:p>
        </w:tc>
        <w:tc>
          <w:tcPr>
            <w:tcW w:w="381" w:type="pct"/>
            <w:tcBorders>
              <w:top w:val="single" w:sz="4" w:space="0" w:color="auto"/>
              <w:left w:val="nil"/>
              <w:bottom w:val="single" w:sz="4" w:space="0" w:color="auto"/>
              <w:right w:val="nil"/>
            </w:tcBorders>
            <w:shd w:val="clear" w:color="auto" w:fill="auto"/>
            <w:noWrap/>
            <w:vAlign w:val="bottom"/>
            <w:hideMark/>
          </w:tcPr>
          <w:p w14:paraId="0E067D5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17.61</w:t>
            </w:r>
          </w:p>
        </w:tc>
        <w:tc>
          <w:tcPr>
            <w:tcW w:w="378" w:type="pct"/>
            <w:tcBorders>
              <w:top w:val="single" w:sz="4" w:space="0" w:color="auto"/>
              <w:left w:val="nil"/>
              <w:bottom w:val="single" w:sz="4" w:space="0" w:color="auto"/>
              <w:right w:val="nil"/>
            </w:tcBorders>
            <w:shd w:val="clear" w:color="auto" w:fill="auto"/>
            <w:noWrap/>
            <w:vAlign w:val="bottom"/>
            <w:hideMark/>
          </w:tcPr>
          <w:p w14:paraId="2A03ED6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{"citationID":"a2kb2rrfcbq","properties":{"formattedCitation":"[132]","plainCitation":"[132]","noteIndex":0},"citationItems":[{"id":521,"uris":["http://zotero.org/users/12909065/items/4D2MMTKY"],"itemData":{"id":521,"type":"article-journal","abstract":"Efficient ternary blend organic photovoltaic devices (OPVs) are built based on a D18-Cl:Y6 host system and star polymer donor PM6 as the third component. A power conversion efficiency (PCE) of 16.89% is achieved in D18-Cl:Y6 host binary OPVs, with a short-circuit current density (J SC) of 25.31 mA cm−2, an open-circuit voltage (V OC) of 0.878 V, and a fill factor (FF) of 75.81%. Upon incorporating appropriate PM6 in active layers, the PCE of optimal ternary blend OPVs can be increased to 17.61%, benefiting from a J SC of 26.35 mA cm−2, a V OC of 0.871 V, and an FF of 76.82%. Polymers D18-Cl and PM6 have good compatibility and similar highest occupied molecular orbital (HOMO) levels, which enable to form D18-Cl:PM6 alloyed states for efficient hole transport in ternary blend active layers. Meanwhile, trap density in ternary blend active layers is decreased by incorporating PM6, which is conducive to weaken charge recombination in ternary blend active layers. The gradually varied V OC values of ternary blend OPVs can be well explained from the varied HOMO levels of D18-Cl:PM6 alloyed states. The results indicate that two compatible polymer donors with similar HOMO levels have great potential in achieving efficient ternary blend OPVs. © 2021 Wiley-VCH GmbH.","archive":"Scopus","container-title":"Solar RRL","DOI":"10.1002/solr.202100175","ISSN":"2367-198X","issue":"8","language":"English","source":"Scopus","title":"Over 17.6% Efficiency Organic Photovoltaic Devices with Two Compatible Polymer Donors","volume":"5","author":[{"family":"Xu","given":"C."},{"family":"Ma","given":"X."},{"family":"Zhao","given":"Z."},{"family":"Jiang","given":"M."},{"family":"Hu","given":"Z."},{"family":"Gao","given":"J."},{"family":"Deng","given":"Z."},{"family":"Zhou","given":"Z."},{"family":"An","given":"Q."},{"family":"Zhang","given":"J."},{"family":"Zhang","given":"F."}],"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[132]</w:t>
            </w:r>
            <w:r w:rsidRPr="00B55044">
              <w:rPr>
                <w:rFonts w:eastAsia="Times New Roman"/>
                <w:color w:val="0000FF"/>
                <w:sz w:val="16"/>
                <w:szCs w:val="16"/>
              </w:rPr>
              <w:fldChar w:fldCharType="end"/>
            </w:r>
          </w:p>
        </w:tc>
      </w:tr>
      <w:tr w:rsidR="00D47774" w:rsidRPr="00B55044" w14:paraId="57BCFA1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BBA398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lastRenderedPageBreak/>
              <w:t>222</w:t>
            </w:r>
          </w:p>
        </w:tc>
        <w:tc>
          <w:tcPr>
            <w:tcW w:w="1525" w:type="pct"/>
            <w:tcBorders>
              <w:top w:val="single" w:sz="4" w:space="0" w:color="auto"/>
              <w:left w:val="nil"/>
              <w:bottom w:val="single" w:sz="4" w:space="0" w:color="auto"/>
              <w:right w:val="nil"/>
            </w:tcBorders>
            <w:shd w:val="clear" w:color="auto" w:fill="auto"/>
            <w:noWrap/>
            <w:vAlign w:val="bottom"/>
            <w:hideMark/>
          </w:tcPr>
          <w:p w14:paraId="423DBD7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5998A3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PM6:Y6:IDYP-4F</w:t>
            </w:r>
          </w:p>
        </w:tc>
        <w:tc>
          <w:tcPr>
            <w:tcW w:w="379" w:type="pct"/>
            <w:tcBorders>
              <w:top w:val="single" w:sz="4" w:space="0" w:color="auto"/>
              <w:left w:val="nil"/>
              <w:bottom w:val="single" w:sz="4" w:space="0" w:color="auto"/>
              <w:right w:val="nil"/>
            </w:tcBorders>
            <w:shd w:val="clear" w:color="auto" w:fill="auto"/>
            <w:noWrap/>
            <w:vAlign w:val="bottom"/>
            <w:hideMark/>
          </w:tcPr>
          <w:p w14:paraId="7E593F7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0.863</w:t>
            </w:r>
          </w:p>
        </w:tc>
        <w:tc>
          <w:tcPr>
            <w:tcW w:w="379" w:type="pct"/>
            <w:tcBorders>
              <w:top w:val="single" w:sz="4" w:space="0" w:color="auto"/>
              <w:left w:val="nil"/>
              <w:bottom w:val="single" w:sz="4" w:space="0" w:color="auto"/>
              <w:right w:val="nil"/>
            </w:tcBorders>
            <w:shd w:val="clear" w:color="auto" w:fill="auto"/>
            <w:noWrap/>
            <w:vAlign w:val="bottom"/>
            <w:hideMark/>
          </w:tcPr>
          <w:p w14:paraId="40E4BB5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w:t>
            </w:r>
          </w:p>
        </w:tc>
        <w:tc>
          <w:tcPr>
            <w:tcW w:w="378" w:type="pct"/>
            <w:tcBorders>
              <w:top w:val="single" w:sz="4" w:space="0" w:color="auto"/>
              <w:left w:val="nil"/>
              <w:bottom w:val="single" w:sz="4" w:space="0" w:color="auto"/>
              <w:right w:val="nil"/>
            </w:tcBorders>
            <w:shd w:val="clear" w:color="auto" w:fill="auto"/>
            <w:noWrap/>
            <w:vAlign w:val="bottom"/>
            <w:hideMark/>
          </w:tcPr>
          <w:p w14:paraId="21F4671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77.2</w:t>
            </w:r>
          </w:p>
        </w:tc>
        <w:tc>
          <w:tcPr>
            <w:tcW w:w="381" w:type="pct"/>
            <w:tcBorders>
              <w:top w:val="single" w:sz="4" w:space="0" w:color="auto"/>
              <w:left w:val="nil"/>
              <w:bottom w:val="single" w:sz="4" w:space="0" w:color="auto"/>
              <w:right w:val="nil"/>
            </w:tcBorders>
            <w:shd w:val="clear" w:color="auto" w:fill="auto"/>
            <w:noWrap/>
            <w:vAlign w:val="bottom"/>
            <w:hideMark/>
          </w:tcPr>
          <w:p w14:paraId="3824308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17.1</w:t>
            </w:r>
          </w:p>
        </w:tc>
        <w:tc>
          <w:tcPr>
            <w:tcW w:w="378" w:type="pct"/>
            <w:tcBorders>
              <w:top w:val="single" w:sz="4" w:space="0" w:color="auto"/>
              <w:left w:val="nil"/>
              <w:bottom w:val="single" w:sz="4" w:space="0" w:color="auto"/>
              <w:right w:val="nil"/>
            </w:tcBorders>
            <w:shd w:val="clear" w:color="auto" w:fill="auto"/>
            <w:noWrap/>
            <w:vAlign w:val="bottom"/>
            <w:hideMark/>
          </w:tcPr>
          <w:p w14:paraId="5F65997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{"citationID":"a2b9fd43ks9","properties":{"formattedCitation":"[133]","plainCitation":"[133]","noteIndex":0},"citationItems":[{"id":520,"uris":["http://zotero.org/users/12909065/items/KDTIHIR5"],"itemData":{"id":520,"type":"article-journal","abstract":"Ternary blending is one of the effective strategies to modulate the blend film morphology for achieving high efficiency organic solar cells (OSCs). In this work, high-performance ternary OSCs are fabricated by introducing a non-fullerene acceptor, namely IDTP-4F into the PM6:Y6 binary system to enhance the device performance. Detailed investigations indicate that IDTP-4F can form an alloy phase with Y6, resulting in the optimized morphology, which can facilitate the charge transport and reduce recombination, leading to enhanced open-circuit voltage (Voc) and fill factor (FF) simultaneously. Consequently, the optimized ternary OSCs exhibit an excellent power conversion efficiency (PCE) of 17.1%, which is much higher than that of PM6:Y6 binary OSCs (15.9%). These results indicate that combining two compatible non-fullerene acceptors is an effective strategy to fabricate high efficiency ternary OSCs. © 2021","archive":"Scopus","container-title":"Organic Electronics","DOI":"10.1016/j.orgel.2021.106201","ISSN":"1566-1199","language":"English","source":"Scopus","title":"High-performance alloy-like ternary organic solar cells with two compatible non-fullerene acceptors","volume":"95","author":[{"family":"Hu","given":"J."},{"family":"Guo","given":"Q."},{"family":"Fang","given":"J."},{"family":"Liu","given":"Q."},{"family":"Liang","given":"H."},{"family":"Lv","given":"J."},{"family":"Yin","given":"Z."},{"family":"Lin","given":"J."},{"family":"Ou","given":"X."},{"family":"Guo","given":"X."},{"family":"Zhang","given":"M."}],"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[133]</w:t>
            </w:r>
            <w:r w:rsidRPr="00B55044">
              <w:rPr>
                <w:rFonts w:eastAsia="Times New Roman"/>
                <w:color w:val="0000FF"/>
                <w:sz w:val="16"/>
                <w:szCs w:val="16"/>
              </w:rPr>
              <w:fldChar w:fldCharType="end"/>
            </w:r>
          </w:p>
        </w:tc>
      </w:tr>
      <w:tr w:rsidR="00D47774" w:rsidRPr="00B55044" w14:paraId="6A322B3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7D417D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223</w:t>
            </w:r>
          </w:p>
        </w:tc>
        <w:tc>
          <w:tcPr>
            <w:tcW w:w="1525" w:type="pct"/>
            <w:tcBorders>
              <w:top w:val="single" w:sz="4" w:space="0" w:color="auto"/>
              <w:left w:val="nil"/>
              <w:bottom w:val="single" w:sz="4" w:space="0" w:color="auto"/>
              <w:right w:val="nil"/>
            </w:tcBorders>
            <w:shd w:val="clear" w:color="auto" w:fill="auto"/>
            <w:noWrap/>
            <w:vAlign w:val="bottom"/>
            <w:hideMark/>
          </w:tcPr>
          <w:p w14:paraId="6EA406E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25AA67D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PM6:Y6:ITIC</w:t>
            </w:r>
          </w:p>
        </w:tc>
        <w:tc>
          <w:tcPr>
            <w:tcW w:w="379" w:type="pct"/>
            <w:tcBorders>
              <w:top w:val="single" w:sz="4" w:space="0" w:color="auto"/>
              <w:left w:val="nil"/>
              <w:bottom w:val="single" w:sz="4" w:space="0" w:color="auto"/>
              <w:right w:val="nil"/>
            </w:tcBorders>
            <w:shd w:val="clear" w:color="auto" w:fill="auto"/>
            <w:noWrap/>
            <w:vAlign w:val="bottom"/>
            <w:hideMark/>
          </w:tcPr>
          <w:p w14:paraId="155DC6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0.879</w:t>
            </w:r>
          </w:p>
        </w:tc>
        <w:tc>
          <w:tcPr>
            <w:tcW w:w="379" w:type="pct"/>
            <w:tcBorders>
              <w:top w:val="single" w:sz="4" w:space="0" w:color="auto"/>
              <w:left w:val="nil"/>
              <w:bottom w:val="single" w:sz="4" w:space="0" w:color="auto"/>
              <w:right w:val="nil"/>
            </w:tcBorders>
            <w:shd w:val="clear" w:color="auto" w:fill="auto"/>
            <w:noWrap/>
            <w:vAlign w:val="bottom"/>
            <w:hideMark/>
          </w:tcPr>
          <w:p w14:paraId="498C1CE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25.5</w:t>
            </w:r>
          </w:p>
        </w:tc>
        <w:tc>
          <w:tcPr>
            <w:tcW w:w="378" w:type="pct"/>
            <w:tcBorders>
              <w:top w:val="single" w:sz="4" w:space="0" w:color="auto"/>
              <w:left w:val="nil"/>
              <w:bottom w:val="single" w:sz="4" w:space="0" w:color="auto"/>
              <w:right w:val="nil"/>
            </w:tcBorders>
            <w:shd w:val="clear" w:color="auto" w:fill="auto"/>
            <w:noWrap/>
            <w:vAlign w:val="bottom"/>
            <w:hideMark/>
          </w:tcPr>
          <w:p w14:paraId="1F3CDF7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74.2</w:t>
            </w:r>
          </w:p>
        </w:tc>
        <w:tc>
          <w:tcPr>
            <w:tcW w:w="381" w:type="pct"/>
            <w:tcBorders>
              <w:top w:val="single" w:sz="4" w:space="0" w:color="auto"/>
              <w:left w:val="nil"/>
              <w:bottom w:val="single" w:sz="4" w:space="0" w:color="auto"/>
              <w:right w:val="nil"/>
            </w:tcBorders>
            <w:shd w:val="clear" w:color="auto" w:fill="auto"/>
            <w:noWrap/>
            <w:vAlign w:val="bottom"/>
            <w:hideMark/>
          </w:tcPr>
          <w:p w14:paraId="7D54EDF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w:t>
            </w:r>
          </w:p>
        </w:tc>
        <w:tc>
          <w:tcPr>
            <w:tcW w:w="378" w:type="pct"/>
            <w:tcBorders>
              <w:top w:val="single" w:sz="4" w:space="0" w:color="auto"/>
              <w:left w:val="nil"/>
              <w:bottom w:val="single" w:sz="4" w:space="0" w:color="auto"/>
              <w:right w:val="nil"/>
            </w:tcBorders>
            <w:shd w:val="clear" w:color="auto" w:fill="auto"/>
            <w:noWrap/>
            <w:vAlign w:val="bottom"/>
            <w:hideMark/>
          </w:tcPr>
          <w:p w14:paraId="3E3AA0A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{"citationID":"a2pjndtbk5u","properties":{"formattedCitation":"[134]","plainCitation":"[134]","noteIndex":0},"citationItems":[{"id":519,"uris":["http://zotero.org/users/12909065/items/6GSL35GG"],"itemData":{"id":519,"type":"article-journal","abstract":"Ternary organic solar cells (OSCs) based on ternary blends of light-absorption materials are simple and impactful strategies to boost the power conversion efficiency (PCE) of single-junction OSCs. In the work, a non-fullerene molecule ITIC with a medium bandgap (1.59 eV) is added to PM6:Y6 binary system as the third component. Compared with the 15.5% and 9.2% of PM6:Y6 and PM6:ITIC binary OSCs, respectively, PM6:Y6:ITIC ternary OSCs achieve a PCE of 16.6% by incorporating 5 wt% ITIC that results from simultaneously enhanced open-circuit voltage of 0.879 V, short-circuit current density of 25.50 mA cm−2 and fill factor of 74.20%. The extended absorption, enhanced fluorescence resonance energy transfer, balanced carrier transport with increased electron and hole mobility, and reduced energy loss in PM6:Y6:ITIC ternary films enhance the photovoltaic performance of ternary OSCs. The work illustrates that adding an alloyed second acceptor with efficient energy transfer processes in ternary OSCs has great potential to further improve the performance of OSCs. © 2021","archive":"Scopus","container-title":"Dyes and Pigments","DOI":"10.1016/j.dyepig.2021.109434","ISSN":"0143-7208","language":"English","source":"Scopus","title":"Over 16.5% efficiency in ternary organic solar cells by adding an alloyed acceptor with energy transfer process","volume":"192","author":[{"family":"Su","given":"Z."},{"family":"Zhang","given":"Z."},{"family":"Xie","given":"G."},{"family":"Zhang","given":"Y."},{"family":"Zhang","given":"X."},{"family":"Zhang","given":"W."},{"family":"Zhang","given":"J."}],"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[134]</w:t>
            </w:r>
            <w:r w:rsidRPr="00B55044">
              <w:rPr>
                <w:rFonts w:eastAsia="Times New Roman"/>
                <w:color w:val="0000FF"/>
                <w:sz w:val="16"/>
                <w:szCs w:val="16"/>
              </w:rPr>
              <w:fldChar w:fldCharType="end"/>
            </w:r>
          </w:p>
        </w:tc>
      </w:tr>
      <w:tr w:rsidR="00D47774" w:rsidRPr="00B55044" w14:paraId="5797750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1B0C32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224</w:t>
            </w:r>
          </w:p>
        </w:tc>
        <w:tc>
          <w:tcPr>
            <w:tcW w:w="1525" w:type="pct"/>
            <w:tcBorders>
              <w:top w:val="single" w:sz="4" w:space="0" w:color="auto"/>
              <w:left w:val="nil"/>
              <w:bottom w:val="single" w:sz="4" w:space="0" w:color="auto"/>
              <w:right w:val="nil"/>
            </w:tcBorders>
            <w:shd w:val="clear" w:color="auto" w:fill="auto"/>
            <w:noWrap/>
            <w:vAlign w:val="bottom"/>
            <w:hideMark/>
          </w:tcPr>
          <w:p w14:paraId="153CB2A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ITO/PEDOT:PSS/AL/PDINN/Ag</w:t>
            </w:r>
          </w:p>
        </w:tc>
        <w:tc>
          <w:tcPr>
            <w:tcW w:w="1288" w:type="pct"/>
            <w:tcBorders>
              <w:top w:val="single" w:sz="4" w:space="0" w:color="auto"/>
              <w:left w:val="nil"/>
              <w:bottom w:val="single" w:sz="4" w:space="0" w:color="auto"/>
              <w:right w:val="nil"/>
            </w:tcBorders>
            <w:shd w:val="clear" w:color="auto" w:fill="auto"/>
            <w:noWrap/>
            <w:vAlign w:val="bottom"/>
            <w:hideMark/>
          </w:tcPr>
          <w:p w14:paraId="549D61B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PM6:Y6:AQx-3</w:t>
            </w:r>
          </w:p>
        </w:tc>
        <w:tc>
          <w:tcPr>
            <w:tcW w:w="379" w:type="pct"/>
            <w:tcBorders>
              <w:top w:val="single" w:sz="4" w:space="0" w:color="auto"/>
              <w:left w:val="nil"/>
              <w:bottom w:val="single" w:sz="4" w:space="0" w:color="auto"/>
              <w:right w:val="nil"/>
            </w:tcBorders>
            <w:shd w:val="clear" w:color="auto" w:fill="auto"/>
            <w:noWrap/>
            <w:vAlign w:val="bottom"/>
            <w:hideMark/>
          </w:tcPr>
          <w:p w14:paraId="34BA8F2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7412DE0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26.82</w:t>
            </w:r>
          </w:p>
        </w:tc>
        <w:tc>
          <w:tcPr>
            <w:tcW w:w="378" w:type="pct"/>
            <w:tcBorders>
              <w:top w:val="single" w:sz="4" w:space="0" w:color="auto"/>
              <w:left w:val="nil"/>
              <w:bottom w:val="single" w:sz="4" w:space="0" w:color="auto"/>
              <w:right w:val="nil"/>
            </w:tcBorders>
            <w:shd w:val="clear" w:color="auto" w:fill="auto"/>
            <w:noWrap/>
            <w:vAlign w:val="bottom"/>
            <w:hideMark/>
          </w:tcPr>
          <w:p w14:paraId="12DC8CF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77.2</w:t>
            </w:r>
          </w:p>
        </w:tc>
        <w:tc>
          <w:tcPr>
            <w:tcW w:w="381" w:type="pct"/>
            <w:tcBorders>
              <w:top w:val="single" w:sz="4" w:space="0" w:color="auto"/>
              <w:left w:val="nil"/>
              <w:bottom w:val="single" w:sz="4" w:space="0" w:color="auto"/>
              <w:right w:val="nil"/>
            </w:tcBorders>
            <w:shd w:val="clear" w:color="auto" w:fill="auto"/>
            <w:noWrap/>
            <w:vAlign w:val="bottom"/>
            <w:hideMark/>
          </w:tcPr>
          <w:p w14:paraId="32195C5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18.01</w:t>
            </w:r>
          </w:p>
        </w:tc>
        <w:tc>
          <w:tcPr>
            <w:tcW w:w="378" w:type="pct"/>
            <w:tcBorders>
              <w:top w:val="single" w:sz="4" w:space="0" w:color="auto"/>
              <w:left w:val="nil"/>
              <w:bottom w:val="single" w:sz="4" w:space="0" w:color="auto"/>
              <w:right w:val="nil"/>
            </w:tcBorders>
            <w:shd w:val="clear" w:color="auto" w:fill="auto"/>
            <w:noWrap/>
            <w:vAlign w:val="bottom"/>
            <w:hideMark/>
          </w:tcPr>
          <w:p w14:paraId="11F74ED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{"citationID":"a2ht3f8hao0","properties":{"formattedCitation":"[135]","plainCitation":"[135]","noteIndex":0},"citationItems":[{"id":518,"uris":["http://zotero.org/users/12909065/items/DXJ84UIK"],"itemData":{"id":518,"type":"article-journal","abstract":"The trade-off between the open-circuit voltage (Voc) and short-circuit current density (Jsc) has become the core of current organic photovoltaic research, and realizing the minimum energy offsets that can guarantee effective charge generation is strongly desired for high-performance systems. Herein, a high-performance ternary solar cell with a power conversion efficiency of over 18% using a large-bandgap polymer donor, PM6, and a small-bandgap alloy acceptor containing two structurally similar nonfullerene acceptors (Y6 and AQx-3) is reported. This system can take full advantage of solar irradiation and forms a favorable morphology. By varying the ratio of the two acceptors, delicate regulation of the energy levels of the alloy acceptor is achieved, thereby affecting the charge dynamics in the devices. The optimal ternary device exhibits more efficient hole transfer and exciton separation than the PM6:AQx-3-based system and reduced energy loss compared with the PM6:Y6-based system, contributing to better performance. Such a “two-in-one” alloy strategy, which synergizes two highly compatible acceptors, provides a promising path for boosting the photovoltaic performance of devices. © 2021 Wiley-VCH GmbH","archive":"Scopus","container-title":"Advanced Materials","DOI":"10.1002/adma.202100830","ISSN":"0935-9648","issue":"27","language":"English","source":"Scopus","title":"Organic Solar Cells with 18% Efficiency Enabled by an Alloy Acceptor: A Two-in-One Strategy","title-short":"Organic Solar Cells with 18% Efficiency Enabled by an Alloy Acceptor","volume":"33","author":[{"family":"Liu","given":"F."},{"family":"Zhou","given":"L."},{"family":"Liu","given":"W."},{"family":"Zhou","given":"Z."},{"family":"Yue","given":"Q."},{"family":"Zheng","given":"W."},{"family":"Sun","given":"R."},{"family":"Liu","given":"W."},{"family":"Xu","given":"S."},{"family":"Fan","given":"H."},{"family":"Feng","given":"L."},{"family":"Yi","given":"Y."},{"family":"Zhang","given":"W."},{"family":"Zhu","given":"X."}],"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[135]</w:t>
            </w:r>
            <w:r w:rsidRPr="00B55044">
              <w:rPr>
                <w:rFonts w:eastAsia="Times New Roman"/>
                <w:color w:val="0000FF"/>
                <w:sz w:val="16"/>
                <w:szCs w:val="16"/>
              </w:rPr>
              <w:fldChar w:fldCharType="end"/>
            </w:r>
          </w:p>
        </w:tc>
      </w:tr>
      <w:tr w:rsidR="00D47774" w:rsidRPr="00B55044" w14:paraId="229B489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87163D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225</w:t>
            </w:r>
          </w:p>
        </w:tc>
        <w:tc>
          <w:tcPr>
            <w:tcW w:w="1525" w:type="pct"/>
            <w:tcBorders>
              <w:top w:val="single" w:sz="4" w:space="0" w:color="auto"/>
              <w:left w:val="nil"/>
              <w:bottom w:val="single" w:sz="4" w:space="0" w:color="auto"/>
              <w:right w:val="nil"/>
            </w:tcBorders>
            <w:shd w:val="clear" w:color="auto" w:fill="auto"/>
            <w:noWrap/>
            <w:vAlign w:val="bottom"/>
            <w:hideMark/>
          </w:tcPr>
          <w:p w14:paraId="6110D2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5D62A1F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PM6:Y6:DIBC (5%)</w:t>
            </w:r>
          </w:p>
        </w:tc>
        <w:tc>
          <w:tcPr>
            <w:tcW w:w="379" w:type="pct"/>
            <w:tcBorders>
              <w:top w:val="single" w:sz="4" w:space="0" w:color="auto"/>
              <w:left w:val="nil"/>
              <w:bottom w:val="single" w:sz="4" w:space="0" w:color="auto"/>
              <w:right w:val="nil"/>
            </w:tcBorders>
            <w:shd w:val="clear" w:color="auto" w:fill="auto"/>
            <w:noWrap/>
            <w:vAlign w:val="bottom"/>
            <w:hideMark/>
          </w:tcPr>
          <w:p w14:paraId="2BEC16F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0.834</w:t>
            </w:r>
          </w:p>
        </w:tc>
        <w:tc>
          <w:tcPr>
            <w:tcW w:w="379" w:type="pct"/>
            <w:tcBorders>
              <w:top w:val="single" w:sz="4" w:space="0" w:color="auto"/>
              <w:left w:val="nil"/>
              <w:bottom w:val="single" w:sz="4" w:space="0" w:color="auto"/>
              <w:right w:val="nil"/>
            </w:tcBorders>
            <w:shd w:val="clear" w:color="auto" w:fill="auto"/>
            <w:noWrap/>
            <w:vAlign w:val="bottom"/>
            <w:hideMark/>
          </w:tcPr>
          <w:p w14:paraId="1B3A995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26.27</w:t>
            </w:r>
          </w:p>
        </w:tc>
        <w:tc>
          <w:tcPr>
            <w:tcW w:w="378" w:type="pct"/>
            <w:tcBorders>
              <w:top w:val="single" w:sz="4" w:space="0" w:color="auto"/>
              <w:left w:val="nil"/>
              <w:bottom w:val="single" w:sz="4" w:space="0" w:color="auto"/>
              <w:right w:val="nil"/>
            </w:tcBorders>
            <w:shd w:val="clear" w:color="auto" w:fill="auto"/>
            <w:noWrap/>
            <w:vAlign w:val="bottom"/>
            <w:hideMark/>
          </w:tcPr>
          <w:p w14:paraId="321A5A2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75.54</w:t>
            </w:r>
          </w:p>
        </w:tc>
        <w:tc>
          <w:tcPr>
            <w:tcW w:w="381" w:type="pct"/>
            <w:tcBorders>
              <w:top w:val="single" w:sz="4" w:space="0" w:color="auto"/>
              <w:left w:val="nil"/>
              <w:bottom w:val="single" w:sz="4" w:space="0" w:color="auto"/>
              <w:right w:val="nil"/>
            </w:tcBorders>
            <w:shd w:val="clear" w:color="auto" w:fill="auto"/>
            <w:noWrap/>
            <w:vAlign w:val="bottom"/>
            <w:hideMark/>
          </w:tcPr>
          <w:p w14:paraId="3800798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w:t>
            </w:r>
          </w:p>
        </w:tc>
        <w:tc>
          <w:tcPr>
            <w:tcW w:w="378" w:type="pct"/>
            <w:tcBorders>
              <w:top w:val="single" w:sz="4" w:space="0" w:color="auto"/>
              <w:left w:val="nil"/>
              <w:bottom w:val="single" w:sz="4" w:space="0" w:color="auto"/>
              <w:right w:val="nil"/>
            </w:tcBorders>
            <w:shd w:val="clear" w:color="auto" w:fill="auto"/>
            <w:noWrap/>
            <w:vAlign w:val="bottom"/>
            <w:hideMark/>
          </w:tcPr>
          <w:p w14:paraId="0544271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{"citationID":"a1hntjj9emc","properties":{"formattedCitation":"[136]","plainCitation":"[136]","noteIndex":0},"citationItems":[{"id":517,"uris":["http://zotero.org/users/12909065/items/DKR78MSR"],"itemData":{"id":517,"type":"article-journal","abstract":"Semitransparent organic solar cells (ST-OSCs) have huge potential in terms of building integrated photovoltaics (BIPVs). However, the inherent contradiction between active layer absorption and average visible-light transmittance (AVT) hinders the follow-up development of ST-OSC. To solve this problem, hydrogen bond strategy has been adopted to simultaneously improve the photon trapping capability and film thickness tolerance of the devices. Here, an organic small molecule material DIBC is introduced into PM6:Y6 system to form an intramolecular hydrogen bond with Y6, through which a high power conversion efficiency (PCE) of 17.20% is obtained. It is noted that when the active layer thickness is varied from 70 to 150 nm, the PCE values distributed in the range of 16.39–17.20%, which exhibits excellent film thickness tolerance. Moreover, ST-OSCs are achieved with a maximum PCE of 14% and a high AVT of 21.60%, which is among the best reported results of ST-OSCs. In addition, hydrogen-bond-based ST-OSCs show superior thermal and light stability in the atmospheric environment corresponding to the control devices. This work provides a feasible solution for ST-OSC with outstanding efficiency and high AVT, which is of great significance for the industrial production of BIPVs in the future. © 2021 Wiley-VCH GmbH","archive":"Scopus","container-title":"Advanced Optical Materials","DOI":"10.1002/adom.202100064","ISSN":"2195-1071","issue":"12","language":"English","source":"Scopus","title":"Hydrogen-Bond-Induced High Performance Semitransparent Ternary Organic Solar Cells with 14% Efficiency and Enhanced Stability","volume":"9","author":[{"family":"Lu","given":"X."},{"family":"Cao","given":"L."},{"family":"Du","given":"X."},{"family":"Lin","given":"H."},{"family":"Zheng","given":"C."},{"family":"Chen","given":"Z."},{"family":"Sun","given":"B."},{"family":"Tao","given":"S."}],"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[136]</w:t>
            </w:r>
            <w:r w:rsidRPr="00B55044">
              <w:rPr>
                <w:rFonts w:eastAsia="Times New Roman"/>
                <w:color w:val="0000FF"/>
                <w:sz w:val="16"/>
                <w:szCs w:val="16"/>
              </w:rPr>
              <w:fldChar w:fldCharType="end"/>
            </w:r>
          </w:p>
        </w:tc>
      </w:tr>
      <w:tr w:rsidR="00D47774" w:rsidRPr="00B55044" w14:paraId="6465741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A3B752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226</w:t>
            </w:r>
          </w:p>
        </w:tc>
        <w:tc>
          <w:tcPr>
            <w:tcW w:w="1525" w:type="pct"/>
            <w:tcBorders>
              <w:top w:val="single" w:sz="4" w:space="0" w:color="auto"/>
              <w:left w:val="nil"/>
              <w:bottom w:val="single" w:sz="4" w:space="0" w:color="auto"/>
              <w:right w:val="nil"/>
            </w:tcBorders>
            <w:shd w:val="clear" w:color="auto" w:fill="auto"/>
            <w:noWrap/>
            <w:vAlign w:val="bottom"/>
            <w:hideMark/>
          </w:tcPr>
          <w:p w14:paraId="160B60B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4D8B3C9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PM6:Y6:DIBC (10%)</w:t>
            </w:r>
          </w:p>
        </w:tc>
        <w:tc>
          <w:tcPr>
            <w:tcW w:w="379" w:type="pct"/>
            <w:tcBorders>
              <w:top w:val="single" w:sz="4" w:space="0" w:color="auto"/>
              <w:left w:val="nil"/>
              <w:bottom w:val="single" w:sz="4" w:space="0" w:color="auto"/>
              <w:right w:val="nil"/>
            </w:tcBorders>
            <w:shd w:val="clear" w:color="auto" w:fill="auto"/>
            <w:noWrap/>
            <w:vAlign w:val="bottom"/>
            <w:hideMark/>
          </w:tcPr>
          <w:p w14:paraId="71A0C92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0.835</w:t>
            </w:r>
          </w:p>
        </w:tc>
        <w:tc>
          <w:tcPr>
            <w:tcW w:w="379" w:type="pct"/>
            <w:tcBorders>
              <w:top w:val="single" w:sz="4" w:space="0" w:color="auto"/>
              <w:left w:val="nil"/>
              <w:bottom w:val="single" w:sz="4" w:space="0" w:color="auto"/>
              <w:right w:val="nil"/>
            </w:tcBorders>
            <w:shd w:val="clear" w:color="auto" w:fill="auto"/>
            <w:noWrap/>
            <w:vAlign w:val="bottom"/>
            <w:hideMark/>
          </w:tcPr>
          <w:p w14:paraId="40516B2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27.24</w:t>
            </w:r>
          </w:p>
        </w:tc>
        <w:tc>
          <w:tcPr>
            <w:tcW w:w="378" w:type="pct"/>
            <w:tcBorders>
              <w:top w:val="single" w:sz="4" w:space="0" w:color="auto"/>
              <w:left w:val="nil"/>
              <w:bottom w:val="single" w:sz="4" w:space="0" w:color="auto"/>
              <w:right w:val="nil"/>
            </w:tcBorders>
            <w:shd w:val="clear" w:color="auto" w:fill="auto"/>
            <w:noWrap/>
            <w:vAlign w:val="bottom"/>
            <w:hideMark/>
          </w:tcPr>
          <w:p w14:paraId="0E899C5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74.69</w:t>
            </w:r>
          </w:p>
        </w:tc>
        <w:tc>
          <w:tcPr>
            <w:tcW w:w="381" w:type="pct"/>
            <w:tcBorders>
              <w:top w:val="single" w:sz="4" w:space="0" w:color="auto"/>
              <w:left w:val="nil"/>
              <w:bottom w:val="single" w:sz="4" w:space="0" w:color="auto"/>
              <w:right w:val="nil"/>
            </w:tcBorders>
            <w:shd w:val="clear" w:color="auto" w:fill="auto"/>
            <w:noWrap/>
            <w:vAlign w:val="bottom"/>
            <w:hideMark/>
          </w:tcPr>
          <w:p w14:paraId="503FFDF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16.68</w:t>
            </w:r>
          </w:p>
        </w:tc>
        <w:tc>
          <w:tcPr>
            <w:tcW w:w="378" w:type="pct"/>
            <w:tcBorders>
              <w:top w:val="single" w:sz="4" w:space="0" w:color="auto"/>
              <w:left w:val="nil"/>
              <w:bottom w:val="single" w:sz="4" w:space="0" w:color="auto"/>
              <w:right w:val="nil"/>
            </w:tcBorders>
            <w:shd w:val="clear" w:color="auto" w:fill="auto"/>
            <w:noWrap/>
            <w:vAlign w:val="bottom"/>
            <w:hideMark/>
          </w:tcPr>
          <w:p w14:paraId="41FEBB5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{"citationID":"a2nvsp4l46h","properties":{"formattedCitation":"[136]","plainCitation":"[136]","noteIndex":0},"citationItems":[{"id":517,"uris":["http://zotero.org/users/12909065/items/DKR78MSR"],"itemData":{"id":517,"type":"article-journal","abstract":"Semitransparent organic solar cells (ST-OSCs) have huge potential in terms of building integrated photovoltaics (BIPVs). However, the inherent contradiction between active layer absorption and average visible-light transmittance (AVT) hinders the follow-up development of ST-OSC. To solve this problem, hydrogen bond strategy has been adopted to simultaneously improve the photon trapping capability and film thickness tolerance of the devices. Here, an organic small molecule material DIBC is introduced into PM6:Y6 system to form an intramolecular hydrogen bond with Y6, through which a high power conversion efficiency (PCE) of 17.20% is obtained. It is noted that when the active layer thickness is varied from 70 to 150 nm, the PCE values distributed in the range of 16.39–17.20%, which exhibits excellent film thickness tolerance. Moreover, ST-OSCs are achieved with a maximum PCE of 14% and a high AVT of 21.60%, which is among the best reported results of ST-OSCs. In addition, hydrogen-bond-based ST-OSCs show superior thermal and light stability in the atmospheric environment corresponding to the control devices. This work provides a feasible solution for ST-OSC with outstanding efficiency and high AVT, which is of great significance for the industrial production of BIPVs in the future. © 2021 Wiley-VCH GmbH","archive":"Scopus","container-title":"Advanced Optical Materials","DOI":"10.1002/adom.202100064","ISSN":"2195-1071","issue":"12","language":"English","source":"Scopus","title":"Hydrogen-Bond-Induced High Performance Semitransparent Ternary Organic Solar Cells with 14% Efficiency and Enhanced Stability","volume":"9","author":[{"family":"Lu","given":"X."},{"family":"Cao","given":"L."},{"family":"Du","given":"X."},{"family":"Lin","given":"H."},{"family":"Zheng","given":"C."},{"family":"Chen","given":"Z."},{"family":"Sun","given":"B."},{"family":"Tao","given":"S."}],"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[136]</w:t>
            </w:r>
            <w:r w:rsidRPr="00B55044">
              <w:rPr>
                <w:rFonts w:eastAsia="Times New Roman"/>
                <w:color w:val="0000FF"/>
                <w:sz w:val="16"/>
                <w:szCs w:val="16"/>
              </w:rPr>
              <w:fldChar w:fldCharType="end"/>
            </w:r>
          </w:p>
        </w:tc>
      </w:tr>
      <w:tr w:rsidR="00D47774" w:rsidRPr="00B55044" w14:paraId="14ABA41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32433E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227</w:t>
            </w:r>
          </w:p>
        </w:tc>
        <w:tc>
          <w:tcPr>
            <w:tcW w:w="1525" w:type="pct"/>
            <w:tcBorders>
              <w:top w:val="single" w:sz="4" w:space="0" w:color="auto"/>
              <w:left w:val="nil"/>
              <w:bottom w:val="single" w:sz="4" w:space="0" w:color="auto"/>
              <w:right w:val="nil"/>
            </w:tcBorders>
            <w:shd w:val="clear" w:color="auto" w:fill="auto"/>
            <w:noWrap/>
            <w:vAlign w:val="bottom"/>
            <w:hideMark/>
          </w:tcPr>
          <w:p w14:paraId="3EE82E0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6C3AF88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PM6:Y6:DIBC (10%)</w:t>
            </w:r>
          </w:p>
        </w:tc>
        <w:tc>
          <w:tcPr>
            <w:tcW w:w="379" w:type="pct"/>
            <w:tcBorders>
              <w:top w:val="single" w:sz="4" w:space="0" w:color="auto"/>
              <w:left w:val="nil"/>
              <w:bottom w:val="single" w:sz="4" w:space="0" w:color="auto"/>
              <w:right w:val="nil"/>
            </w:tcBorders>
            <w:shd w:val="clear" w:color="auto" w:fill="auto"/>
            <w:noWrap/>
            <w:vAlign w:val="bottom"/>
            <w:hideMark/>
          </w:tcPr>
          <w:p w14:paraId="2D5DCE3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0.834</w:t>
            </w:r>
          </w:p>
        </w:tc>
        <w:tc>
          <w:tcPr>
            <w:tcW w:w="379" w:type="pct"/>
            <w:tcBorders>
              <w:top w:val="single" w:sz="4" w:space="0" w:color="auto"/>
              <w:left w:val="nil"/>
              <w:bottom w:val="single" w:sz="4" w:space="0" w:color="auto"/>
              <w:right w:val="nil"/>
            </w:tcBorders>
            <w:shd w:val="clear" w:color="auto" w:fill="auto"/>
            <w:noWrap/>
            <w:vAlign w:val="bottom"/>
            <w:hideMark/>
          </w:tcPr>
          <w:p w14:paraId="02BC755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27.02</w:t>
            </w:r>
          </w:p>
        </w:tc>
        <w:tc>
          <w:tcPr>
            <w:tcW w:w="378" w:type="pct"/>
            <w:tcBorders>
              <w:top w:val="single" w:sz="4" w:space="0" w:color="auto"/>
              <w:left w:val="nil"/>
              <w:bottom w:val="single" w:sz="4" w:space="0" w:color="auto"/>
              <w:right w:val="nil"/>
            </w:tcBorders>
            <w:shd w:val="clear" w:color="auto" w:fill="auto"/>
            <w:noWrap/>
            <w:vAlign w:val="bottom"/>
            <w:hideMark/>
          </w:tcPr>
          <w:p w14:paraId="12EE32E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76.32</w:t>
            </w:r>
          </w:p>
        </w:tc>
        <w:tc>
          <w:tcPr>
            <w:tcW w:w="381" w:type="pct"/>
            <w:tcBorders>
              <w:top w:val="single" w:sz="4" w:space="0" w:color="auto"/>
              <w:left w:val="nil"/>
              <w:bottom w:val="single" w:sz="4" w:space="0" w:color="auto"/>
              <w:right w:val="nil"/>
            </w:tcBorders>
            <w:shd w:val="clear" w:color="auto" w:fill="auto"/>
            <w:noWrap/>
            <w:vAlign w:val="bottom"/>
            <w:hideMark/>
          </w:tcPr>
          <w:p w14:paraId="572430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16.81</w:t>
            </w:r>
          </w:p>
        </w:tc>
        <w:tc>
          <w:tcPr>
            <w:tcW w:w="378" w:type="pct"/>
            <w:tcBorders>
              <w:top w:val="single" w:sz="4" w:space="0" w:color="auto"/>
              <w:left w:val="nil"/>
              <w:bottom w:val="single" w:sz="4" w:space="0" w:color="auto"/>
              <w:right w:val="nil"/>
            </w:tcBorders>
            <w:shd w:val="clear" w:color="auto" w:fill="auto"/>
            <w:noWrap/>
            <w:vAlign w:val="bottom"/>
            <w:hideMark/>
          </w:tcPr>
          <w:p w14:paraId="226841A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{"citationID":"aqknk4g8gc","properties":{"formattedCitation":"[136]","plainCitation":"[136]","noteIndex":0},"citationItems":[{"id":517,"uris":["http://zotero.org/users/12909065/items/DKR78MSR"],"itemData":{"id":517,"type":"article-journal","abstract":"Semitransparent organic solar cells (ST-OSCs) have huge potential in terms of building integrated photovoltaics (BIPVs). However, the inherent contradiction between active layer absorption and average visible-light transmittance (AVT) hinders the follow-up development of ST-OSC. To solve this problem, hydrogen bond strategy has been adopted to simultaneously improve the photon trapping capability and film thickness tolerance of the devices. Here, an organic small molecule material DIBC is introduced into PM6:Y6 system to form an intramolecular hydrogen bond with Y6, through which a high power conversion efficiency (PCE) of 17.20% is obtained. It is noted that when the active layer thickness is varied from 70 to 150 nm, the PCE values distributed in the range of 16.39–17.20%, which exhibits excellent film thickness tolerance. Moreover, ST-OSCs are achieved with a maximum PCE of 14% and a high AVT of 21.60%, which is among the best reported results of ST-OSCs. In addition, hydrogen-bond-based ST-OSCs show superior thermal and light stability in the atmospheric environment corresponding to the control devices. This work provides a feasible solution for ST-OSC with outstanding efficiency and high AVT, which is of great significance for the industrial production of BIPVs in the future. © 2021 Wiley-VCH GmbH","archive":"Scopus","container-title":"Advanced Optical Materials","DOI":"10.1002/adom.202100064","ISSN":"2195-1071","issue":"12","language":"English","source":"Scopus","title":"Hydrogen-Bond-Induced High Performance Semitransparent Ternary Organic Solar Cells with 14% Efficiency and Enhanced Stability","volume":"9","author":[{"family":"Lu","given":"X."},{"family":"Cao","given":"L."},{"family":"Du","given":"X."},{"family":"Lin","given":"H."},{"family":"Zheng","given":"C."},{"family":"Chen","given":"Z."},{"family":"Sun","given":"B."},{"family":"Tao","given":"S."}],"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[136]</w:t>
            </w:r>
            <w:r w:rsidRPr="00B55044">
              <w:rPr>
                <w:rFonts w:eastAsia="Times New Roman"/>
                <w:color w:val="0000FF"/>
                <w:sz w:val="16"/>
                <w:szCs w:val="16"/>
              </w:rPr>
              <w:fldChar w:fldCharType="end"/>
            </w:r>
          </w:p>
        </w:tc>
      </w:tr>
      <w:tr w:rsidR="00D47774" w:rsidRPr="00B55044" w14:paraId="36EE763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7C3134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228</w:t>
            </w:r>
          </w:p>
        </w:tc>
        <w:tc>
          <w:tcPr>
            <w:tcW w:w="1525" w:type="pct"/>
            <w:tcBorders>
              <w:top w:val="single" w:sz="4" w:space="0" w:color="auto"/>
              <w:left w:val="nil"/>
              <w:bottom w:val="single" w:sz="4" w:space="0" w:color="auto"/>
              <w:right w:val="nil"/>
            </w:tcBorders>
            <w:shd w:val="clear" w:color="auto" w:fill="auto"/>
            <w:noWrap/>
            <w:vAlign w:val="bottom"/>
            <w:hideMark/>
          </w:tcPr>
          <w:p w14:paraId="31C817A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643F979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PM6:Y6:DIBC (10%)</w:t>
            </w:r>
          </w:p>
        </w:tc>
        <w:tc>
          <w:tcPr>
            <w:tcW w:w="379" w:type="pct"/>
            <w:tcBorders>
              <w:top w:val="single" w:sz="4" w:space="0" w:color="auto"/>
              <w:left w:val="nil"/>
              <w:bottom w:val="single" w:sz="4" w:space="0" w:color="auto"/>
              <w:right w:val="nil"/>
            </w:tcBorders>
            <w:shd w:val="clear" w:color="auto" w:fill="auto"/>
            <w:noWrap/>
            <w:vAlign w:val="bottom"/>
            <w:hideMark/>
          </w:tcPr>
          <w:p w14:paraId="76A656D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0.835</w:t>
            </w:r>
          </w:p>
        </w:tc>
        <w:tc>
          <w:tcPr>
            <w:tcW w:w="379" w:type="pct"/>
            <w:tcBorders>
              <w:top w:val="single" w:sz="4" w:space="0" w:color="auto"/>
              <w:left w:val="nil"/>
              <w:bottom w:val="single" w:sz="4" w:space="0" w:color="auto"/>
              <w:right w:val="nil"/>
            </w:tcBorders>
            <w:shd w:val="clear" w:color="auto" w:fill="auto"/>
            <w:noWrap/>
            <w:vAlign w:val="bottom"/>
            <w:hideMark/>
          </w:tcPr>
          <w:p w14:paraId="665F372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26.28</w:t>
            </w:r>
          </w:p>
        </w:tc>
        <w:tc>
          <w:tcPr>
            <w:tcW w:w="378" w:type="pct"/>
            <w:tcBorders>
              <w:top w:val="single" w:sz="4" w:space="0" w:color="auto"/>
              <w:left w:val="nil"/>
              <w:bottom w:val="single" w:sz="4" w:space="0" w:color="auto"/>
              <w:right w:val="nil"/>
            </w:tcBorders>
            <w:shd w:val="clear" w:color="auto" w:fill="auto"/>
            <w:noWrap/>
            <w:vAlign w:val="bottom"/>
            <w:hideMark/>
          </w:tcPr>
          <w:p w14:paraId="6DD4798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76.5</w:t>
            </w:r>
          </w:p>
        </w:tc>
        <w:tc>
          <w:tcPr>
            <w:tcW w:w="381" w:type="pct"/>
            <w:tcBorders>
              <w:top w:val="single" w:sz="4" w:space="0" w:color="auto"/>
              <w:left w:val="nil"/>
              <w:bottom w:val="single" w:sz="4" w:space="0" w:color="auto"/>
              <w:right w:val="nil"/>
            </w:tcBorders>
            <w:shd w:val="clear" w:color="auto" w:fill="auto"/>
            <w:noWrap/>
            <w:vAlign w:val="bottom"/>
            <w:hideMark/>
          </w:tcPr>
          <w:p w14:paraId="0B48565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16.45</w:t>
            </w:r>
          </w:p>
        </w:tc>
        <w:tc>
          <w:tcPr>
            <w:tcW w:w="378" w:type="pct"/>
            <w:tcBorders>
              <w:top w:val="single" w:sz="4" w:space="0" w:color="auto"/>
              <w:left w:val="nil"/>
              <w:bottom w:val="single" w:sz="4" w:space="0" w:color="auto"/>
              <w:right w:val="nil"/>
            </w:tcBorders>
            <w:shd w:val="clear" w:color="auto" w:fill="auto"/>
            <w:noWrap/>
            <w:vAlign w:val="bottom"/>
            <w:hideMark/>
          </w:tcPr>
          <w:p w14:paraId="712516F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{"citationID":"a29gn7elt1g","properties":{"formattedCitation":"[136]","plainCitation":"[136]","noteIndex":0},"citationItems":[{"id":517,"uris":["http://zotero.org/users/12909065/items/DKR78MSR"],"itemData":{"id":517,"type":"article-journal","abstract":"Semitransparent organic solar cells (ST-OSCs) have huge potential in terms of building integrated photovoltaics (BIPVs). However, the inherent contradiction between active layer absorption and average visible-light transmittance (AVT) hinders the follow-up development of ST-OSC. To solve this problem, hydrogen bond strategy has been adopted to simultaneously improve the photon trapping capability and film thickness tolerance of the devices. Here, an organic small molecule material DIBC is introduced into PM6:Y6 system to form an intramolecular hydrogen bond with Y6, through which a high power conversion efficiency (PCE) of 17.20% is obtained. It is noted that when the active layer thickness is varied from 70 to 150 nm, the PCE values distributed in the range of 16.39–17.20%, which exhibits excellent film thickness tolerance. Moreover, ST-OSCs are achieved with a maximum PCE of 14% and a high AVT of 21.60%, which is among the best reported results of ST-OSCs. In addition, hydrogen-bond-based ST-OSCs show superior thermal and light stability in the atmospheric environment corresponding to the control devices. This work provides a feasible solution for ST-OSC with outstanding efficiency and high AVT, which is of great significance for the industrial production of BIPVs in the future. © 2021 Wiley-VCH GmbH","archive":"Scopus","container-title":"Advanced Optical Materials","DOI":"10.1002/adom.202100064","ISSN":"2195-1071","issue":"12","language":"English","source":"Scopus","title":"Hydrogen-Bond-Induced High Performance Semitransparent Ternary Organic Solar Cells with 14% Efficiency and Enhanced Stability","volume":"9","author":[{"family":"Lu","given":"X."},{"family":"Cao","given":"L."},{"family":"Du","given":"X."},{"family":"Lin","given":"H."},{"family":"Zheng","given":"C."},{"family":"Chen","given":"Z."},{"family":"Sun","given":"B."},{"family":"Tao","given":"S."}],"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[136]</w:t>
            </w:r>
            <w:r w:rsidRPr="00B55044">
              <w:rPr>
                <w:rFonts w:eastAsia="Times New Roman"/>
                <w:color w:val="0000FF"/>
                <w:sz w:val="16"/>
                <w:szCs w:val="16"/>
              </w:rPr>
              <w:fldChar w:fldCharType="end"/>
            </w:r>
          </w:p>
        </w:tc>
      </w:tr>
      <w:tr w:rsidR="00D47774" w:rsidRPr="00B55044" w14:paraId="176827D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53910D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229</w:t>
            </w:r>
          </w:p>
        </w:tc>
        <w:tc>
          <w:tcPr>
            <w:tcW w:w="1525" w:type="pct"/>
            <w:tcBorders>
              <w:top w:val="single" w:sz="4" w:space="0" w:color="auto"/>
              <w:left w:val="nil"/>
              <w:bottom w:val="single" w:sz="4" w:space="0" w:color="auto"/>
              <w:right w:val="nil"/>
            </w:tcBorders>
            <w:shd w:val="clear" w:color="auto" w:fill="auto"/>
            <w:noWrap/>
            <w:vAlign w:val="bottom"/>
            <w:hideMark/>
          </w:tcPr>
          <w:p w14:paraId="2947D62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43F0870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PM6:Y6:DIBC (10%)</w:t>
            </w:r>
          </w:p>
        </w:tc>
        <w:tc>
          <w:tcPr>
            <w:tcW w:w="379" w:type="pct"/>
            <w:tcBorders>
              <w:top w:val="single" w:sz="4" w:space="0" w:color="auto"/>
              <w:left w:val="nil"/>
              <w:bottom w:val="single" w:sz="4" w:space="0" w:color="auto"/>
              <w:right w:val="nil"/>
            </w:tcBorders>
            <w:shd w:val="clear" w:color="auto" w:fill="auto"/>
            <w:noWrap/>
            <w:vAlign w:val="bottom"/>
            <w:hideMark/>
          </w:tcPr>
          <w:p w14:paraId="7D796CC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0.833</w:t>
            </w:r>
          </w:p>
        </w:tc>
        <w:tc>
          <w:tcPr>
            <w:tcW w:w="379" w:type="pct"/>
            <w:tcBorders>
              <w:top w:val="single" w:sz="4" w:space="0" w:color="auto"/>
              <w:left w:val="nil"/>
              <w:bottom w:val="single" w:sz="4" w:space="0" w:color="auto"/>
              <w:right w:val="nil"/>
            </w:tcBorders>
            <w:shd w:val="clear" w:color="auto" w:fill="auto"/>
            <w:noWrap/>
            <w:vAlign w:val="bottom"/>
            <w:hideMark/>
          </w:tcPr>
          <w:p w14:paraId="364F59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25.54</w:t>
            </w:r>
          </w:p>
        </w:tc>
        <w:tc>
          <w:tcPr>
            <w:tcW w:w="378" w:type="pct"/>
            <w:tcBorders>
              <w:top w:val="single" w:sz="4" w:space="0" w:color="auto"/>
              <w:left w:val="nil"/>
              <w:bottom w:val="single" w:sz="4" w:space="0" w:color="auto"/>
              <w:right w:val="nil"/>
            </w:tcBorders>
            <w:shd w:val="clear" w:color="auto" w:fill="auto"/>
            <w:noWrap/>
            <w:vAlign w:val="bottom"/>
            <w:hideMark/>
          </w:tcPr>
          <w:p w14:paraId="1D20AED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77.04</w:t>
            </w:r>
          </w:p>
        </w:tc>
        <w:tc>
          <w:tcPr>
            <w:tcW w:w="381" w:type="pct"/>
            <w:tcBorders>
              <w:top w:val="single" w:sz="4" w:space="0" w:color="auto"/>
              <w:left w:val="nil"/>
              <w:bottom w:val="single" w:sz="4" w:space="0" w:color="auto"/>
              <w:right w:val="nil"/>
            </w:tcBorders>
            <w:shd w:val="clear" w:color="auto" w:fill="auto"/>
            <w:noWrap/>
            <w:vAlign w:val="bottom"/>
            <w:hideMark/>
          </w:tcPr>
          <w:p w14:paraId="09DF605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16.19</w:t>
            </w:r>
          </w:p>
        </w:tc>
        <w:tc>
          <w:tcPr>
            <w:tcW w:w="378" w:type="pct"/>
            <w:tcBorders>
              <w:top w:val="single" w:sz="4" w:space="0" w:color="auto"/>
              <w:left w:val="nil"/>
              <w:bottom w:val="single" w:sz="4" w:space="0" w:color="auto"/>
              <w:right w:val="nil"/>
            </w:tcBorders>
            <w:shd w:val="clear" w:color="auto" w:fill="auto"/>
            <w:noWrap/>
            <w:vAlign w:val="bottom"/>
            <w:hideMark/>
          </w:tcPr>
          <w:p w14:paraId="597FD05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{"citationID":"a145oqtamq7","properties":{"formattedCitation":"[136]","plainCitation":"[136]","noteIndex":0},"citationItems":[{"id":517,"uris":["http://zotero.org/users/12909065/items/DKR78MSR"],"itemData":{"id":517,"type":"article-journal","abstract":"Semitransparent organic solar cells (ST-OSCs) have huge potential in terms of building integrated photovoltaics (BIPVs). However, the inherent contradiction between active layer absorption and average visible-light transmittance (AVT) hinders the follow-up development of ST-OSC. To solve this problem, hydrogen bond strategy has been adopted to simultaneously improve the photon trapping capability and film thickness tolerance of the devices. Here, an organic small molecule material DIBC is introduced into PM6:Y6 system to form an intramolecular hydrogen bond with Y6, through which a high power conversion efficiency (PCE) of 17.20% is obtained. It is noted that when the active layer thickness is varied from 70 to 150 nm, the PCE values distributed in the range of 16.39–17.20%, which exhibits excellent film thickness tolerance. Moreover, ST-OSCs are achieved with a maximum PCE of 14% and a high AVT of 21.60%, which is among the best reported results of ST-OSCs. In addition, hydrogen-bond-based ST-OSCs show superior thermal and light stability in the atmospheric environment corresponding to the control devices. This work provides a feasible solution for ST-OSC with outstanding efficiency and high AVT, which is of great significance for the industrial production of BIPVs in the future. © 2021 Wiley-VCH GmbH","archive":"Scopus","container-title":"Advanced Optical Materials","DOI":"10.1002/adom.202100064","ISSN":"2195-1071","issue":"12","language":"English","source":"Scopus","title":"Hydrogen-Bond-Induced High Performance Semitransparent Ternary Organic Solar Cells with 14% Efficiency and Enhanced Stability","volume":"9","author":[{"family":"Lu","given":"X."},{"family":"Cao","given":"L."},{"family":"Du","given":"X."},{"family":"Lin","given":"H."},{"family":"Zheng","given":"C."},{"family":"Chen","given":"Z."},{"family":"Sun","given":"B."},{"family":"Tao","given":"S."}],"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[136]</w:t>
            </w:r>
            <w:r w:rsidRPr="00B55044">
              <w:rPr>
                <w:rFonts w:eastAsia="Times New Roman"/>
                <w:color w:val="0000FF"/>
                <w:sz w:val="16"/>
                <w:szCs w:val="16"/>
              </w:rPr>
              <w:fldChar w:fldCharType="end"/>
            </w:r>
          </w:p>
        </w:tc>
      </w:tr>
      <w:tr w:rsidR="00D47774" w:rsidRPr="00B55044" w14:paraId="3C0BC7D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1CD509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230</w:t>
            </w:r>
          </w:p>
        </w:tc>
        <w:tc>
          <w:tcPr>
            <w:tcW w:w="1525" w:type="pct"/>
            <w:tcBorders>
              <w:top w:val="single" w:sz="4" w:space="0" w:color="auto"/>
              <w:left w:val="nil"/>
              <w:bottom w:val="single" w:sz="4" w:space="0" w:color="auto"/>
              <w:right w:val="nil"/>
            </w:tcBorders>
            <w:shd w:val="clear" w:color="auto" w:fill="auto"/>
            <w:noWrap/>
            <w:vAlign w:val="bottom"/>
            <w:hideMark/>
          </w:tcPr>
          <w:p w14:paraId="0C98FFB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649670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PM6:Y6:DIBC (15%)</w:t>
            </w:r>
          </w:p>
        </w:tc>
        <w:tc>
          <w:tcPr>
            <w:tcW w:w="379" w:type="pct"/>
            <w:tcBorders>
              <w:top w:val="single" w:sz="4" w:space="0" w:color="auto"/>
              <w:left w:val="nil"/>
              <w:bottom w:val="single" w:sz="4" w:space="0" w:color="auto"/>
              <w:right w:val="nil"/>
            </w:tcBorders>
            <w:shd w:val="clear" w:color="auto" w:fill="auto"/>
            <w:noWrap/>
            <w:vAlign w:val="bottom"/>
            <w:hideMark/>
          </w:tcPr>
          <w:p w14:paraId="7A5C917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0.831</w:t>
            </w:r>
          </w:p>
        </w:tc>
        <w:tc>
          <w:tcPr>
            <w:tcW w:w="379" w:type="pct"/>
            <w:tcBorders>
              <w:top w:val="single" w:sz="4" w:space="0" w:color="auto"/>
              <w:left w:val="nil"/>
              <w:bottom w:val="single" w:sz="4" w:space="0" w:color="auto"/>
              <w:right w:val="nil"/>
            </w:tcBorders>
            <w:shd w:val="clear" w:color="auto" w:fill="auto"/>
            <w:noWrap/>
            <w:vAlign w:val="bottom"/>
            <w:hideMark/>
          </w:tcPr>
          <w:p w14:paraId="4C44D8F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26.44</w:t>
            </w:r>
          </w:p>
        </w:tc>
        <w:tc>
          <w:tcPr>
            <w:tcW w:w="378" w:type="pct"/>
            <w:tcBorders>
              <w:top w:val="single" w:sz="4" w:space="0" w:color="auto"/>
              <w:left w:val="nil"/>
              <w:bottom w:val="single" w:sz="4" w:space="0" w:color="auto"/>
              <w:right w:val="nil"/>
            </w:tcBorders>
            <w:shd w:val="clear" w:color="auto" w:fill="auto"/>
            <w:noWrap/>
            <w:vAlign w:val="bottom"/>
            <w:hideMark/>
          </w:tcPr>
          <w:p w14:paraId="0843929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75.37</w:t>
            </w:r>
          </w:p>
        </w:tc>
        <w:tc>
          <w:tcPr>
            <w:tcW w:w="381" w:type="pct"/>
            <w:tcBorders>
              <w:top w:val="single" w:sz="4" w:space="0" w:color="auto"/>
              <w:left w:val="nil"/>
              <w:bottom w:val="single" w:sz="4" w:space="0" w:color="auto"/>
              <w:right w:val="nil"/>
            </w:tcBorders>
            <w:shd w:val="clear" w:color="auto" w:fill="auto"/>
            <w:noWrap/>
            <w:vAlign w:val="bottom"/>
            <w:hideMark/>
          </w:tcPr>
          <w:p w14:paraId="235C243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16.34</w:t>
            </w:r>
          </w:p>
        </w:tc>
        <w:tc>
          <w:tcPr>
            <w:tcW w:w="378" w:type="pct"/>
            <w:tcBorders>
              <w:top w:val="single" w:sz="4" w:space="0" w:color="auto"/>
              <w:left w:val="nil"/>
              <w:bottom w:val="single" w:sz="4" w:space="0" w:color="auto"/>
              <w:right w:val="nil"/>
            </w:tcBorders>
            <w:shd w:val="clear" w:color="auto" w:fill="auto"/>
            <w:noWrap/>
            <w:vAlign w:val="bottom"/>
            <w:hideMark/>
          </w:tcPr>
          <w:p w14:paraId="20E63F0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{"citationID":"a1tup9mho14","properties":{"formattedCitation":"[136]","plainCitation":"[136]","noteIndex":0},"citationItems":[{"id":517,"uris":["http://zotero.org/users/12909065/items/DKR78MSR"],"itemData":{"id":517,"type":"article-journal","abstract":"Semitransparent organic solar cells (ST-OSCs) have huge potential in terms of building integrated photovoltaics (BIPVs). However, the inherent contradiction between active layer absorption and average visible-light transmittance (AVT) hinders the follow-up development of ST-OSC. To solve this problem, hydrogen bond strategy has been adopted to simultaneously improve the photon trapping capability and film thickness tolerance of the devices. Here, an organic small molecule material DIBC is introduced into PM6:Y6 system to form an intramolecular hydrogen bond with Y6, through which a high power conversion efficiency (PCE) of 17.20% is obtained. It is noted that when the active layer thickness is varied from 70 to 150 nm, the PCE values distributed in the range of 16.39–17.20%, which exhibits excellent film thickness tolerance. Moreover, ST-OSCs are achieved with a maximum PCE of 14% and a high AVT of 21.60%, which is among the best reported results of ST-OSCs. In addition, hydrogen-bond-based ST-OSCs show superior thermal and light stability in the atmospheric environment corresponding to the control devices. This work provides a feasible solution for ST-OSC with outstanding efficiency and high AVT, which is of great significance for the industrial production of BIPVs in the future. © 2021 Wiley-VCH GmbH","archive":"Scopus","container-title":"Advanced Optical Materials","DOI":"10.1002/adom.202100064","ISSN":"2195-1071","issue":"12","language":"English","source":"Scopus","title":"Hydrogen-Bond-Induced High Performance Semitransparent Ternary Organic Solar Cells with 14% Efficiency and Enhanced Stability","volume":"9","author":[{"family":"Lu","given":"X."},{"family":"Cao","given":"L."},{"family":"Du","given":"X."},{"family":"Lin","given":"H."},{"family":"Zheng","given":"C."},{"family":"Chen","given":"Z."},{"family":"Sun","given":"B."},{"family":"Tao","given":"S."}],"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[136]</w:t>
            </w:r>
            <w:r w:rsidRPr="00B55044">
              <w:rPr>
                <w:rFonts w:eastAsia="Times New Roman"/>
                <w:color w:val="0000FF"/>
                <w:sz w:val="16"/>
                <w:szCs w:val="16"/>
              </w:rPr>
              <w:fldChar w:fldCharType="end"/>
            </w:r>
          </w:p>
        </w:tc>
      </w:tr>
      <w:tr w:rsidR="00D47774" w:rsidRPr="00B55044" w14:paraId="2CAC9B8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AFEE2C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231</w:t>
            </w:r>
          </w:p>
        </w:tc>
        <w:tc>
          <w:tcPr>
            <w:tcW w:w="1525" w:type="pct"/>
            <w:tcBorders>
              <w:top w:val="single" w:sz="4" w:space="0" w:color="auto"/>
              <w:left w:val="nil"/>
              <w:bottom w:val="single" w:sz="4" w:space="0" w:color="auto"/>
              <w:right w:val="nil"/>
            </w:tcBorders>
            <w:shd w:val="clear" w:color="auto" w:fill="auto"/>
            <w:noWrap/>
            <w:vAlign w:val="bottom"/>
            <w:hideMark/>
          </w:tcPr>
          <w:p w14:paraId="0F4E5A9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4BF6F19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PM6:Y6:DIBC (20%)</w:t>
            </w:r>
          </w:p>
        </w:tc>
        <w:tc>
          <w:tcPr>
            <w:tcW w:w="379" w:type="pct"/>
            <w:tcBorders>
              <w:top w:val="single" w:sz="4" w:space="0" w:color="auto"/>
              <w:left w:val="nil"/>
              <w:bottom w:val="single" w:sz="4" w:space="0" w:color="auto"/>
              <w:right w:val="nil"/>
            </w:tcBorders>
            <w:shd w:val="clear" w:color="auto" w:fill="auto"/>
            <w:noWrap/>
            <w:vAlign w:val="bottom"/>
            <w:hideMark/>
          </w:tcPr>
          <w:p w14:paraId="5B9FA67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w:t>
            </w:r>
          </w:p>
        </w:tc>
        <w:tc>
          <w:tcPr>
            <w:tcW w:w="379" w:type="pct"/>
            <w:tcBorders>
              <w:top w:val="single" w:sz="4" w:space="0" w:color="auto"/>
              <w:left w:val="nil"/>
              <w:bottom w:val="single" w:sz="4" w:space="0" w:color="auto"/>
              <w:right w:val="nil"/>
            </w:tcBorders>
            <w:shd w:val="clear" w:color="auto" w:fill="auto"/>
            <w:noWrap/>
            <w:vAlign w:val="bottom"/>
            <w:hideMark/>
          </w:tcPr>
          <w:p w14:paraId="16C2174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26.28</w:t>
            </w:r>
          </w:p>
        </w:tc>
        <w:tc>
          <w:tcPr>
            <w:tcW w:w="378" w:type="pct"/>
            <w:tcBorders>
              <w:top w:val="single" w:sz="4" w:space="0" w:color="auto"/>
              <w:left w:val="nil"/>
              <w:bottom w:val="single" w:sz="4" w:space="0" w:color="auto"/>
              <w:right w:val="nil"/>
            </w:tcBorders>
            <w:shd w:val="clear" w:color="auto" w:fill="auto"/>
            <w:noWrap/>
            <w:vAlign w:val="bottom"/>
            <w:hideMark/>
          </w:tcPr>
          <w:p w14:paraId="2F047FF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74.68</w:t>
            </w:r>
          </w:p>
        </w:tc>
        <w:tc>
          <w:tcPr>
            <w:tcW w:w="381" w:type="pct"/>
            <w:tcBorders>
              <w:top w:val="single" w:sz="4" w:space="0" w:color="auto"/>
              <w:left w:val="nil"/>
              <w:bottom w:val="single" w:sz="4" w:space="0" w:color="auto"/>
              <w:right w:val="nil"/>
            </w:tcBorders>
            <w:shd w:val="clear" w:color="auto" w:fill="auto"/>
            <w:noWrap/>
            <w:vAlign w:val="bottom"/>
            <w:hideMark/>
          </w:tcPr>
          <w:p w14:paraId="5AAD4FB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15.96</w:t>
            </w:r>
          </w:p>
        </w:tc>
        <w:tc>
          <w:tcPr>
            <w:tcW w:w="378" w:type="pct"/>
            <w:tcBorders>
              <w:top w:val="single" w:sz="4" w:space="0" w:color="auto"/>
              <w:left w:val="nil"/>
              <w:bottom w:val="single" w:sz="4" w:space="0" w:color="auto"/>
              <w:right w:val="nil"/>
            </w:tcBorders>
            <w:shd w:val="clear" w:color="auto" w:fill="auto"/>
            <w:noWrap/>
            <w:vAlign w:val="bottom"/>
            <w:hideMark/>
          </w:tcPr>
          <w:p w14:paraId="45D8E3E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{"citationID":"a26j7e19boh","properties":{"formattedCitation":"[136]","plainCitation":"[136]","noteIndex":0},"citationItems":[{"id":517,"uris":["http://zotero.org/users/12909065/items/DKR78MSR"],"itemData":{"id":517,"type":"article-journal","abstract":"Semitransparent organic solar cells (ST-OSCs) have huge potential in terms of building integrated photovoltaics (BIPVs). However, the inherent contradiction between active layer absorption and average visible-light transmittance (AVT) hinders the follow-up development of ST-OSC. To solve this problem, hydrogen bond strategy has been adopted to simultaneously improve the photon trapping capability and film thickness tolerance of the devices. Here, an organic small molecule material DIBC is introduced into PM6:Y6 system to form an intramolecular hydrogen bond with Y6, through which a high power conversion efficiency (PCE) of 17.20% is obtained. It is noted that when the active layer thickness is varied from 70 to 150 nm, the PCE values distributed in the range of 16.39–17.20%, which exhibits excellent film thickness tolerance. Moreover, ST-OSCs are achieved with a maximum PCE of 14% and a high AVT of 21.60%, which is among the best reported results of ST-OSCs. In addition, hydrogen-bond-based ST-OSCs show superior thermal and light stability in the atmospheric environment corresponding to the control devices. This work provides a feasible solution for ST-OSC with outstanding efficiency and high AVT, which is of great significance for the industrial production of BIPVs in the future. © 2021 Wiley-VCH GmbH","archive":"Scopus","container-title":"Advanced Optical Materials","DOI":"10.1002/adom.202100064","ISSN":"2195-1071","issue":"12","language":"English","source":"Scopus","title":"Hydrogen-Bond-Induced High Performance Semitransparent Ternary Organic Solar Cells with 14% Efficiency and Enhanced Stability","volume":"9","author":[{"family":"Lu","given":"X."},{"family":"Cao","given":"L."},{"family":"Du","given":"X."},{"family":"Lin","given":"H."},{"family":"Zheng","given":"C."},{"family":"Chen","given":"Z."},{"family":"Sun","given":"B."},{"family":"Tao","given":"S."}],"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[136]</w:t>
            </w:r>
            <w:r w:rsidRPr="00B55044">
              <w:rPr>
                <w:rFonts w:eastAsia="Times New Roman"/>
                <w:color w:val="0000FF"/>
                <w:sz w:val="16"/>
                <w:szCs w:val="16"/>
              </w:rPr>
              <w:fldChar w:fldCharType="end"/>
            </w:r>
          </w:p>
        </w:tc>
      </w:tr>
      <w:tr w:rsidR="00D47774" w:rsidRPr="00B55044" w14:paraId="16A7B9D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4D7EFE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232</w:t>
            </w:r>
          </w:p>
        </w:tc>
        <w:tc>
          <w:tcPr>
            <w:tcW w:w="1525" w:type="pct"/>
            <w:tcBorders>
              <w:top w:val="single" w:sz="4" w:space="0" w:color="auto"/>
              <w:left w:val="nil"/>
              <w:bottom w:val="single" w:sz="4" w:space="0" w:color="auto"/>
              <w:right w:val="nil"/>
            </w:tcBorders>
            <w:shd w:val="clear" w:color="auto" w:fill="auto"/>
            <w:noWrap/>
            <w:vAlign w:val="bottom"/>
            <w:hideMark/>
          </w:tcPr>
          <w:p w14:paraId="1B1C151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1F60E90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PM6:Y6:SR197</w:t>
            </w:r>
          </w:p>
        </w:tc>
        <w:tc>
          <w:tcPr>
            <w:tcW w:w="379" w:type="pct"/>
            <w:tcBorders>
              <w:top w:val="single" w:sz="4" w:space="0" w:color="auto"/>
              <w:left w:val="nil"/>
              <w:bottom w:val="single" w:sz="4" w:space="0" w:color="auto"/>
              <w:right w:val="nil"/>
            </w:tcBorders>
            <w:shd w:val="clear" w:color="auto" w:fill="auto"/>
            <w:noWrap/>
            <w:vAlign w:val="bottom"/>
            <w:hideMark/>
          </w:tcPr>
          <w:p w14:paraId="63D929D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0.834</w:t>
            </w:r>
          </w:p>
        </w:tc>
        <w:tc>
          <w:tcPr>
            <w:tcW w:w="379" w:type="pct"/>
            <w:tcBorders>
              <w:top w:val="single" w:sz="4" w:space="0" w:color="auto"/>
              <w:left w:val="nil"/>
              <w:bottom w:val="single" w:sz="4" w:space="0" w:color="auto"/>
              <w:right w:val="nil"/>
            </w:tcBorders>
            <w:shd w:val="clear" w:color="auto" w:fill="auto"/>
            <w:noWrap/>
            <w:vAlign w:val="bottom"/>
            <w:hideMark/>
          </w:tcPr>
          <w:p w14:paraId="1D278EC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26.87</w:t>
            </w:r>
          </w:p>
        </w:tc>
        <w:tc>
          <w:tcPr>
            <w:tcW w:w="378" w:type="pct"/>
            <w:tcBorders>
              <w:top w:val="single" w:sz="4" w:space="0" w:color="auto"/>
              <w:left w:val="nil"/>
              <w:bottom w:val="single" w:sz="4" w:space="0" w:color="auto"/>
              <w:right w:val="nil"/>
            </w:tcBorders>
            <w:shd w:val="clear" w:color="auto" w:fill="auto"/>
            <w:noWrap/>
            <w:vAlign w:val="bottom"/>
            <w:hideMark/>
          </w:tcPr>
          <w:p w14:paraId="119C2D9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75.08</w:t>
            </w:r>
          </w:p>
        </w:tc>
        <w:tc>
          <w:tcPr>
            <w:tcW w:w="381" w:type="pct"/>
            <w:tcBorders>
              <w:top w:val="single" w:sz="4" w:space="0" w:color="auto"/>
              <w:left w:val="nil"/>
              <w:bottom w:val="single" w:sz="4" w:space="0" w:color="auto"/>
              <w:right w:val="nil"/>
            </w:tcBorders>
            <w:shd w:val="clear" w:color="auto" w:fill="auto"/>
            <w:noWrap/>
            <w:vAlign w:val="bottom"/>
            <w:hideMark/>
          </w:tcPr>
          <w:p w14:paraId="2F8D215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16.83</w:t>
            </w:r>
          </w:p>
        </w:tc>
        <w:tc>
          <w:tcPr>
            <w:tcW w:w="378" w:type="pct"/>
            <w:tcBorders>
              <w:top w:val="single" w:sz="4" w:space="0" w:color="auto"/>
              <w:left w:val="nil"/>
              <w:bottom w:val="single" w:sz="4" w:space="0" w:color="auto"/>
              <w:right w:val="nil"/>
            </w:tcBorders>
            <w:shd w:val="clear" w:color="auto" w:fill="auto"/>
            <w:noWrap/>
            <w:vAlign w:val="bottom"/>
            <w:hideMark/>
          </w:tcPr>
          <w:p w14:paraId="5445D92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{"citationID":"a23tdkeg4fk","properties":{"formattedCitation":"[137]","plainCitation":"[137]","noteIndex":0},"citationItems":[{"id":513,"uris":["http://zotero.org/users/12909065/items/7DF6P9Z5"],"itemData":{"id":513,"type":"article-journal","abstract":"Multicomponent systems have been widely investigated to expand absorption spectra, ameliorate morphology and achieve high-performance organic solar cells (OSCs). Here, we reveal a novel quaternary OSC based on a PM6:Y6:SR197:PC71BM system with a power conversion efficiency (PCE) of up to 17.48%, one of the highest efficiencies in organic photovoltaics. The N-H bonds of SR197 react with the F atom of acceptor Y6 to form intermolecular hydrogen bonds that regulate the morphology of the blended film and inhibit bimolecular recombination, so that a PCE of 16.83% is achieved for the ternary OSC based on a PM6:Y6:SR197 system. However, the PCE of PM6:Y6:PC71BM-based devices is 16.72% due to the fullerene derivative PC71BM exhibiting strong isotropic transport ability. The quaternary OSC combines the advantages of the above two ternary devices, and it is noteworthy that SR197 can also form hydrogen bonds with PC71BM, which allows targeted morphology control and improved device stability while increasing photon utilization. Therefore, the efficiency of the quaternary device rose by 12% in contrast to the binary device (15.56%). Our results detail the use of a hydrogen bonding strategy to overcome the disadvantages of the difficult-to-control morphology of multiple component devices, which is a valid way to achieve high-performance quaternary OSCs. © the Partner Organisations.","archive":"Scopus","container-title":"Materials Chemistry Frontiers","DOI":"10.1039/d1qm00197c","ISSN":"2052-1537","issue":"10","language":"English","page":"3850-3858","source":"Scopus","title":"Hydrogen bond induced high-performance quaternary organic solar cells with efficiency up to 17.48% and superior thermal stability","volume":"5","author":[{"family":"Li","given":"X."},{"family":"Zhou","given":"L."},{"family":"Lu","given":"X."},{"family":"Cao","given":"L."},{"family":"Du","given":"X."},{"family":"Lin","given":"H."},{"family":"Zheng","given":"C."},{"family":"Tao","given":"S."}],"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[137]</w:t>
            </w:r>
            <w:r w:rsidRPr="00B55044">
              <w:rPr>
                <w:rFonts w:eastAsia="Times New Roman"/>
                <w:color w:val="0000FF"/>
                <w:sz w:val="16"/>
                <w:szCs w:val="16"/>
              </w:rPr>
              <w:fldChar w:fldCharType="end"/>
            </w:r>
          </w:p>
        </w:tc>
      </w:tr>
      <w:tr w:rsidR="00D47774" w:rsidRPr="00B55044" w14:paraId="4A5682F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B91CB7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233</w:t>
            </w:r>
          </w:p>
        </w:tc>
        <w:tc>
          <w:tcPr>
            <w:tcW w:w="1525" w:type="pct"/>
            <w:tcBorders>
              <w:top w:val="single" w:sz="4" w:space="0" w:color="auto"/>
              <w:left w:val="nil"/>
              <w:bottom w:val="single" w:sz="4" w:space="0" w:color="auto"/>
              <w:right w:val="nil"/>
            </w:tcBorders>
            <w:shd w:val="clear" w:color="auto" w:fill="auto"/>
            <w:noWrap/>
            <w:vAlign w:val="bottom"/>
            <w:hideMark/>
          </w:tcPr>
          <w:p w14:paraId="63387EC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0965A37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1B3CE50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0.837</w:t>
            </w:r>
          </w:p>
        </w:tc>
        <w:tc>
          <w:tcPr>
            <w:tcW w:w="379" w:type="pct"/>
            <w:tcBorders>
              <w:top w:val="single" w:sz="4" w:space="0" w:color="auto"/>
              <w:left w:val="nil"/>
              <w:bottom w:val="single" w:sz="4" w:space="0" w:color="auto"/>
              <w:right w:val="nil"/>
            </w:tcBorders>
            <w:shd w:val="clear" w:color="auto" w:fill="auto"/>
            <w:noWrap/>
            <w:vAlign w:val="bottom"/>
            <w:hideMark/>
          </w:tcPr>
          <w:p w14:paraId="0A2AD40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26.12</w:t>
            </w:r>
          </w:p>
        </w:tc>
        <w:tc>
          <w:tcPr>
            <w:tcW w:w="378" w:type="pct"/>
            <w:tcBorders>
              <w:top w:val="single" w:sz="4" w:space="0" w:color="auto"/>
              <w:left w:val="nil"/>
              <w:bottom w:val="single" w:sz="4" w:space="0" w:color="auto"/>
              <w:right w:val="nil"/>
            </w:tcBorders>
            <w:shd w:val="clear" w:color="auto" w:fill="auto"/>
            <w:noWrap/>
            <w:vAlign w:val="bottom"/>
            <w:hideMark/>
          </w:tcPr>
          <w:p w14:paraId="2814B08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76.5</w:t>
            </w:r>
          </w:p>
        </w:tc>
        <w:tc>
          <w:tcPr>
            <w:tcW w:w="381" w:type="pct"/>
            <w:tcBorders>
              <w:top w:val="single" w:sz="4" w:space="0" w:color="auto"/>
              <w:left w:val="nil"/>
              <w:bottom w:val="single" w:sz="4" w:space="0" w:color="auto"/>
              <w:right w:val="nil"/>
            </w:tcBorders>
            <w:shd w:val="clear" w:color="auto" w:fill="auto"/>
            <w:noWrap/>
            <w:vAlign w:val="bottom"/>
            <w:hideMark/>
          </w:tcPr>
          <w:p w14:paraId="3CC5671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16.72</w:t>
            </w:r>
          </w:p>
        </w:tc>
        <w:tc>
          <w:tcPr>
            <w:tcW w:w="378" w:type="pct"/>
            <w:tcBorders>
              <w:top w:val="single" w:sz="4" w:space="0" w:color="auto"/>
              <w:left w:val="nil"/>
              <w:bottom w:val="single" w:sz="4" w:space="0" w:color="auto"/>
              <w:right w:val="nil"/>
            </w:tcBorders>
            <w:shd w:val="clear" w:color="auto" w:fill="auto"/>
            <w:noWrap/>
            <w:vAlign w:val="bottom"/>
            <w:hideMark/>
          </w:tcPr>
          <w:p w14:paraId="7C119A3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{"citationID":"a12nusu1qqo","properties":{"formattedCitation":"[137]","plainCitation":"[137]","noteIndex":0},"citationItems":[{"id":513,"uris":["http://zotero.org/users/12909065/items/7DF6P9Z5"],"itemData":{"id":513,"type":"article-journal","abstract":"Multicomponent systems have been widely investigated to expand absorption spectra, ameliorate morphology and achieve high-performance organic solar cells (OSCs). Here, we reveal a novel quaternary OSC based on a PM6:Y6:SR197:PC71BM system with a power conversion efficiency (PCE) of up to 17.48%, one of the highest efficiencies in organic photovoltaics. The N-H bonds of SR197 react with the F atom of acceptor Y6 to form intermolecular hydrogen bonds that regulate the morphology of the blended film and inhibit bimolecular recombination, so that a PCE of 16.83% is achieved for the ternary OSC based on a PM6:Y6:SR197 system. However, the PCE of PM6:Y6:PC71BM-based devices is 16.72% due to the fullerene derivative PC71BM exhibiting strong isotropic transport ability. The quaternary OSC combines the advantages of the above two ternary devices, and it is noteworthy that SR197 can also form hydrogen bonds with PC71BM, which allows targeted morphology control and improved device stability while increasing photon utilization. Therefore, the efficiency of the quaternary device rose by 12% in contrast to the binary device (15.56%). Our results detail the use of a hydrogen bonding strategy to overcome the disadvantages of the difficult-to-control morphology of multiple component devices, which is a valid way to achieve high-performance quaternary OSCs. © the Partner Organisations.","archive":"Scopus","container-title":"Materials Chemistry Frontiers","DOI":"10.1039/d1qm00197c","ISSN":"2052-1537","issue":"10","language":"English","page":"3850-3858","source":"Scopus","title":"Hydrogen bond induced high-performance quaternary organic solar cells with efficiency up to 17.48% and superior thermal stability","volume":"5","author":[{"family":"Li","given":"X."},{"family":"Zhou","given":"L."},{"family":"Lu","given":"X."},{"family":"Cao","given":"L."},{"family":"Du","given":"X."},{"family":"Lin","given":"H."},{"family":"Zheng","given":"C."},{"family":"Tao","given":"S."}],"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[137]</w:t>
            </w:r>
            <w:r w:rsidRPr="00B55044">
              <w:rPr>
                <w:rFonts w:eastAsia="Times New Roman"/>
                <w:color w:val="0000FF"/>
                <w:sz w:val="16"/>
                <w:szCs w:val="16"/>
              </w:rPr>
              <w:fldChar w:fldCharType="end"/>
            </w:r>
          </w:p>
        </w:tc>
      </w:tr>
      <w:tr w:rsidR="00D47774" w:rsidRPr="00B55044" w14:paraId="10FBDD4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3EB9DD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234</w:t>
            </w:r>
          </w:p>
        </w:tc>
        <w:tc>
          <w:tcPr>
            <w:tcW w:w="1525" w:type="pct"/>
            <w:tcBorders>
              <w:top w:val="single" w:sz="4" w:space="0" w:color="auto"/>
              <w:left w:val="nil"/>
              <w:bottom w:val="single" w:sz="4" w:space="0" w:color="auto"/>
              <w:right w:val="nil"/>
            </w:tcBorders>
            <w:shd w:val="clear" w:color="auto" w:fill="auto"/>
            <w:noWrap/>
            <w:vAlign w:val="bottom"/>
            <w:hideMark/>
          </w:tcPr>
          <w:p w14:paraId="311325F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/Al</w:t>
            </w:r>
          </w:p>
        </w:tc>
        <w:tc>
          <w:tcPr>
            <w:tcW w:w="1288" w:type="pct"/>
            <w:tcBorders>
              <w:top w:val="single" w:sz="4" w:space="0" w:color="auto"/>
              <w:left w:val="nil"/>
              <w:bottom w:val="single" w:sz="4" w:space="0" w:color="auto"/>
              <w:right w:val="nil"/>
            </w:tcBorders>
            <w:shd w:val="clear" w:color="auto" w:fill="auto"/>
            <w:noWrap/>
            <w:vAlign w:val="bottom"/>
            <w:hideMark/>
          </w:tcPr>
          <w:p w14:paraId="46A414B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PM6:BTBR-2F:Y6 (10%)</w:t>
            </w:r>
          </w:p>
        </w:tc>
        <w:tc>
          <w:tcPr>
            <w:tcW w:w="379" w:type="pct"/>
            <w:tcBorders>
              <w:top w:val="single" w:sz="4" w:space="0" w:color="auto"/>
              <w:left w:val="nil"/>
              <w:bottom w:val="single" w:sz="4" w:space="0" w:color="auto"/>
              <w:right w:val="nil"/>
            </w:tcBorders>
            <w:shd w:val="clear" w:color="auto" w:fill="auto"/>
            <w:noWrap/>
            <w:vAlign w:val="bottom"/>
            <w:hideMark/>
          </w:tcPr>
          <w:p w14:paraId="1FBBEC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0.848</w:t>
            </w:r>
          </w:p>
        </w:tc>
        <w:tc>
          <w:tcPr>
            <w:tcW w:w="379" w:type="pct"/>
            <w:tcBorders>
              <w:top w:val="single" w:sz="4" w:space="0" w:color="auto"/>
              <w:left w:val="nil"/>
              <w:bottom w:val="single" w:sz="4" w:space="0" w:color="auto"/>
              <w:right w:val="nil"/>
            </w:tcBorders>
            <w:shd w:val="clear" w:color="auto" w:fill="auto"/>
            <w:noWrap/>
            <w:vAlign w:val="bottom"/>
            <w:hideMark/>
          </w:tcPr>
          <w:p w14:paraId="076EB3E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27.46</w:t>
            </w:r>
          </w:p>
        </w:tc>
        <w:tc>
          <w:tcPr>
            <w:tcW w:w="378" w:type="pct"/>
            <w:tcBorders>
              <w:top w:val="single" w:sz="4" w:space="0" w:color="auto"/>
              <w:left w:val="nil"/>
              <w:bottom w:val="single" w:sz="4" w:space="0" w:color="auto"/>
              <w:right w:val="nil"/>
            </w:tcBorders>
            <w:shd w:val="clear" w:color="auto" w:fill="auto"/>
            <w:noWrap/>
            <w:vAlign w:val="bottom"/>
            <w:hideMark/>
          </w:tcPr>
          <w:p w14:paraId="3CF8F7E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72.49</w:t>
            </w:r>
          </w:p>
        </w:tc>
        <w:tc>
          <w:tcPr>
            <w:tcW w:w="381" w:type="pct"/>
            <w:tcBorders>
              <w:top w:val="single" w:sz="4" w:space="0" w:color="auto"/>
              <w:left w:val="nil"/>
              <w:bottom w:val="single" w:sz="4" w:space="0" w:color="auto"/>
              <w:right w:val="nil"/>
            </w:tcBorders>
            <w:shd w:val="clear" w:color="auto" w:fill="auto"/>
            <w:noWrap/>
            <w:vAlign w:val="bottom"/>
            <w:hideMark/>
          </w:tcPr>
          <w:p w14:paraId="364BB90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16.88</w:t>
            </w:r>
          </w:p>
        </w:tc>
        <w:tc>
          <w:tcPr>
            <w:tcW w:w="378" w:type="pct"/>
            <w:tcBorders>
              <w:top w:val="single" w:sz="4" w:space="0" w:color="auto"/>
              <w:left w:val="nil"/>
              <w:bottom w:val="single" w:sz="4" w:space="0" w:color="auto"/>
              <w:right w:val="nil"/>
            </w:tcBorders>
            <w:shd w:val="clear" w:color="auto" w:fill="auto"/>
            <w:noWrap/>
            <w:vAlign w:val="bottom"/>
            <w:hideMark/>
          </w:tcPr>
          <w:p w14:paraId="1206266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{"citationID":"a2gs2eeetc7","properties":{"formattedCitation":"[138]","plainCitation":"[138]","noteIndex":0},"citationItems":[{"id":512,"uris":["http://zotero.org/users/12909065/items/2Z5U84WV"],"itemData":{"id":512,"type":"article-journal","abstract":"A large-bandgap donor, BTBR-2F, based on noncovalent conformational locking has been designed and synthesized to achieve more complementary absorption with a PM6:Y6 blend in the near-ultraviolet region. The ternary blend film with 20% BTBR-2F achieves the best morphology with a nanofibrous network structure and small domain size, which results in the most efficient exciton dissociation, highest charge mobilities, and lowest charge recombination. Moreover, BTBR-2F possesses lower HOMO and LUMO energy levels than PM6, which leads to more efficient energy/charge transfer and higher Voc in ternary OSCs. Therefore, the ternary device with 20% BTBR-2F achieves the highest efficiency of 17.38%, with a Voc of 0.859 V, Jsc of 27.30 mA cm-2, and FF of 74.11%. The study presents an efficient noncovalent conformational locking strategy to tune the energy levels, absorption band and molecular aggregation of a small molecular donor for high-performance ternary organic solar cells with comprehensively improved photovoltaic parameters. This journal is © The Royal Society of Chemistry.","archive":"Scopus","container-title":"Journal of Materials Chemistry A","DOI":"10.1039/d1ta02075g","ISSN":"2050-7488","issue":"19","language":"English","page":"11734-11740","source":"Scopus","title":"Achieving 17.38% efficiency of ternary organic solar cells enabled by a large-bandgap donor with noncovalent conformational locking","volume":"9","author":[{"family":"Xu","given":"L."},{"family":"Tao","given":"W."},{"family":"Liu","given":"H."},{"family":"Ning","given":"J."},{"family":"Huang","given":"M."},{"family":"Zhao","given":"B."},{"family":"Lu","given":"X."},{"family":"Tan","given":"S."}],"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[138]</w:t>
            </w:r>
            <w:r w:rsidRPr="00B55044">
              <w:rPr>
                <w:rFonts w:eastAsia="Times New Roman"/>
                <w:color w:val="0000FF"/>
                <w:sz w:val="16"/>
                <w:szCs w:val="16"/>
              </w:rPr>
              <w:fldChar w:fldCharType="end"/>
            </w:r>
          </w:p>
        </w:tc>
      </w:tr>
      <w:tr w:rsidR="00D47774" w:rsidRPr="00B55044" w14:paraId="5FCEA7E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96434C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235</w:t>
            </w:r>
          </w:p>
        </w:tc>
        <w:tc>
          <w:tcPr>
            <w:tcW w:w="1525" w:type="pct"/>
            <w:tcBorders>
              <w:top w:val="single" w:sz="4" w:space="0" w:color="auto"/>
              <w:left w:val="nil"/>
              <w:bottom w:val="single" w:sz="4" w:space="0" w:color="auto"/>
              <w:right w:val="nil"/>
            </w:tcBorders>
            <w:shd w:val="clear" w:color="auto" w:fill="auto"/>
            <w:noWrap/>
            <w:vAlign w:val="bottom"/>
            <w:hideMark/>
          </w:tcPr>
          <w:p w14:paraId="0448625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/Al</w:t>
            </w:r>
          </w:p>
        </w:tc>
        <w:tc>
          <w:tcPr>
            <w:tcW w:w="1288" w:type="pct"/>
            <w:tcBorders>
              <w:top w:val="single" w:sz="4" w:space="0" w:color="auto"/>
              <w:left w:val="nil"/>
              <w:bottom w:val="single" w:sz="4" w:space="0" w:color="auto"/>
              <w:right w:val="nil"/>
            </w:tcBorders>
            <w:shd w:val="clear" w:color="auto" w:fill="auto"/>
            <w:noWrap/>
            <w:vAlign w:val="bottom"/>
            <w:hideMark/>
          </w:tcPr>
          <w:p w14:paraId="67F0C2F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PM6:BTBR-2F:Y6 (20%)</w:t>
            </w:r>
          </w:p>
        </w:tc>
        <w:tc>
          <w:tcPr>
            <w:tcW w:w="379" w:type="pct"/>
            <w:tcBorders>
              <w:top w:val="single" w:sz="4" w:space="0" w:color="auto"/>
              <w:left w:val="nil"/>
              <w:bottom w:val="single" w:sz="4" w:space="0" w:color="auto"/>
              <w:right w:val="nil"/>
            </w:tcBorders>
            <w:shd w:val="clear" w:color="auto" w:fill="auto"/>
            <w:noWrap/>
            <w:vAlign w:val="bottom"/>
            <w:hideMark/>
          </w:tcPr>
          <w:p w14:paraId="1A73B1F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0.859</w:t>
            </w:r>
          </w:p>
        </w:tc>
        <w:tc>
          <w:tcPr>
            <w:tcW w:w="379" w:type="pct"/>
            <w:tcBorders>
              <w:top w:val="single" w:sz="4" w:space="0" w:color="auto"/>
              <w:left w:val="nil"/>
              <w:bottom w:val="single" w:sz="4" w:space="0" w:color="auto"/>
              <w:right w:val="nil"/>
            </w:tcBorders>
            <w:shd w:val="clear" w:color="auto" w:fill="auto"/>
            <w:noWrap/>
            <w:vAlign w:val="bottom"/>
            <w:hideMark/>
          </w:tcPr>
          <w:p w14:paraId="637FAB8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27.3</w:t>
            </w:r>
          </w:p>
        </w:tc>
        <w:tc>
          <w:tcPr>
            <w:tcW w:w="378" w:type="pct"/>
            <w:tcBorders>
              <w:top w:val="single" w:sz="4" w:space="0" w:color="auto"/>
              <w:left w:val="nil"/>
              <w:bottom w:val="single" w:sz="4" w:space="0" w:color="auto"/>
              <w:right w:val="nil"/>
            </w:tcBorders>
            <w:shd w:val="clear" w:color="auto" w:fill="auto"/>
            <w:noWrap/>
            <w:vAlign w:val="bottom"/>
            <w:hideMark/>
          </w:tcPr>
          <w:p w14:paraId="33E3F62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74.11</w:t>
            </w:r>
          </w:p>
        </w:tc>
        <w:tc>
          <w:tcPr>
            <w:tcW w:w="381" w:type="pct"/>
            <w:tcBorders>
              <w:top w:val="single" w:sz="4" w:space="0" w:color="auto"/>
              <w:left w:val="nil"/>
              <w:bottom w:val="single" w:sz="4" w:space="0" w:color="auto"/>
              <w:right w:val="nil"/>
            </w:tcBorders>
            <w:shd w:val="clear" w:color="auto" w:fill="auto"/>
            <w:noWrap/>
            <w:vAlign w:val="bottom"/>
            <w:hideMark/>
          </w:tcPr>
          <w:p w14:paraId="4B66A15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17.38</w:t>
            </w:r>
          </w:p>
        </w:tc>
        <w:tc>
          <w:tcPr>
            <w:tcW w:w="378" w:type="pct"/>
            <w:tcBorders>
              <w:top w:val="single" w:sz="4" w:space="0" w:color="auto"/>
              <w:left w:val="nil"/>
              <w:bottom w:val="single" w:sz="4" w:space="0" w:color="auto"/>
              <w:right w:val="nil"/>
            </w:tcBorders>
            <w:shd w:val="clear" w:color="auto" w:fill="auto"/>
            <w:noWrap/>
            <w:vAlign w:val="bottom"/>
            <w:hideMark/>
          </w:tcPr>
          <w:p w14:paraId="3B484D6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{"citationID":"a6tl47n28k","properties":{"formattedCitation":"[138]","plainCitation":"[138]","noteIndex":0},"citationItems":[{"id":512,"uris":["http://zotero.org/users/12909065/items/2Z5U84WV"],"itemData":{"id":512,"type":"article-journal","abstract":"A large-bandgap donor, BTBR-2F, based on noncovalent conformational locking has been designed and synthesized to achieve more complementary absorption with a PM6:Y6 blend in the near-ultraviolet region. The ternary blend film with 20% BTBR-2F achieves the best morphology with a nanofibrous network structure and small domain size, which results in the most efficient exciton dissociation, highest charge mobilities, and lowest charge recombination. Moreover, BTBR-2F possesses lower HOMO and LUMO energy levels than PM6, which leads to more efficient energy/charge transfer and higher Voc in ternary OSCs. Therefore, the ternary device with 20% BTBR-2F achieves the highest efficiency of 17.38%, with a Voc of 0.859 V, Jsc of 27.30 mA cm-2, and FF of 74.11%. The study presents an efficient noncovalent conformational locking strategy to tune the energy levels, absorption band and molecular aggregation of a small molecular donor for high-performance ternary organic solar cells with comprehensively improved photovoltaic parameters. This journal is © The Royal Society of Chemistry.","archive":"Scopus","container-title":"Journal of Materials Chemistry A","DOI":"10.1039/d1ta02075g","ISSN":"2050-7488","issue":"19","language":"English","page":"11734-11740","source":"Scopus","title":"Achieving 17.38% efficiency of ternary organic solar cells enabled by a large-bandgap donor with noncovalent conformational locking","volume":"9","author":[{"family":"Xu","given":"L."},{"family":"Tao","given":"W."},{"family":"Liu","given":"H."},{"family":"Ning","given":"J."},{"family":"Huang","given":"M."},{"family":"Zhao","given":"B."},{"family":"Lu","given":"X."},{"family":"Tan","given":"S."}],"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[138]</w:t>
            </w:r>
            <w:r w:rsidRPr="00B55044">
              <w:rPr>
                <w:rFonts w:eastAsia="Times New Roman"/>
                <w:color w:val="0000FF"/>
                <w:sz w:val="16"/>
                <w:szCs w:val="16"/>
              </w:rPr>
              <w:fldChar w:fldCharType="end"/>
            </w:r>
          </w:p>
        </w:tc>
      </w:tr>
      <w:tr w:rsidR="00D47774" w:rsidRPr="00B55044" w14:paraId="3D9CC00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60D602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236</w:t>
            </w:r>
          </w:p>
        </w:tc>
        <w:tc>
          <w:tcPr>
            <w:tcW w:w="1525" w:type="pct"/>
            <w:tcBorders>
              <w:top w:val="single" w:sz="4" w:space="0" w:color="auto"/>
              <w:left w:val="nil"/>
              <w:bottom w:val="single" w:sz="4" w:space="0" w:color="auto"/>
              <w:right w:val="nil"/>
            </w:tcBorders>
            <w:shd w:val="clear" w:color="auto" w:fill="auto"/>
            <w:noWrap/>
            <w:vAlign w:val="bottom"/>
            <w:hideMark/>
          </w:tcPr>
          <w:p w14:paraId="1A2E9A5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/Al</w:t>
            </w:r>
          </w:p>
        </w:tc>
        <w:tc>
          <w:tcPr>
            <w:tcW w:w="1288" w:type="pct"/>
            <w:tcBorders>
              <w:top w:val="single" w:sz="4" w:space="0" w:color="auto"/>
              <w:left w:val="nil"/>
              <w:bottom w:val="single" w:sz="4" w:space="0" w:color="auto"/>
              <w:right w:val="nil"/>
            </w:tcBorders>
            <w:shd w:val="clear" w:color="auto" w:fill="auto"/>
            <w:noWrap/>
            <w:vAlign w:val="bottom"/>
            <w:hideMark/>
          </w:tcPr>
          <w:p w14:paraId="08E33A0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PM6:BTBR-2F:Y6 (30%)</w:t>
            </w:r>
          </w:p>
        </w:tc>
        <w:tc>
          <w:tcPr>
            <w:tcW w:w="379" w:type="pct"/>
            <w:tcBorders>
              <w:top w:val="single" w:sz="4" w:space="0" w:color="auto"/>
              <w:left w:val="nil"/>
              <w:bottom w:val="single" w:sz="4" w:space="0" w:color="auto"/>
              <w:right w:val="nil"/>
            </w:tcBorders>
            <w:shd w:val="clear" w:color="auto" w:fill="auto"/>
            <w:noWrap/>
            <w:vAlign w:val="bottom"/>
            <w:hideMark/>
          </w:tcPr>
          <w:p w14:paraId="1036945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0.869</w:t>
            </w:r>
          </w:p>
        </w:tc>
        <w:tc>
          <w:tcPr>
            <w:tcW w:w="379" w:type="pct"/>
            <w:tcBorders>
              <w:top w:val="single" w:sz="4" w:space="0" w:color="auto"/>
              <w:left w:val="nil"/>
              <w:bottom w:val="single" w:sz="4" w:space="0" w:color="auto"/>
              <w:right w:val="nil"/>
            </w:tcBorders>
            <w:shd w:val="clear" w:color="auto" w:fill="auto"/>
            <w:noWrap/>
            <w:vAlign w:val="bottom"/>
            <w:hideMark/>
          </w:tcPr>
          <w:p w14:paraId="18E46C2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25.08</w:t>
            </w:r>
          </w:p>
        </w:tc>
        <w:tc>
          <w:tcPr>
            <w:tcW w:w="378" w:type="pct"/>
            <w:tcBorders>
              <w:top w:val="single" w:sz="4" w:space="0" w:color="auto"/>
              <w:left w:val="nil"/>
              <w:bottom w:val="single" w:sz="4" w:space="0" w:color="auto"/>
              <w:right w:val="nil"/>
            </w:tcBorders>
            <w:shd w:val="clear" w:color="auto" w:fill="auto"/>
            <w:noWrap/>
            <w:vAlign w:val="bottom"/>
            <w:hideMark/>
          </w:tcPr>
          <w:p w14:paraId="0E15B24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72.95</w:t>
            </w:r>
          </w:p>
        </w:tc>
        <w:tc>
          <w:tcPr>
            <w:tcW w:w="381" w:type="pct"/>
            <w:tcBorders>
              <w:top w:val="single" w:sz="4" w:space="0" w:color="auto"/>
              <w:left w:val="nil"/>
              <w:bottom w:val="single" w:sz="4" w:space="0" w:color="auto"/>
              <w:right w:val="nil"/>
            </w:tcBorders>
            <w:shd w:val="clear" w:color="auto" w:fill="auto"/>
            <w:noWrap/>
            <w:vAlign w:val="bottom"/>
            <w:hideMark/>
          </w:tcPr>
          <w:p w14:paraId="71659B7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15.9</w:t>
            </w:r>
          </w:p>
        </w:tc>
        <w:tc>
          <w:tcPr>
            <w:tcW w:w="378" w:type="pct"/>
            <w:tcBorders>
              <w:top w:val="single" w:sz="4" w:space="0" w:color="auto"/>
              <w:left w:val="nil"/>
              <w:bottom w:val="single" w:sz="4" w:space="0" w:color="auto"/>
              <w:right w:val="nil"/>
            </w:tcBorders>
            <w:shd w:val="clear" w:color="auto" w:fill="auto"/>
            <w:noWrap/>
            <w:vAlign w:val="bottom"/>
            <w:hideMark/>
          </w:tcPr>
          <w:p w14:paraId="620A3B9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{"citationID":"a110u8pu52f","properties":{"formattedCitation":"[138]","plainCitation":"[138]","noteIndex":0},"citationItems":[{"id":512,"uris":["http://zotero.org/users/12909065/items/2Z5U84WV"],"itemData":{"id":512,"type":"article-journal","abstract":"A large-bandgap donor, BTBR-2F, based on noncovalent conformational locking has been designed and synthesized to achieve more complementary absorption with a PM6:Y6 blend in the near-ultraviolet region. The ternary blend film with 20% BTBR-2F achieves the best morphology with a nanofibrous network structure and small domain size, which results in the most efficient exciton dissociation, highest charge mobilities, and lowest charge recombination. Moreover, BTBR-2F possesses lower HOMO and LUMO energy levels than PM6, which leads to more efficient energy/charge transfer and higher Voc in ternary OSCs. Therefore, the ternary device with 20% BTBR-2F achieves the highest efficiency of 17.38%, with a Voc of 0.859 V, Jsc of 27.30 mA cm-2, and FF of 74.11%. The study presents an efficient noncovalent conformational locking strategy to tune the energy levels, absorption band and molecular aggregation of a small molecular donor for high-performance ternary organic solar cells with comprehensively improved photovoltaic parameters. This journal is © The Royal Society of Chemistry.","archive":"Scopus","container-title":"Journal of Materials Chemistry A","DOI":"10.1039/d1ta02075g","ISSN":"2050-7488","issue":"19","language":"English","page":"11734-11740","source":"Scopus","title":"Achieving 17.38% efficiency of ternary organic solar cells enabled by a large-bandgap donor with noncovalent conformational locking","volume":"9","author":[{"family":"Xu","given":"L."},{"family":"Tao","given":"W."},{"family":"Liu","given":"H."},{"family":"Ning","given":"J."},{"family":"Huang","given":"M."},{"family":"Zhao","given":"B."},{"family":"Lu","given":"X."},{"family":"Tan","given":"S."}],"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[138]</w:t>
            </w:r>
            <w:r w:rsidRPr="00B55044">
              <w:rPr>
                <w:rFonts w:eastAsia="Times New Roman"/>
                <w:color w:val="0000FF"/>
                <w:sz w:val="16"/>
                <w:szCs w:val="16"/>
              </w:rPr>
              <w:fldChar w:fldCharType="end"/>
            </w:r>
          </w:p>
        </w:tc>
      </w:tr>
      <w:tr w:rsidR="00D47774" w:rsidRPr="00B55044" w14:paraId="6271B36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17FEB3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237</w:t>
            </w:r>
          </w:p>
        </w:tc>
        <w:tc>
          <w:tcPr>
            <w:tcW w:w="1525" w:type="pct"/>
            <w:tcBorders>
              <w:top w:val="single" w:sz="4" w:space="0" w:color="auto"/>
              <w:left w:val="nil"/>
              <w:bottom w:val="single" w:sz="4" w:space="0" w:color="auto"/>
              <w:right w:val="nil"/>
            </w:tcBorders>
            <w:shd w:val="clear" w:color="auto" w:fill="auto"/>
            <w:noWrap/>
            <w:vAlign w:val="bottom"/>
            <w:hideMark/>
          </w:tcPr>
          <w:p w14:paraId="6370786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/Al</w:t>
            </w:r>
          </w:p>
        </w:tc>
        <w:tc>
          <w:tcPr>
            <w:tcW w:w="1288" w:type="pct"/>
            <w:tcBorders>
              <w:top w:val="single" w:sz="4" w:space="0" w:color="auto"/>
              <w:left w:val="nil"/>
              <w:bottom w:val="single" w:sz="4" w:space="0" w:color="auto"/>
              <w:right w:val="nil"/>
            </w:tcBorders>
            <w:shd w:val="clear" w:color="auto" w:fill="auto"/>
            <w:noWrap/>
            <w:vAlign w:val="bottom"/>
            <w:hideMark/>
          </w:tcPr>
          <w:p w14:paraId="6CC8AB5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PM6:BTBR-2F:Y6 (50%)</w:t>
            </w:r>
          </w:p>
        </w:tc>
        <w:tc>
          <w:tcPr>
            <w:tcW w:w="379" w:type="pct"/>
            <w:tcBorders>
              <w:top w:val="single" w:sz="4" w:space="0" w:color="auto"/>
              <w:left w:val="nil"/>
              <w:bottom w:val="single" w:sz="4" w:space="0" w:color="auto"/>
              <w:right w:val="nil"/>
            </w:tcBorders>
            <w:shd w:val="clear" w:color="auto" w:fill="auto"/>
            <w:noWrap/>
            <w:vAlign w:val="bottom"/>
            <w:hideMark/>
          </w:tcPr>
          <w:p w14:paraId="6961F5D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0.885</w:t>
            </w:r>
          </w:p>
        </w:tc>
        <w:tc>
          <w:tcPr>
            <w:tcW w:w="379" w:type="pct"/>
            <w:tcBorders>
              <w:top w:val="single" w:sz="4" w:space="0" w:color="auto"/>
              <w:left w:val="nil"/>
              <w:bottom w:val="single" w:sz="4" w:space="0" w:color="auto"/>
              <w:right w:val="nil"/>
            </w:tcBorders>
            <w:shd w:val="clear" w:color="auto" w:fill="auto"/>
            <w:noWrap/>
            <w:vAlign w:val="bottom"/>
            <w:hideMark/>
          </w:tcPr>
          <w:p w14:paraId="6E21B6E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23.58</w:t>
            </w:r>
          </w:p>
        </w:tc>
        <w:tc>
          <w:tcPr>
            <w:tcW w:w="378" w:type="pct"/>
            <w:tcBorders>
              <w:top w:val="single" w:sz="4" w:space="0" w:color="auto"/>
              <w:left w:val="nil"/>
              <w:bottom w:val="single" w:sz="4" w:space="0" w:color="auto"/>
              <w:right w:val="nil"/>
            </w:tcBorders>
            <w:shd w:val="clear" w:color="auto" w:fill="auto"/>
            <w:noWrap/>
            <w:vAlign w:val="bottom"/>
            <w:hideMark/>
          </w:tcPr>
          <w:p w14:paraId="1E7204A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65.31</w:t>
            </w:r>
          </w:p>
        </w:tc>
        <w:tc>
          <w:tcPr>
            <w:tcW w:w="381" w:type="pct"/>
            <w:tcBorders>
              <w:top w:val="single" w:sz="4" w:space="0" w:color="auto"/>
              <w:left w:val="nil"/>
              <w:bottom w:val="single" w:sz="4" w:space="0" w:color="auto"/>
              <w:right w:val="nil"/>
            </w:tcBorders>
            <w:shd w:val="clear" w:color="auto" w:fill="auto"/>
            <w:noWrap/>
            <w:vAlign w:val="bottom"/>
            <w:hideMark/>
          </w:tcPr>
          <w:p w14:paraId="17281FC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13.63</w:t>
            </w:r>
          </w:p>
        </w:tc>
        <w:tc>
          <w:tcPr>
            <w:tcW w:w="378" w:type="pct"/>
            <w:tcBorders>
              <w:top w:val="single" w:sz="4" w:space="0" w:color="auto"/>
              <w:left w:val="nil"/>
              <w:bottom w:val="single" w:sz="4" w:space="0" w:color="auto"/>
              <w:right w:val="nil"/>
            </w:tcBorders>
            <w:shd w:val="clear" w:color="auto" w:fill="auto"/>
            <w:noWrap/>
            <w:vAlign w:val="bottom"/>
            <w:hideMark/>
          </w:tcPr>
          <w:p w14:paraId="7958E5B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{"citationID":"a5m6cgfelk","properties":{"formattedCitation":"[138]","plainCitation":"[138]","noteIndex":0},"citationItems":[{"id":512,"uris":["http://zotero.org/users/12909065/items/2Z5U84WV"],"itemData":{"id":512,"type":"article-journal","abstract":"A large-bandgap donor, BTBR-2F, based on noncovalent conformational locking has been designed and synthesized to achieve more complementary absorption with a PM6:Y6 blend in the near-ultraviolet region. The ternary blend film with 20% BTBR-2F achieves the best morphology with a nanofibrous network structure and small domain size, which results in the most efficient exciton dissociation, highest charge mobilities, and lowest charge recombination. Moreover, BTBR-2F possesses lower HOMO and LUMO energy levels than PM6, which leads to more efficient energy/charge transfer and higher Voc in ternary OSCs. Therefore, the ternary device with 20% BTBR-2F achieves the highest efficiency of 17.38%, with a Voc of 0.859 V, Jsc of 27.30 mA cm-2, and FF of 74.11%. The study presents an efficient noncovalent conformational locking strategy to tune the energy levels, absorption band and molecular aggregation of a small molecular donor for high-performance ternary organic solar cells with comprehensively improved photovoltaic parameters. This journal is © The Royal Society of Chemistry.","archive":"Scopus","container-title":"Journal of Materials Chemistry A","DOI":"10.1039/d1ta02075g","ISSN":"2050-7488","issue":"19","language":"English","page":"11734-11740","source":"Scopus","title":"Achieving 17.38% efficiency of ternary organic solar cells enabled by a large-bandgap donor with noncovalent conformational locking","volume":"9","author":[{"family":"Xu","given":"L."},{"family":"Tao","given":"W."},{"family":"Liu","given":"H."},{"family":"Ning","given":"J."},{"family":"Huang","given":"M."},{"family":"Zhao","given":"B."},{"family":"Lu","given":"X."},{"family":"Tan","given":"S."}],"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[138]</w:t>
            </w:r>
            <w:r w:rsidRPr="00B55044">
              <w:rPr>
                <w:rFonts w:eastAsia="Times New Roman"/>
                <w:color w:val="0000FF"/>
                <w:sz w:val="16"/>
                <w:szCs w:val="16"/>
              </w:rPr>
              <w:fldChar w:fldCharType="end"/>
            </w:r>
          </w:p>
        </w:tc>
      </w:tr>
      <w:tr w:rsidR="00D47774" w:rsidRPr="00B55044" w14:paraId="35BE05B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EFCAED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238</w:t>
            </w:r>
          </w:p>
        </w:tc>
        <w:tc>
          <w:tcPr>
            <w:tcW w:w="1525" w:type="pct"/>
            <w:tcBorders>
              <w:top w:val="single" w:sz="4" w:space="0" w:color="auto"/>
              <w:left w:val="nil"/>
              <w:bottom w:val="single" w:sz="4" w:space="0" w:color="auto"/>
              <w:right w:val="nil"/>
            </w:tcBorders>
            <w:shd w:val="clear" w:color="auto" w:fill="auto"/>
            <w:noWrap/>
            <w:vAlign w:val="bottom"/>
            <w:hideMark/>
          </w:tcPr>
          <w:p w14:paraId="7ECB627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5B8C4CB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PM6:Y6:DR8</w:t>
            </w:r>
          </w:p>
        </w:tc>
        <w:tc>
          <w:tcPr>
            <w:tcW w:w="379" w:type="pct"/>
            <w:tcBorders>
              <w:top w:val="single" w:sz="4" w:space="0" w:color="auto"/>
              <w:left w:val="nil"/>
              <w:bottom w:val="single" w:sz="4" w:space="0" w:color="auto"/>
              <w:right w:val="nil"/>
            </w:tcBorders>
            <w:shd w:val="clear" w:color="auto" w:fill="auto"/>
            <w:noWrap/>
            <w:vAlign w:val="bottom"/>
            <w:hideMark/>
          </w:tcPr>
          <w:p w14:paraId="3067BCD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0.859</w:t>
            </w:r>
          </w:p>
        </w:tc>
        <w:tc>
          <w:tcPr>
            <w:tcW w:w="379" w:type="pct"/>
            <w:tcBorders>
              <w:top w:val="single" w:sz="4" w:space="0" w:color="auto"/>
              <w:left w:val="nil"/>
              <w:bottom w:val="single" w:sz="4" w:space="0" w:color="auto"/>
              <w:right w:val="nil"/>
            </w:tcBorders>
            <w:shd w:val="clear" w:color="auto" w:fill="auto"/>
            <w:noWrap/>
            <w:vAlign w:val="bottom"/>
            <w:hideMark/>
          </w:tcPr>
          <w:p w14:paraId="16C4F62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25.89</w:t>
            </w:r>
          </w:p>
        </w:tc>
        <w:tc>
          <w:tcPr>
            <w:tcW w:w="378" w:type="pct"/>
            <w:tcBorders>
              <w:top w:val="single" w:sz="4" w:space="0" w:color="auto"/>
              <w:left w:val="nil"/>
              <w:bottom w:val="single" w:sz="4" w:space="0" w:color="auto"/>
              <w:right w:val="nil"/>
            </w:tcBorders>
            <w:shd w:val="clear" w:color="auto" w:fill="auto"/>
            <w:noWrap/>
            <w:vAlign w:val="bottom"/>
            <w:hideMark/>
          </w:tcPr>
          <w:p w14:paraId="1D22F7E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75.22</w:t>
            </w:r>
          </w:p>
        </w:tc>
        <w:tc>
          <w:tcPr>
            <w:tcW w:w="381" w:type="pct"/>
            <w:tcBorders>
              <w:top w:val="single" w:sz="4" w:space="0" w:color="auto"/>
              <w:left w:val="nil"/>
              <w:bottom w:val="single" w:sz="4" w:space="0" w:color="auto"/>
              <w:right w:val="nil"/>
            </w:tcBorders>
            <w:shd w:val="clear" w:color="auto" w:fill="auto"/>
            <w:noWrap/>
            <w:vAlign w:val="bottom"/>
            <w:hideMark/>
          </w:tcPr>
          <w:p w14:paraId="618E11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16.73</w:t>
            </w:r>
          </w:p>
        </w:tc>
        <w:tc>
          <w:tcPr>
            <w:tcW w:w="378" w:type="pct"/>
            <w:tcBorders>
              <w:top w:val="single" w:sz="4" w:space="0" w:color="auto"/>
              <w:left w:val="nil"/>
              <w:bottom w:val="single" w:sz="4" w:space="0" w:color="auto"/>
              <w:right w:val="nil"/>
            </w:tcBorders>
            <w:shd w:val="clear" w:color="auto" w:fill="auto"/>
            <w:noWrap/>
            <w:vAlign w:val="bottom"/>
            <w:hideMark/>
          </w:tcPr>
          <w:p w14:paraId="224E6D2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{"citationID":"a25lt9su4g8","properties":{"formattedCitation":"[139]","plainCitation":"[139]","noteIndex":0},"citationItems":[{"id":511,"uris":["http://zotero.org/users/12909065/items/T8Y35HGL"],"itemData":{"id":511,"type":"article-journal","abstract":"Organic solar cells (OSCs) can achieve greatly improved power conversion efficiency (PCE) by incorporating suitable additives in active layers. Their structure design often faces the challenge of operation generality for more binary blends. Herein, a simple dithieno[3,2-b:2′,3′-d]pyrrole-rhodanine molecule (DR8) featuring high compatibility with polymer donor PM6 is developed as a cost-effective third component. By employing classic ITIC-like ITC6-4Cl and Y6 as model nonfullerene acceptors (NFAs) in PM6-based binary blends, DR8 added PM6:ITC6-4Cl blends exhibit significantly promoted energy transfer and exciton dissociation. The PM6:ITC6-4Cl:DR8 (1:1:0.1, weight ratio) OSCs contribute an exciting PCE of 14.94% in comparison to host binary devices (13.52%), while PM6:Y6:DR8 (1:1.2:0.1) blends enable 16.73% PCE with all simultaneously improved photovoltaic parameters. To the best of the knowledge, this performance is among the best for ternary OSCs with simple small molecular third components in the literature. More importantly, DR8-added ternary OSCs exhibit much improved device stability against thermal aging and light soaking over binary ones. This work provides new insight on the design of efficient third components for OSCs. © 2021 Wiley-VCH GmbH","archive":"Scopus","container-title":"Small","DOI":"10.1002/smll.202007746","ISSN":"1613-6810","issue":"18","language":"English","source":"Scopus","title":"A Simple Dithieno[3,2-b:2′,3′-d]pyrrol-Rhodanine Molecular Third Component Enables Over 16.7% Efficiency and Stable Organic Solar Cells","title-short":"A Simple Dithieno[3,2-b","volume":"17","author":[{"family":"Wang","given":"H."},{"family":"Yang","given":"L."},{"family":"Lin","given":"P.-C."},{"family":"Chueh","given":"C.-C."},{"family":"Liu","given":"X."},{"family":"Qu","given":"S."},{"family":"Guang","given":"S."},{"family":"Yu","given":"J."},{"family":"Tang","given":"W."}],"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[139]</w:t>
            </w:r>
            <w:r w:rsidRPr="00B55044">
              <w:rPr>
                <w:rFonts w:eastAsia="Times New Roman"/>
                <w:color w:val="0000FF"/>
                <w:sz w:val="16"/>
                <w:szCs w:val="16"/>
              </w:rPr>
              <w:fldChar w:fldCharType="end"/>
            </w:r>
          </w:p>
        </w:tc>
      </w:tr>
      <w:tr w:rsidR="00D47774" w:rsidRPr="00B55044" w14:paraId="43F650E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5ED750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239</w:t>
            </w:r>
          </w:p>
        </w:tc>
        <w:tc>
          <w:tcPr>
            <w:tcW w:w="1525" w:type="pct"/>
            <w:tcBorders>
              <w:top w:val="single" w:sz="4" w:space="0" w:color="auto"/>
              <w:left w:val="nil"/>
              <w:bottom w:val="single" w:sz="4" w:space="0" w:color="auto"/>
              <w:right w:val="nil"/>
            </w:tcBorders>
            <w:shd w:val="clear" w:color="auto" w:fill="auto"/>
            <w:noWrap/>
            <w:vAlign w:val="bottom"/>
            <w:hideMark/>
          </w:tcPr>
          <w:p w14:paraId="11AF4E9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0D66771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PM6:ITC6-4Cl:DR8</w:t>
            </w:r>
          </w:p>
        </w:tc>
        <w:tc>
          <w:tcPr>
            <w:tcW w:w="379" w:type="pct"/>
            <w:tcBorders>
              <w:top w:val="single" w:sz="4" w:space="0" w:color="auto"/>
              <w:left w:val="nil"/>
              <w:bottom w:val="single" w:sz="4" w:space="0" w:color="auto"/>
              <w:right w:val="nil"/>
            </w:tcBorders>
            <w:shd w:val="clear" w:color="auto" w:fill="auto"/>
            <w:noWrap/>
            <w:vAlign w:val="bottom"/>
            <w:hideMark/>
          </w:tcPr>
          <w:p w14:paraId="2EF3290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41791D6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22.04</w:t>
            </w:r>
          </w:p>
        </w:tc>
        <w:tc>
          <w:tcPr>
            <w:tcW w:w="378" w:type="pct"/>
            <w:tcBorders>
              <w:top w:val="single" w:sz="4" w:space="0" w:color="auto"/>
              <w:left w:val="nil"/>
              <w:bottom w:val="single" w:sz="4" w:space="0" w:color="auto"/>
              <w:right w:val="nil"/>
            </w:tcBorders>
            <w:shd w:val="clear" w:color="auto" w:fill="auto"/>
            <w:noWrap/>
            <w:vAlign w:val="bottom"/>
            <w:hideMark/>
          </w:tcPr>
          <w:p w14:paraId="5E69AC9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77.94</w:t>
            </w:r>
          </w:p>
        </w:tc>
        <w:tc>
          <w:tcPr>
            <w:tcW w:w="381" w:type="pct"/>
            <w:tcBorders>
              <w:top w:val="single" w:sz="4" w:space="0" w:color="auto"/>
              <w:left w:val="nil"/>
              <w:bottom w:val="single" w:sz="4" w:space="0" w:color="auto"/>
              <w:right w:val="nil"/>
            </w:tcBorders>
            <w:shd w:val="clear" w:color="auto" w:fill="auto"/>
            <w:noWrap/>
            <w:vAlign w:val="bottom"/>
            <w:hideMark/>
          </w:tcPr>
          <w:p w14:paraId="170E20B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14.94</w:t>
            </w:r>
          </w:p>
        </w:tc>
        <w:tc>
          <w:tcPr>
            <w:tcW w:w="378" w:type="pct"/>
            <w:tcBorders>
              <w:top w:val="single" w:sz="4" w:space="0" w:color="auto"/>
              <w:left w:val="nil"/>
              <w:bottom w:val="single" w:sz="4" w:space="0" w:color="auto"/>
              <w:right w:val="nil"/>
            </w:tcBorders>
            <w:shd w:val="clear" w:color="auto" w:fill="auto"/>
            <w:noWrap/>
            <w:vAlign w:val="bottom"/>
            <w:hideMark/>
          </w:tcPr>
          <w:p w14:paraId="14094DB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{"citationID":"a1p78su1lki","properties":{"formattedCitation":"[139]","plainCitation":"[139]","noteIndex":0},"citationItems":[{"id":511,"uris":["http://zotero.org/users/12909065/items/T8Y35HGL"],"itemData":{"id":511,"type":"article-journal","abstract":"Organic solar cells (OSCs) can achieve greatly improved power conversion efficiency (PCE) by incorporating suitable additives in active layers. Their structure design often faces the challenge of operation generality for more binary blends. Herein, a simple dithieno[3,2-b:2′,3′-d]pyrrole-rhodanine molecule (DR8) featuring high compatibility with polymer donor PM6 is developed as a cost-effective third component. By employing classic ITIC-like ITC6-4Cl and Y6 as model nonfullerene acceptors (NFAs) in PM6-based binary blends, DR8 added PM6:ITC6-4Cl blends exhibit significantly promoted energy transfer and exciton dissociation. The PM6:ITC6-4Cl:DR8 (1:1:0.1, weight ratio) OSCs contribute an exciting PCE of 14.94% in comparison to host binary devices (13.52%), while PM6:Y6:DR8 (1:1.2:0.1) blends enable 16.73% PCE with all simultaneously improved photovoltaic parameters. To the best of the knowledge, this performance is among the best for ternary OSCs with simple small molecular third components in the literature. More importantly, DR8-added ternary OSCs exhibit much improved device stability against thermal aging and light soaking over binary ones. This work provides new insight on the design of efficient third components for OSCs. © 2021 Wiley-VCH GmbH","archive":"Scopus","container-title":"Small","DOI":"10.1002/smll.202007746","ISSN":"1613-6810","issue":"18","language":"English","source":"Scopus","title":"A Simple Dithieno[3,2-b:2′,3′-d]pyrrol-Rhodanine Molecular Third Component Enables Over 16.7% Efficiency and Stable Organic Solar Cells","title-short":"A Simple Dithieno[3,2-b","volume":"17","author":[{"family":"Wang","given":"H."},{"family":"Yang","given":"L."},{"family":"Lin","given":"P.-C."},{"family":"Chueh","given":"C.-C."},{"family":"Liu","given":"X."},{"family":"Qu","given":"S."},{"family":"Guang","given":"S."},{"family":"Yu","given":"J."},{"family":"Tang","given":"W."}],"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[139]</w:t>
            </w:r>
            <w:r w:rsidRPr="00B55044">
              <w:rPr>
                <w:rFonts w:eastAsia="Times New Roman"/>
                <w:color w:val="0000FF"/>
                <w:sz w:val="16"/>
                <w:szCs w:val="16"/>
              </w:rPr>
              <w:fldChar w:fldCharType="end"/>
            </w:r>
          </w:p>
        </w:tc>
      </w:tr>
      <w:tr w:rsidR="00D47774" w:rsidRPr="00B55044" w14:paraId="6D6F5EF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B8A59F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240</w:t>
            </w:r>
          </w:p>
        </w:tc>
        <w:tc>
          <w:tcPr>
            <w:tcW w:w="1525" w:type="pct"/>
            <w:tcBorders>
              <w:top w:val="single" w:sz="4" w:space="0" w:color="auto"/>
              <w:left w:val="nil"/>
              <w:bottom w:val="single" w:sz="4" w:space="0" w:color="auto"/>
              <w:right w:val="nil"/>
            </w:tcBorders>
            <w:shd w:val="clear" w:color="auto" w:fill="auto"/>
            <w:noWrap/>
            <w:vAlign w:val="bottom"/>
            <w:hideMark/>
          </w:tcPr>
          <w:p w14:paraId="65AA9E2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5D82A2F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PM6:BTP-4Cl:PDI-2T</w:t>
            </w:r>
          </w:p>
        </w:tc>
        <w:tc>
          <w:tcPr>
            <w:tcW w:w="379" w:type="pct"/>
            <w:tcBorders>
              <w:top w:val="single" w:sz="4" w:space="0" w:color="auto"/>
              <w:left w:val="nil"/>
              <w:bottom w:val="single" w:sz="4" w:space="0" w:color="auto"/>
              <w:right w:val="nil"/>
            </w:tcBorders>
            <w:shd w:val="clear" w:color="auto" w:fill="auto"/>
            <w:noWrap/>
            <w:vAlign w:val="bottom"/>
            <w:hideMark/>
          </w:tcPr>
          <w:p w14:paraId="77B406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0.874</w:t>
            </w:r>
          </w:p>
        </w:tc>
        <w:tc>
          <w:tcPr>
            <w:tcW w:w="379" w:type="pct"/>
            <w:tcBorders>
              <w:top w:val="single" w:sz="4" w:space="0" w:color="auto"/>
              <w:left w:val="nil"/>
              <w:bottom w:val="single" w:sz="4" w:space="0" w:color="auto"/>
              <w:right w:val="nil"/>
            </w:tcBorders>
            <w:shd w:val="clear" w:color="auto" w:fill="auto"/>
            <w:noWrap/>
            <w:vAlign w:val="bottom"/>
            <w:hideMark/>
          </w:tcPr>
          <w:p w14:paraId="506A2BA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w:t>
            </w:r>
          </w:p>
        </w:tc>
        <w:tc>
          <w:tcPr>
            <w:tcW w:w="378" w:type="pct"/>
            <w:tcBorders>
              <w:top w:val="single" w:sz="4" w:space="0" w:color="auto"/>
              <w:left w:val="nil"/>
              <w:bottom w:val="single" w:sz="4" w:space="0" w:color="auto"/>
              <w:right w:val="nil"/>
            </w:tcBorders>
            <w:shd w:val="clear" w:color="auto" w:fill="auto"/>
            <w:noWrap/>
            <w:vAlign w:val="bottom"/>
            <w:hideMark/>
          </w:tcPr>
          <w:p w14:paraId="14186BC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72.66</w:t>
            </w:r>
          </w:p>
        </w:tc>
        <w:tc>
          <w:tcPr>
            <w:tcW w:w="381" w:type="pct"/>
            <w:tcBorders>
              <w:top w:val="single" w:sz="4" w:space="0" w:color="auto"/>
              <w:left w:val="nil"/>
              <w:bottom w:val="single" w:sz="4" w:space="0" w:color="auto"/>
              <w:right w:val="nil"/>
            </w:tcBorders>
            <w:shd w:val="clear" w:color="auto" w:fill="auto"/>
            <w:noWrap/>
            <w:vAlign w:val="bottom"/>
            <w:hideMark/>
          </w:tcPr>
          <w:p w14:paraId="07EB4BD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16.32</w:t>
            </w:r>
          </w:p>
        </w:tc>
        <w:tc>
          <w:tcPr>
            <w:tcW w:w="378" w:type="pct"/>
            <w:tcBorders>
              <w:top w:val="single" w:sz="4" w:space="0" w:color="auto"/>
              <w:left w:val="nil"/>
              <w:bottom w:val="single" w:sz="4" w:space="0" w:color="auto"/>
              <w:right w:val="nil"/>
            </w:tcBorders>
            <w:shd w:val="clear" w:color="auto" w:fill="auto"/>
            <w:noWrap/>
            <w:vAlign w:val="bottom"/>
            <w:hideMark/>
          </w:tcPr>
          <w:p w14:paraId="68C8764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{"citationID":"a1pcf4d5ot8","properties":{"formattedCitation":"[140]","plainCitation":"[140]","noteIndex":0},"citationItems":[{"id":510,"uris":["http://zotero.org/users/12909065/items/FICZDMIN"],"itemData":{"id":510,"type":"article-journal","abstract":"Despite considerable advances devoted to improving the operational stability of organic solar cells (OSCs), the metastable morphology degradation remains a challenging obstacle for their practical application. Herein, the stabilizing function of the alloy states in the photoactive layer from the perspective of controlling the aggregation characteristics of non-fullerene acceptors (NFAs), is revealed. The alloy-like model is adopted separately into host donor and acceptor materials of the state-of-the-art binary PM6:BTP-4Cl blend with the self-stable polymer acceptor PDI-2T and small molecule donor DRCN5T as the third components, delivering the simultaneously enhanced photovoltaic efficiency and storage stability. In such ternary systems, two separate arguments can rationalize their operating principles: (1) the acceptor alloys strengthen the conformational rigidity of BTP-4Cl molecules to restrain the intramolecular vibrations for rapid relaxation of high-energy excited states to stabilize BTP-4Cl acceptor. (2) The donor alloys optimize the fibril network microstructure of PM6 polymer to restrict the kinetic diffusion and aggregation of BTP-4Cl molecules. According to the superior morphological stability, non-radiative defect trapping coefficients can be drastically reduced without forming the long-lived, trapped charge species in ternary blends. The results highlight the novel protective mechanisms of engineering the alloy-like composites for reinforcing the long-term stability of NFA-based ternary OSCs. © 2021 Wiley-VCH GmbH","archive":"Scopus","container-title":"Advanced Functional Materials","DOI":"10.1002/adfm.202100316","ISSN":"1616-301X","issue":"20","language":"English","source":"Scopus","title":"Suppressing Kinetic Aggregation of Non-Fullerene Acceptor via Versatile Alloy States Enables High-Efficiency and Stable Ternary Polymer Solar Cells","volume":"31","author":[{"family":"Zhang","given":"K.-N."},{"family":"Guo","given":"J.-J."},{"family":"Zhang","given":"L.-J."},{"family":"Qin","given":"C.-C."},{"family":"Yin","given":"H."},{"family":"Gao","given":"X.-Y."},{"family":"Hao","given":"X.-T."}],"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[140]</w:t>
            </w:r>
            <w:r w:rsidRPr="00B55044">
              <w:rPr>
                <w:rFonts w:eastAsia="Times New Roman"/>
                <w:color w:val="0000FF"/>
                <w:sz w:val="16"/>
                <w:szCs w:val="16"/>
              </w:rPr>
              <w:fldChar w:fldCharType="end"/>
            </w:r>
          </w:p>
        </w:tc>
      </w:tr>
      <w:tr w:rsidR="00D47774" w:rsidRPr="00B55044" w14:paraId="62C8C2F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49AC7E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241</w:t>
            </w:r>
          </w:p>
        </w:tc>
        <w:tc>
          <w:tcPr>
            <w:tcW w:w="1525" w:type="pct"/>
            <w:tcBorders>
              <w:top w:val="single" w:sz="4" w:space="0" w:color="auto"/>
              <w:left w:val="nil"/>
              <w:bottom w:val="single" w:sz="4" w:space="0" w:color="auto"/>
              <w:right w:val="nil"/>
            </w:tcBorders>
            <w:shd w:val="clear" w:color="auto" w:fill="auto"/>
            <w:noWrap/>
            <w:vAlign w:val="bottom"/>
            <w:hideMark/>
          </w:tcPr>
          <w:p w14:paraId="20F4B0B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662CC36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PM6:DRCN5T:BTP-4Cl</w:t>
            </w:r>
          </w:p>
        </w:tc>
        <w:tc>
          <w:tcPr>
            <w:tcW w:w="379" w:type="pct"/>
            <w:tcBorders>
              <w:top w:val="single" w:sz="4" w:space="0" w:color="auto"/>
              <w:left w:val="nil"/>
              <w:bottom w:val="single" w:sz="4" w:space="0" w:color="auto"/>
              <w:right w:val="nil"/>
            </w:tcBorders>
            <w:shd w:val="clear" w:color="auto" w:fill="auto"/>
            <w:noWrap/>
            <w:vAlign w:val="bottom"/>
            <w:hideMark/>
          </w:tcPr>
          <w:p w14:paraId="5E5165F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0.875</w:t>
            </w:r>
          </w:p>
        </w:tc>
        <w:tc>
          <w:tcPr>
            <w:tcW w:w="379" w:type="pct"/>
            <w:tcBorders>
              <w:top w:val="single" w:sz="4" w:space="0" w:color="auto"/>
              <w:left w:val="nil"/>
              <w:bottom w:val="single" w:sz="4" w:space="0" w:color="auto"/>
              <w:right w:val="nil"/>
            </w:tcBorders>
            <w:shd w:val="clear" w:color="auto" w:fill="auto"/>
            <w:noWrap/>
            <w:vAlign w:val="bottom"/>
            <w:hideMark/>
          </w:tcPr>
          <w:p w14:paraId="73C09D5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25.85</w:t>
            </w:r>
          </w:p>
        </w:tc>
        <w:tc>
          <w:tcPr>
            <w:tcW w:w="378" w:type="pct"/>
            <w:tcBorders>
              <w:top w:val="single" w:sz="4" w:space="0" w:color="auto"/>
              <w:left w:val="nil"/>
              <w:bottom w:val="single" w:sz="4" w:space="0" w:color="auto"/>
              <w:right w:val="nil"/>
            </w:tcBorders>
            <w:shd w:val="clear" w:color="auto" w:fill="auto"/>
            <w:noWrap/>
            <w:vAlign w:val="bottom"/>
            <w:hideMark/>
          </w:tcPr>
          <w:p w14:paraId="3F62490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74.41</w:t>
            </w:r>
          </w:p>
        </w:tc>
        <w:tc>
          <w:tcPr>
            <w:tcW w:w="381" w:type="pct"/>
            <w:tcBorders>
              <w:top w:val="single" w:sz="4" w:space="0" w:color="auto"/>
              <w:left w:val="nil"/>
              <w:bottom w:val="single" w:sz="4" w:space="0" w:color="auto"/>
              <w:right w:val="nil"/>
            </w:tcBorders>
            <w:shd w:val="clear" w:color="auto" w:fill="auto"/>
            <w:noWrap/>
            <w:vAlign w:val="bottom"/>
            <w:hideMark/>
          </w:tcPr>
          <w:p w14:paraId="3897C98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16.83</w:t>
            </w:r>
          </w:p>
        </w:tc>
        <w:tc>
          <w:tcPr>
            <w:tcW w:w="378" w:type="pct"/>
            <w:tcBorders>
              <w:top w:val="single" w:sz="4" w:space="0" w:color="auto"/>
              <w:left w:val="nil"/>
              <w:bottom w:val="single" w:sz="4" w:space="0" w:color="auto"/>
              <w:right w:val="nil"/>
            </w:tcBorders>
            <w:shd w:val="clear" w:color="auto" w:fill="auto"/>
            <w:noWrap/>
            <w:vAlign w:val="bottom"/>
            <w:hideMark/>
          </w:tcPr>
          <w:p w14:paraId="321B779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{"citationID":"a2mfl5rg4el","properties":{"formattedCitation":"[140]","plainCitation":"[140]","noteIndex":0},"citationItems":[{"id":510,"uris":["http://zotero.org/users/12909065/items/FICZDMIN"],"itemData":{"id":510,"type":"article-journal","abstract":"Despite considerable advances devoted to improving the operational stability of organic solar cells (OSCs), the metastable morphology degradation remains a challenging obstacle for their practical application. Herein, the stabilizing function of the alloy states in the photoactive layer from the perspective of controlling the aggregation characteristics of non-fullerene acceptors (NFAs), is revealed. The alloy-like model is adopted separately into host donor and acceptor materials of the state-of-the-art binary PM6:BTP-4Cl blend with the self-stable polymer acceptor PDI-2T and small molecule donor DRCN5T as the third components, delivering the simultaneously enhanced photovoltaic efficiency and storage stability. In such ternary systems, two separate arguments can rationalize their operating principles: (1) the acceptor alloys strengthen the conformational rigidity of BTP-4Cl molecules to restrain the intramolecular vibrations for rapid relaxation of high-energy excited states to stabilize BTP-4Cl acceptor. (2) The donor alloys optimize the fibril network microstructure of PM6 polymer to restrict the kinetic diffusion and aggregation of BTP-4Cl molecules. According to the superior morphological stability, non-radiative defect trapping coefficients can be drastically reduced without forming the long-lived, trapped charge species in ternary blends. The results highlight the novel protective mechanisms of engineering the alloy-like composites for reinforcing the long-term stability of NFA-based ternary OSCs. © 2021 Wiley-VCH GmbH","archive":"Scopus","container-title":"Advanced Functional Materials","DOI":"10.1002/adfm.202100316","ISSN":"1616-301X","issue":"20","language":"English","source":"Scopus","title":"Suppressing Kinetic Aggregation of Non-Fullerene Acceptor via Versatile Alloy States Enables High-Efficiency and Stable Ternary Polymer Solar Cells","volume":"31","author":[{"family":"Zhang","given":"K.-N."},{"family":"Guo","given":"J.-J."},{"family":"Zhang","given":"L.-J."},{"family":"Qin","given":"C.-C."},{"family":"Yin","given":"H."},{"family":"Gao","given":"X.-Y."},{"family":"Hao","given":"X.-T."}],"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[140]</w:t>
            </w:r>
            <w:r w:rsidRPr="00B55044">
              <w:rPr>
                <w:rFonts w:eastAsia="Times New Roman"/>
                <w:color w:val="0000FF"/>
                <w:sz w:val="16"/>
                <w:szCs w:val="16"/>
              </w:rPr>
              <w:fldChar w:fldCharType="end"/>
            </w:r>
          </w:p>
        </w:tc>
      </w:tr>
      <w:tr w:rsidR="00D47774" w:rsidRPr="00B55044" w14:paraId="1F6E613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AED2E8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242</w:t>
            </w:r>
          </w:p>
        </w:tc>
        <w:tc>
          <w:tcPr>
            <w:tcW w:w="1525" w:type="pct"/>
            <w:tcBorders>
              <w:top w:val="single" w:sz="4" w:space="0" w:color="auto"/>
              <w:left w:val="nil"/>
              <w:bottom w:val="single" w:sz="4" w:space="0" w:color="auto"/>
              <w:right w:val="nil"/>
            </w:tcBorders>
            <w:shd w:val="clear" w:color="auto" w:fill="auto"/>
            <w:noWrap/>
            <w:vAlign w:val="bottom"/>
            <w:hideMark/>
          </w:tcPr>
          <w:p w14:paraId="081F3AA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311AD0D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PM6:Y6:BTIC-Cl</w:t>
            </w:r>
          </w:p>
        </w:tc>
        <w:tc>
          <w:tcPr>
            <w:tcW w:w="379" w:type="pct"/>
            <w:tcBorders>
              <w:top w:val="single" w:sz="4" w:space="0" w:color="auto"/>
              <w:left w:val="nil"/>
              <w:bottom w:val="single" w:sz="4" w:space="0" w:color="auto"/>
              <w:right w:val="nil"/>
            </w:tcBorders>
            <w:shd w:val="clear" w:color="auto" w:fill="auto"/>
            <w:noWrap/>
            <w:vAlign w:val="bottom"/>
            <w:hideMark/>
          </w:tcPr>
          <w:p w14:paraId="6CC9D73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1651308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25.19</w:t>
            </w:r>
          </w:p>
        </w:tc>
        <w:tc>
          <w:tcPr>
            <w:tcW w:w="378" w:type="pct"/>
            <w:tcBorders>
              <w:top w:val="single" w:sz="4" w:space="0" w:color="auto"/>
              <w:left w:val="nil"/>
              <w:bottom w:val="single" w:sz="4" w:space="0" w:color="auto"/>
              <w:right w:val="nil"/>
            </w:tcBorders>
            <w:shd w:val="clear" w:color="auto" w:fill="auto"/>
            <w:noWrap/>
            <w:vAlign w:val="bottom"/>
            <w:hideMark/>
          </w:tcPr>
          <w:p w14:paraId="43C011B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w:t>
            </w:r>
          </w:p>
        </w:tc>
        <w:tc>
          <w:tcPr>
            <w:tcW w:w="381" w:type="pct"/>
            <w:tcBorders>
              <w:top w:val="single" w:sz="4" w:space="0" w:color="auto"/>
              <w:left w:val="nil"/>
              <w:bottom w:val="single" w:sz="4" w:space="0" w:color="auto"/>
              <w:right w:val="nil"/>
            </w:tcBorders>
            <w:shd w:val="clear" w:color="auto" w:fill="auto"/>
            <w:noWrap/>
            <w:vAlign w:val="bottom"/>
            <w:hideMark/>
          </w:tcPr>
          <w:p w14:paraId="3A75B0A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15.02</w:t>
            </w:r>
          </w:p>
        </w:tc>
        <w:tc>
          <w:tcPr>
            <w:tcW w:w="378" w:type="pct"/>
            <w:tcBorders>
              <w:top w:val="single" w:sz="4" w:space="0" w:color="auto"/>
              <w:left w:val="nil"/>
              <w:bottom w:val="single" w:sz="4" w:space="0" w:color="auto"/>
              <w:right w:val="nil"/>
            </w:tcBorders>
            <w:shd w:val="clear" w:color="auto" w:fill="auto"/>
            <w:noWrap/>
            <w:vAlign w:val="bottom"/>
            <w:hideMark/>
          </w:tcPr>
          <w:p w14:paraId="50065EC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{"citationID":"ajdg8khpdn","properties":{"formattedCitation":"[141]","plainCitation":"[141]","noteIndex":0},"citationItems":[{"id":509,"uris":["http://zotero.org/users/12909065/items/LRQJY8GY"],"itemData":{"id":509,"type":"article-journal","abstract":"Ternary organic solar cells (OSCs) are fabricated with a PM6:Y6 blend film as the host system and a medium-band-gap (MBG) acceptor (BTIC-Cl) with a high-lying lowest unoccupied molecular orbital (LUMO) energy level as the third component. The ternary blend film PM6:Y6:BTIC-Cl (1:1.2:0.2, wt/wt) possesses a more favorable morphology, better ordered face-on π–π stacking, higher charge mobilities, and more balanced charge transfer than the binary blend films and other ternary blend films. As a result, the ternary OSC with the ratio of 1:1.2:0.2 shows an impressive power conversion efficiency of 16.60% with synchronously enhanced Jsc of 27.25 mA cm–2 and Voc of 0.86 V, which are distinctly superior to those of the binary OSCs based on PM6:Y6 (15.50%) and PM6:BTIC-Cl (12.66%). These results provide an insight into the role of an MBG small-molecule acceptor with a high-lying LUMO energy level in ternary OSCs.","container-title":"ACS Applied Energy Materials","DOI":"10.1021/acsaem.0c03220","issue":"4","journalAbbreviation":"ACS Appl. Energy Mater.","note":"publisher: American Chemical Society","page":"3480-3486","source":"ACS Publications","title":"Simultaneously Enhancing the Jsc and Voc of Ternary Organic Solar Cells by Incorporating a Medium-Band-Gap Acceptor","volume":"4","author":[{"family":"Zhang","given":"Min"},{"family":"Zeng","given":"Min"},{"family":"Deng","given":"Xiong"},{"family":"Zhou","given":"Zhijie"},{"family":"Tan","given":"Xiaoxiao"},{"family":"Tan","given":"Songting"},{"family":"Zhao","given":"Bin"},{"family":"Zhang","given":"Jianqi"},{"family":"Zou","given":"Yingping"}],"issued":{"date-parts":[["2021",4,26]]}}}],"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[141]</w:t>
            </w:r>
            <w:r w:rsidRPr="00B55044">
              <w:rPr>
                <w:rFonts w:eastAsia="Times New Roman"/>
                <w:color w:val="0000FF"/>
                <w:sz w:val="16"/>
                <w:szCs w:val="16"/>
              </w:rPr>
              <w:fldChar w:fldCharType="end"/>
            </w:r>
          </w:p>
        </w:tc>
      </w:tr>
      <w:tr w:rsidR="00D47774" w:rsidRPr="00B55044" w14:paraId="70107A4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89456E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243</w:t>
            </w:r>
          </w:p>
        </w:tc>
        <w:tc>
          <w:tcPr>
            <w:tcW w:w="1525" w:type="pct"/>
            <w:tcBorders>
              <w:top w:val="single" w:sz="4" w:space="0" w:color="auto"/>
              <w:left w:val="nil"/>
              <w:bottom w:val="single" w:sz="4" w:space="0" w:color="auto"/>
              <w:right w:val="nil"/>
            </w:tcBorders>
            <w:shd w:val="clear" w:color="auto" w:fill="auto"/>
            <w:noWrap/>
            <w:vAlign w:val="bottom"/>
            <w:hideMark/>
          </w:tcPr>
          <w:p w14:paraId="1DD74A5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674BC4B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PM6:Y6:BTIC-Cl</w:t>
            </w:r>
          </w:p>
        </w:tc>
        <w:tc>
          <w:tcPr>
            <w:tcW w:w="379" w:type="pct"/>
            <w:tcBorders>
              <w:top w:val="single" w:sz="4" w:space="0" w:color="auto"/>
              <w:left w:val="nil"/>
              <w:bottom w:val="single" w:sz="4" w:space="0" w:color="auto"/>
              <w:right w:val="nil"/>
            </w:tcBorders>
            <w:shd w:val="clear" w:color="auto" w:fill="auto"/>
            <w:noWrap/>
            <w:vAlign w:val="bottom"/>
            <w:hideMark/>
          </w:tcPr>
          <w:p w14:paraId="60C5B96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1C659A7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27.1</w:t>
            </w:r>
          </w:p>
        </w:tc>
        <w:tc>
          <w:tcPr>
            <w:tcW w:w="378" w:type="pct"/>
            <w:tcBorders>
              <w:top w:val="single" w:sz="4" w:space="0" w:color="auto"/>
              <w:left w:val="nil"/>
              <w:bottom w:val="single" w:sz="4" w:space="0" w:color="auto"/>
              <w:right w:val="nil"/>
            </w:tcBorders>
            <w:shd w:val="clear" w:color="auto" w:fill="auto"/>
            <w:noWrap/>
            <w:vAlign w:val="bottom"/>
            <w:hideMark/>
          </w:tcPr>
          <w:p w14:paraId="00E404C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70.12</w:t>
            </w:r>
          </w:p>
        </w:tc>
        <w:tc>
          <w:tcPr>
            <w:tcW w:w="381" w:type="pct"/>
            <w:tcBorders>
              <w:top w:val="single" w:sz="4" w:space="0" w:color="auto"/>
              <w:left w:val="nil"/>
              <w:bottom w:val="single" w:sz="4" w:space="0" w:color="auto"/>
              <w:right w:val="nil"/>
            </w:tcBorders>
            <w:shd w:val="clear" w:color="auto" w:fill="auto"/>
            <w:noWrap/>
            <w:vAlign w:val="bottom"/>
            <w:hideMark/>
          </w:tcPr>
          <w:p w14:paraId="4698F5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16.44</w:t>
            </w:r>
          </w:p>
        </w:tc>
        <w:tc>
          <w:tcPr>
            <w:tcW w:w="378" w:type="pct"/>
            <w:tcBorders>
              <w:top w:val="single" w:sz="4" w:space="0" w:color="auto"/>
              <w:left w:val="nil"/>
              <w:bottom w:val="single" w:sz="4" w:space="0" w:color="auto"/>
              <w:right w:val="nil"/>
            </w:tcBorders>
            <w:shd w:val="clear" w:color="auto" w:fill="auto"/>
            <w:noWrap/>
            <w:vAlign w:val="bottom"/>
            <w:hideMark/>
          </w:tcPr>
          <w:p w14:paraId="74FEDA7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{"citationID":"aln2rsm5cu","properties":{"formattedCitation":"[141]","plainCitation":"[141]","noteIndex":0},"citationItems":[{"id":509,"uris":["http://zotero.org/users/12909065/items/LRQJY8GY"],"itemData":{"id":509,"type":"article-journal","abstract":"Ternary organic solar cells (OSCs) are fabricated with a PM6:Y6 blend film as the host system and a medium-band-gap (MBG) acceptor (BTIC-Cl) with a high-lying lowest unoccupied molecular orbital (LUMO) energy level as the third component. The ternary blend film PM6:Y6:BTIC-Cl (1:1.2:0.2, wt/wt) possesses a more favorable morphology, better ordered face-on π–π stacking, higher charge mobilities, and more balanced charge transfer than the binary blend films and other ternary blend films. As a result, the ternary OSC with the ratio of 1:1.2:0.2 shows an impressive power conversion efficiency of 16.60% with synchronously enhanced Jsc of 27.25 mA cm–2 and Voc of 0.86 V, which are distinctly superior to those of the binary OSCs based on PM6:Y6 (15.50%) and PM6:BTIC-Cl (12.66%). These results provide an insight into the role of an MBG small-molecule acceptor with a high-lying LUMO energy level in ternary OSCs.","container-title":"ACS Applied Energy Materials","DOI":"10.1021/acsaem.0c03220","issue":"4","journalAbbreviation":"ACS Appl. Energy Mater.","note":"publisher: American Chemical Society","page":"3480-3486","source":"ACS Publications","title":"Simultaneously Enhancing the Jsc and Voc of Ternary Organic Solar Cells by Incorporating a Medium-Band-Gap Acceptor","volume":"4","author":[{"family":"Zhang","given":"Min"},{"family":"Zeng","given":"Min"},{"family":"Deng","given":"Xiong"},{"family":"Zhou","given":"Zhijie"},{"family":"Tan","given":"Xiaoxiao"},{"family":"Tan","given":"Songting"},{"family":"Zhao","given":"Bin"},{"family":"Zhang","given":"Jianqi"},{"family":"Zou","given":"Yingping"}],"issued":{"date-parts":[["2021",4,26]]}}}],"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[141]</w:t>
            </w:r>
            <w:r w:rsidRPr="00B55044">
              <w:rPr>
                <w:rFonts w:eastAsia="Times New Roman"/>
                <w:color w:val="0000FF"/>
                <w:sz w:val="16"/>
                <w:szCs w:val="16"/>
              </w:rPr>
              <w:fldChar w:fldCharType="end"/>
            </w:r>
          </w:p>
        </w:tc>
      </w:tr>
      <w:tr w:rsidR="00D47774" w:rsidRPr="00B55044" w14:paraId="0CA7FF9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33098B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244</w:t>
            </w:r>
          </w:p>
        </w:tc>
        <w:tc>
          <w:tcPr>
            <w:tcW w:w="1525" w:type="pct"/>
            <w:tcBorders>
              <w:top w:val="single" w:sz="4" w:space="0" w:color="auto"/>
              <w:left w:val="nil"/>
              <w:bottom w:val="single" w:sz="4" w:space="0" w:color="auto"/>
              <w:right w:val="nil"/>
            </w:tcBorders>
            <w:shd w:val="clear" w:color="auto" w:fill="auto"/>
            <w:noWrap/>
            <w:vAlign w:val="bottom"/>
            <w:hideMark/>
          </w:tcPr>
          <w:p w14:paraId="3A60707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20C83F7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PM6:Y6:BTIC-Cl</w:t>
            </w:r>
          </w:p>
        </w:tc>
        <w:tc>
          <w:tcPr>
            <w:tcW w:w="379" w:type="pct"/>
            <w:tcBorders>
              <w:top w:val="single" w:sz="4" w:space="0" w:color="auto"/>
              <w:left w:val="nil"/>
              <w:bottom w:val="single" w:sz="4" w:space="0" w:color="auto"/>
              <w:right w:val="nil"/>
            </w:tcBorders>
            <w:shd w:val="clear" w:color="auto" w:fill="auto"/>
            <w:noWrap/>
            <w:vAlign w:val="bottom"/>
            <w:hideMark/>
          </w:tcPr>
          <w:p w14:paraId="3D3823E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2DC5528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25.35</w:t>
            </w:r>
          </w:p>
        </w:tc>
        <w:tc>
          <w:tcPr>
            <w:tcW w:w="378" w:type="pct"/>
            <w:tcBorders>
              <w:top w:val="single" w:sz="4" w:space="0" w:color="auto"/>
              <w:left w:val="nil"/>
              <w:bottom w:val="single" w:sz="4" w:space="0" w:color="auto"/>
              <w:right w:val="nil"/>
            </w:tcBorders>
            <w:shd w:val="clear" w:color="auto" w:fill="auto"/>
            <w:noWrap/>
            <w:vAlign w:val="bottom"/>
            <w:hideMark/>
          </w:tcPr>
          <w:p w14:paraId="05FC763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65.72</w:t>
            </w:r>
          </w:p>
        </w:tc>
        <w:tc>
          <w:tcPr>
            <w:tcW w:w="381" w:type="pct"/>
            <w:tcBorders>
              <w:top w:val="single" w:sz="4" w:space="0" w:color="auto"/>
              <w:left w:val="nil"/>
              <w:bottom w:val="single" w:sz="4" w:space="0" w:color="auto"/>
              <w:right w:val="nil"/>
            </w:tcBorders>
            <w:shd w:val="clear" w:color="auto" w:fill="auto"/>
            <w:noWrap/>
            <w:vAlign w:val="bottom"/>
            <w:hideMark/>
          </w:tcPr>
          <w:p w14:paraId="4150D08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14.58</w:t>
            </w:r>
          </w:p>
        </w:tc>
        <w:tc>
          <w:tcPr>
            <w:tcW w:w="378" w:type="pct"/>
            <w:tcBorders>
              <w:top w:val="single" w:sz="4" w:space="0" w:color="auto"/>
              <w:left w:val="nil"/>
              <w:bottom w:val="single" w:sz="4" w:space="0" w:color="auto"/>
              <w:right w:val="nil"/>
            </w:tcBorders>
            <w:shd w:val="clear" w:color="auto" w:fill="auto"/>
            <w:noWrap/>
            <w:vAlign w:val="bottom"/>
            <w:hideMark/>
          </w:tcPr>
          <w:p w14:paraId="545CF17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{"citationID":"a4ej6r1s5k","properties":{"formattedCitation":"[141]","plainCitation":"[141]","noteIndex":0},"citationItems":[{"id":509,"uris":["http://zotero.org/users/12909065/items/LRQJY8GY"],"itemData":{"id":509,"type":"article-journal","abstract":"Ternary organic solar cells (OSCs) are fabricated with a PM6:Y6 blend film as the host system and a medium-band-gap (MBG) acceptor (BTIC-Cl) with a high-lying lowest unoccupied molecular orbital (LUMO) energy level as the third component. The ternary blend film PM6:Y6:BTIC-Cl (1:1.2:0.2, wt/wt) possesses a more favorable morphology, better ordered face-on π–π stacking, higher charge mobilities, and more balanced charge transfer than the binary blend films and other ternary blend films. As a result, the ternary OSC with the ratio of 1:1.2:0.2 shows an impressive power conversion efficiency of 16.60% with synchronously enhanced Jsc of 27.25 mA cm–2 and Voc of 0.86 V, which are distinctly superior to those of the binary OSCs based on PM6:Y6 (15.50%) and PM6:BTIC-Cl (12.66%). These results provide an insight into the role of an MBG small-molecule acceptor with a high-lying LUMO energy level in ternary OSCs.","container-title":"ACS Applied Energy Materials","DOI":"10.1021/acsaem.0c03220","issue":"4","journalAbbreviation":"ACS Appl. Energy Mater.","note":"publisher: American Chemical Society","page":"3480-3486","source":"ACS Publications","title":"Simultaneously Enhancing the Jsc and Voc of Ternary Organic Solar Cells by Incorporating a Medium-Band-Gap Acceptor","volume":"4","author":[{"family":"Zhang","given":"Min"},{"family":"Zeng","given":"Min"},{"family":"Deng","given":"Xiong"},{"family":"Zhou","given":"Zhijie"},{"family":"Tan","given":"Xiaoxiao"},{"family":"Tan","given":"Songting"},{"family":"Zhao","given":"Bin"},{"family":"Zhang","given":"Jianqi"},{"family":"Zou","given":"Yingping"}],"issued":{"date-parts":[["2021",4,26]]}}}],"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[141]</w:t>
            </w:r>
            <w:r w:rsidRPr="00B55044">
              <w:rPr>
                <w:rFonts w:eastAsia="Times New Roman"/>
                <w:color w:val="0000FF"/>
                <w:sz w:val="16"/>
                <w:szCs w:val="16"/>
              </w:rPr>
              <w:fldChar w:fldCharType="end"/>
            </w:r>
          </w:p>
        </w:tc>
      </w:tr>
      <w:tr w:rsidR="00D47774" w:rsidRPr="00B55044" w14:paraId="5D9F160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405989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245</w:t>
            </w:r>
          </w:p>
        </w:tc>
        <w:tc>
          <w:tcPr>
            <w:tcW w:w="1525" w:type="pct"/>
            <w:tcBorders>
              <w:top w:val="single" w:sz="4" w:space="0" w:color="auto"/>
              <w:left w:val="nil"/>
              <w:bottom w:val="single" w:sz="4" w:space="0" w:color="auto"/>
              <w:right w:val="nil"/>
            </w:tcBorders>
            <w:shd w:val="clear" w:color="auto" w:fill="auto"/>
            <w:noWrap/>
            <w:vAlign w:val="bottom"/>
            <w:hideMark/>
          </w:tcPr>
          <w:p w14:paraId="05BB333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ITO/PEDOT:PSS/AL/ZrAcAc/Al</w:t>
            </w:r>
          </w:p>
        </w:tc>
        <w:tc>
          <w:tcPr>
            <w:tcW w:w="1288" w:type="pct"/>
            <w:tcBorders>
              <w:top w:val="single" w:sz="4" w:space="0" w:color="auto"/>
              <w:left w:val="nil"/>
              <w:bottom w:val="single" w:sz="4" w:space="0" w:color="auto"/>
              <w:right w:val="nil"/>
            </w:tcBorders>
            <w:shd w:val="clear" w:color="auto" w:fill="auto"/>
            <w:noWrap/>
            <w:vAlign w:val="bottom"/>
            <w:hideMark/>
          </w:tcPr>
          <w:p w14:paraId="79A9A45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PM6:PY-IT:BN-T</w:t>
            </w:r>
          </w:p>
        </w:tc>
        <w:tc>
          <w:tcPr>
            <w:tcW w:w="379" w:type="pct"/>
            <w:tcBorders>
              <w:top w:val="single" w:sz="4" w:space="0" w:color="auto"/>
              <w:left w:val="nil"/>
              <w:bottom w:val="single" w:sz="4" w:space="0" w:color="auto"/>
              <w:right w:val="nil"/>
            </w:tcBorders>
            <w:shd w:val="clear" w:color="auto" w:fill="auto"/>
            <w:noWrap/>
            <w:vAlign w:val="bottom"/>
            <w:hideMark/>
          </w:tcPr>
          <w:p w14:paraId="7C11AC9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0.955</w:t>
            </w:r>
          </w:p>
        </w:tc>
        <w:tc>
          <w:tcPr>
            <w:tcW w:w="379" w:type="pct"/>
            <w:tcBorders>
              <w:top w:val="single" w:sz="4" w:space="0" w:color="auto"/>
              <w:left w:val="nil"/>
              <w:bottom w:val="single" w:sz="4" w:space="0" w:color="auto"/>
              <w:right w:val="nil"/>
            </w:tcBorders>
            <w:shd w:val="clear" w:color="auto" w:fill="auto"/>
            <w:noWrap/>
            <w:vAlign w:val="bottom"/>
            <w:hideMark/>
          </w:tcPr>
          <w:p w14:paraId="4D17E02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22.65</w:t>
            </w:r>
          </w:p>
        </w:tc>
        <w:tc>
          <w:tcPr>
            <w:tcW w:w="378" w:type="pct"/>
            <w:tcBorders>
              <w:top w:val="single" w:sz="4" w:space="0" w:color="auto"/>
              <w:left w:val="nil"/>
              <w:bottom w:val="single" w:sz="4" w:space="0" w:color="auto"/>
              <w:right w:val="nil"/>
            </w:tcBorders>
            <w:shd w:val="clear" w:color="auto" w:fill="auto"/>
            <w:noWrap/>
            <w:vAlign w:val="bottom"/>
            <w:hideMark/>
          </w:tcPr>
          <w:p w14:paraId="27FFC96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74.3</w:t>
            </w:r>
          </w:p>
        </w:tc>
        <w:tc>
          <w:tcPr>
            <w:tcW w:w="381" w:type="pct"/>
            <w:tcBorders>
              <w:top w:val="single" w:sz="4" w:space="0" w:color="auto"/>
              <w:left w:val="nil"/>
              <w:bottom w:val="single" w:sz="4" w:space="0" w:color="auto"/>
              <w:right w:val="nil"/>
            </w:tcBorders>
            <w:shd w:val="clear" w:color="auto" w:fill="auto"/>
            <w:noWrap/>
            <w:vAlign w:val="bottom"/>
            <w:hideMark/>
          </w:tcPr>
          <w:p w14:paraId="1ADF6BD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16.09</w:t>
            </w:r>
          </w:p>
        </w:tc>
        <w:tc>
          <w:tcPr>
            <w:tcW w:w="378" w:type="pct"/>
            <w:tcBorders>
              <w:top w:val="single" w:sz="4" w:space="0" w:color="auto"/>
              <w:left w:val="nil"/>
              <w:bottom w:val="single" w:sz="4" w:space="0" w:color="auto"/>
              <w:right w:val="nil"/>
            </w:tcBorders>
            <w:shd w:val="clear" w:color="auto" w:fill="auto"/>
            <w:noWrap/>
            <w:vAlign w:val="bottom"/>
            <w:hideMark/>
          </w:tcPr>
          <w:p w14:paraId="0837BEC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{"citationID":"a14q498j4ct","properties":{"formattedCitation":"[142]","plainCitation":"[142]","noteIndex":0},"citationItems":[{"id":508,"uris":["http://zotero.org/users/12909065/items/P9GFAWCD"],"itemData":{"id":508,"type":"article-journal","abstract":"There is an urgent demand for all-polymer organic solar cells (AP-OSCs) to gain higher efficiency. Here, we successfully improve the performance to 16.09% by introducing a small amount of BN-T, a B←N-type polymer acceptor, into the PM6:PY-IT blend. It has been found that BN-T makes the active layer, based on the PM6:PY-IT:BN-T ternary blend, more crystalline but meanwhile slightly reduces the phase separation, leading to enhancement of both exciton harvesting and charge transport. From a thermodynamic viewpoint, BN-T prefers to reside between PM6 and PY-IT, and the fraction of this fine-tunes the morphology. Besides, a significantly reduced nonradiative energy loss occurs in the ternary blend, along with the coexistence of energy and charge transfer between the two acceptors. The progressive performance facilitated by these improved properties demonstrates that AP-OSCs can possibly comparably efficient with those based on small molecule acceptors, further enhancing the competitiveness of this device type. © 2021 Elsevier Inc.","archive":"Scopus","container-title":"Joule","DOI":"10.1016/j.joule.2021.02.002","ISSN":"2542-4351","issue":"4","language":"English","page":"914-930","source":"Scopus","title":"16% efficiency all-polymer organic solar cells enabled by a finely tuned morphology via the design of ternary blend","volume":"5","author":[{"family":"Liu","given":"T."},{"family":"Yang","given":"T."},{"family":"Ma","given":"R."},{"family":"Zhan","given":"L."},{"family":"Luo","given":"Z."},{"family":"Zhang","given":"G."},{"family":"Li","given":"Y."},{"family":"Gao","given":"K."},{"family":"Xiao","given":"Y."},{"family":"Yu","given":"J."},{"family":"Zou","given":"X."},{"family":"Sun","given":"H."},{"family":"Zhang","given":"M."},{"family":"Dela Peña","given":"T.A."},{"family":"Xing","given":"Z."},{"family":"Liu","given":"H."},{"family":"Li","given":"X."},{"family":"Li","given":"G."},{"family":"Huang","given":"J."},{"family":"Duan","given":"C."},{"family":"Wong","given":"K.S."},{"family":"Lu","given":"X."},{"family":"Guo","given":"X."},{"family":"Gao","given":"F."},{"family":"Chen","given":"H."},{"family":"Huang","given":"F."},{"family":"Li","given":"Y."},{"family":"Li","given":"Y."},{"family":"Cao","given":"Y."},{"family":"Tang","given":"B."},{"family":"Yan","given":"H."}],"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[142]</w:t>
            </w:r>
            <w:r w:rsidRPr="00B55044">
              <w:rPr>
                <w:rFonts w:eastAsia="Times New Roman"/>
                <w:color w:val="0000FF"/>
                <w:sz w:val="16"/>
                <w:szCs w:val="16"/>
              </w:rPr>
              <w:fldChar w:fldCharType="end"/>
            </w:r>
          </w:p>
        </w:tc>
      </w:tr>
      <w:tr w:rsidR="00D47774" w:rsidRPr="00B55044" w14:paraId="2C21853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B1C47A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246</w:t>
            </w:r>
          </w:p>
        </w:tc>
        <w:tc>
          <w:tcPr>
            <w:tcW w:w="1525" w:type="pct"/>
            <w:tcBorders>
              <w:top w:val="single" w:sz="4" w:space="0" w:color="auto"/>
              <w:left w:val="nil"/>
              <w:bottom w:val="single" w:sz="4" w:space="0" w:color="auto"/>
              <w:right w:val="nil"/>
            </w:tcBorders>
            <w:shd w:val="clear" w:color="auto" w:fill="auto"/>
            <w:noWrap/>
            <w:vAlign w:val="bottom"/>
            <w:hideMark/>
          </w:tcPr>
          <w:p w14:paraId="46F4E3D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ITO/PEDOT:PSS/AL/ZrAcAc/Al</w:t>
            </w:r>
          </w:p>
        </w:tc>
        <w:tc>
          <w:tcPr>
            <w:tcW w:w="1288" w:type="pct"/>
            <w:tcBorders>
              <w:top w:val="single" w:sz="4" w:space="0" w:color="auto"/>
              <w:left w:val="nil"/>
              <w:bottom w:val="single" w:sz="4" w:space="0" w:color="auto"/>
              <w:right w:val="nil"/>
            </w:tcBorders>
            <w:shd w:val="clear" w:color="auto" w:fill="auto"/>
            <w:noWrap/>
            <w:vAlign w:val="bottom"/>
            <w:hideMark/>
          </w:tcPr>
          <w:p w14:paraId="3BD4E48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PM6:PY-IT:BN-T</w:t>
            </w:r>
          </w:p>
        </w:tc>
        <w:tc>
          <w:tcPr>
            <w:tcW w:w="379" w:type="pct"/>
            <w:tcBorders>
              <w:top w:val="single" w:sz="4" w:space="0" w:color="auto"/>
              <w:left w:val="nil"/>
              <w:bottom w:val="single" w:sz="4" w:space="0" w:color="auto"/>
              <w:right w:val="nil"/>
            </w:tcBorders>
            <w:shd w:val="clear" w:color="auto" w:fill="auto"/>
            <w:noWrap/>
            <w:vAlign w:val="bottom"/>
            <w:hideMark/>
          </w:tcPr>
          <w:p w14:paraId="7150D95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0.958</w:t>
            </w:r>
          </w:p>
        </w:tc>
        <w:tc>
          <w:tcPr>
            <w:tcW w:w="379" w:type="pct"/>
            <w:tcBorders>
              <w:top w:val="single" w:sz="4" w:space="0" w:color="auto"/>
              <w:left w:val="nil"/>
              <w:bottom w:val="single" w:sz="4" w:space="0" w:color="auto"/>
              <w:right w:val="nil"/>
            </w:tcBorders>
            <w:shd w:val="clear" w:color="auto" w:fill="auto"/>
            <w:noWrap/>
            <w:vAlign w:val="bottom"/>
            <w:hideMark/>
          </w:tcPr>
          <w:p w14:paraId="45AE38C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22.46</w:t>
            </w:r>
          </w:p>
        </w:tc>
        <w:tc>
          <w:tcPr>
            <w:tcW w:w="378" w:type="pct"/>
            <w:tcBorders>
              <w:top w:val="single" w:sz="4" w:space="0" w:color="auto"/>
              <w:left w:val="nil"/>
              <w:bottom w:val="single" w:sz="4" w:space="0" w:color="auto"/>
              <w:right w:val="nil"/>
            </w:tcBorders>
            <w:shd w:val="clear" w:color="auto" w:fill="auto"/>
            <w:noWrap/>
            <w:vAlign w:val="bottom"/>
            <w:hideMark/>
          </w:tcPr>
          <w:p w14:paraId="47C49B8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w:t>
            </w:r>
          </w:p>
        </w:tc>
        <w:tc>
          <w:tcPr>
            <w:tcW w:w="381" w:type="pct"/>
            <w:tcBorders>
              <w:top w:val="single" w:sz="4" w:space="0" w:color="auto"/>
              <w:left w:val="nil"/>
              <w:bottom w:val="single" w:sz="4" w:space="0" w:color="auto"/>
              <w:right w:val="nil"/>
            </w:tcBorders>
            <w:shd w:val="clear" w:color="auto" w:fill="auto"/>
            <w:noWrap/>
            <w:vAlign w:val="bottom"/>
            <w:hideMark/>
          </w:tcPr>
          <w:p w14:paraId="5C8F929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15.51</w:t>
            </w:r>
          </w:p>
        </w:tc>
        <w:tc>
          <w:tcPr>
            <w:tcW w:w="378" w:type="pct"/>
            <w:tcBorders>
              <w:top w:val="single" w:sz="4" w:space="0" w:color="auto"/>
              <w:left w:val="nil"/>
              <w:bottom w:val="single" w:sz="4" w:space="0" w:color="auto"/>
              <w:right w:val="nil"/>
            </w:tcBorders>
            <w:shd w:val="clear" w:color="auto" w:fill="auto"/>
            <w:noWrap/>
            <w:vAlign w:val="bottom"/>
            <w:hideMark/>
          </w:tcPr>
          <w:p w14:paraId="0AF6763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{"citationID":"a2ef117652r","properties":{"formattedCitation":"[142]","plainCitation":"[142]","noteIndex":0},"citationItems":[{"id":508,"uris":["http://zotero.org/users/12909065/items/P9GFAWCD"],"itemData":{"id":508,"type":"article-journal","abstract":"There is an urgent demand for all-polymer organic solar cells (AP-OSCs) to gain higher efficiency. Here, we successfully improve the performance to 16.09% by introducing a small amount of BN-T, a B←N-type polymer acceptor, into the PM6:PY-IT blend. It has been found that BN-T makes the active layer, based on the PM6:PY-IT:BN-T ternary blend, more crystalline but meanwhile slightly reduces the phase separation, leading to enhancement of both exciton harvesting and charge transport. From a thermodynamic viewpoint, BN-T prefers to reside between PM6 and PY-IT, and the fraction of this fine-tunes the morphology. Besides, a significantly reduced nonradiative energy loss occurs in the ternary blend, along with the coexistence of energy and charge transfer between the two acceptors. The progressive performance facilitated by these improved properties demonstrates that AP-OSCs can possibly comparably efficient with those based on small molecule acceptors, further enhancing the competitiveness of this device type. © 2021 Elsevier Inc.","archive":"Scopus","container-title":"Joule","DOI":"10.1016/j.joule.2021.02.002","ISSN":"2542-4351","issue":"4","language":"English","page":"914-930","source":"Scopus","title":"16% efficiency all-polymer organic solar cells enabled by a finely tuned morphology via the design of ternary blend","volume":"5","author":[{"family":"Liu","given":"T."},{"family":"Yang","given":"T."},{"family":"Ma","given":"R."},{"family":"Zhan","given":"L."},{"family":"Luo","given":"Z."},{"family":"Zhang","given":"G."},{"family":"Li","given":"Y."},{"family":"Gao","given":"K."},{"family":"Xiao","given":"Y."},{"family":"Yu","given":"J."},{"family":"Zou","given":"X."},{"family":"Sun","given":"H."},{"family":"Zhang","given":"M."},{"family":"Dela Peña","given":"T.A."},{"family":"Xing","given":"Z."},{"family":"Liu","given":"H."},{"family":"Li","given":"X."},{"family":"Li","given":"G."},{"family":"Huang","given":"J."},{"family":"Duan","given":"C."},{"family":"Wong","given":"K.S."},{"family":"Lu","given":"X."},{"family":"Guo","given":"X."},{"family":"Gao","given":"F."},{"family":"Chen","given":"H."},{"family":"Huang","given":"F."},{"family":"Li","given":"Y."},{"family":"Li","given":"Y."},{"family":"Cao","given":"Y."},{"family":"Tang","given":"B."},{"family":"Yan","given":"H."}],"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[142]</w:t>
            </w:r>
            <w:r w:rsidRPr="00B55044">
              <w:rPr>
                <w:rFonts w:eastAsia="Times New Roman"/>
                <w:color w:val="0000FF"/>
                <w:sz w:val="16"/>
                <w:szCs w:val="16"/>
              </w:rPr>
              <w:fldChar w:fldCharType="end"/>
            </w:r>
          </w:p>
        </w:tc>
      </w:tr>
      <w:tr w:rsidR="00D47774" w:rsidRPr="00B55044" w14:paraId="6945787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CFFED5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247</w:t>
            </w:r>
          </w:p>
        </w:tc>
        <w:tc>
          <w:tcPr>
            <w:tcW w:w="1525" w:type="pct"/>
            <w:tcBorders>
              <w:top w:val="single" w:sz="4" w:space="0" w:color="auto"/>
              <w:left w:val="nil"/>
              <w:bottom w:val="single" w:sz="4" w:space="0" w:color="auto"/>
              <w:right w:val="nil"/>
            </w:tcBorders>
            <w:shd w:val="clear" w:color="auto" w:fill="auto"/>
            <w:noWrap/>
            <w:vAlign w:val="bottom"/>
            <w:hideMark/>
          </w:tcPr>
          <w:p w14:paraId="2140E71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1EE37F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PM6:PBDT-SiCl:Y6</w:t>
            </w:r>
          </w:p>
        </w:tc>
        <w:tc>
          <w:tcPr>
            <w:tcW w:w="379" w:type="pct"/>
            <w:tcBorders>
              <w:top w:val="single" w:sz="4" w:space="0" w:color="auto"/>
              <w:left w:val="nil"/>
              <w:bottom w:val="single" w:sz="4" w:space="0" w:color="auto"/>
              <w:right w:val="nil"/>
            </w:tcBorders>
            <w:shd w:val="clear" w:color="auto" w:fill="auto"/>
            <w:noWrap/>
            <w:vAlign w:val="bottom"/>
            <w:hideMark/>
          </w:tcPr>
          <w:p w14:paraId="3AE5098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0.863</w:t>
            </w:r>
          </w:p>
        </w:tc>
        <w:tc>
          <w:tcPr>
            <w:tcW w:w="379" w:type="pct"/>
            <w:tcBorders>
              <w:top w:val="single" w:sz="4" w:space="0" w:color="auto"/>
              <w:left w:val="nil"/>
              <w:bottom w:val="single" w:sz="4" w:space="0" w:color="auto"/>
              <w:right w:val="nil"/>
            </w:tcBorders>
            <w:shd w:val="clear" w:color="auto" w:fill="auto"/>
            <w:noWrap/>
            <w:vAlign w:val="bottom"/>
            <w:hideMark/>
          </w:tcPr>
          <w:p w14:paraId="7FABF00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25.03</w:t>
            </w:r>
          </w:p>
        </w:tc>
        <w:tc>
          <w:tcPr>
            <w:tcW w:w="378" w:type="pct"/>
            <w:tcBorders>
              <w:top w:val="single" w:sz="4" w:space="0" w:color="auto"/>
              <w:left w:val="nil"/>
              <w:bottom w:val="single" w:sz="4" w:space="0" w:color="auto"/>
              <w:right w:val="nil"/>
            </w:tcBorders>
            <w:shd w:val="clear" w:color="auto" w:fill="auto"/>
            <w:noWrap/>
            <w:vAlign w:val="bottom"/>
            <w:hideMark/>
          </w:tcPr>
          <w:p w14:paraId="0224819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74.04</w:t>
            </w:r>
          </w:p>
        </w:tc>
        <w:tc>
          <w:tcPr>
            <w:tcW w:w="381" w:type="pct"/>
            <w:tcBorders>
              <w:top w:val="single" w:sz="4" w:space="0" w:color="auto"/>
              <w:left w:val="nil"/>
              <w:bottom w:val="single" w:sz="4" w:space="0" w:color="auto"/>
              <w:right w:val="nil"/>
            </w:tcBorders>
            <w:shd w:val="clear" w:color="auto" w:fill="auto"/>
            <w:noWrap/>
            <w:vAlign w:val="bottom"/>
            <w:hideMark/>
          </w:tcPr>
          <w:p w14:paraId="4D8CE65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16.17</w:t>
            </w:r>
          </w:p>
        </w:tc>
        <w:tc>
          <w:tcPr>
            <w:tcW w:w="378" w:type="pct"/>
            <w:tcBorders>
              <w:top w:val="single" w:sz="4" w:space="0" w:color="auto"/>
              <w:left w:val="nil"/>
              <w:bottom w:val="single" w:sz="4" w:space="0" w:color="auto"/>
              <w:right w:val="nil"/>
            </w:tcBorders>
            <w:shd w:val="clear" w:color="auto" w:fill="auto"/>
            <w:noWrap/>
            <w:vAlign w:val="bottom"/>
            <w:hideMark/>
          </w:tcPr>
          <w:p w14:paraId="316E231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{"citationID":"a8nnfist0u","properties":{"formattedCitation":"[143]","plainCitation":"[143]","noteIndex":0},"citationItems":[{"id":507,"uris":["http://zotero.org/users/12909065/items/VSRKAAXM"],"itemData":{"id":507,"type":"article-journal","abstract":"Terpolymers have been proven to be promising polymer donors for organic solar cells (OSCs). However, the aperiodic sequence distribution caused by random copolymerization dramatically interrupts the orderly stacking of the conjugated main chain. In this work, we reported three terpolymers by introducing Si and Cl functionalized benzodithiophene (BDT-SiCl) into a polymer PM6 matrix with F functionalized benzodithiophene (BDT-2F) by random copolymerization. BDT-SiCl has the same skeleton as BDT-2F, but only differs in functional atoms on the side chain. The structural similarity of the two building blocks not only can minimize the disturbance of the molecular orderly packing caused by random copolymerization, but also can enhance the face-on orientation of the active layer to facilitate charge transport. Moreover, the alkylsilyl and chlorine atom enable the terpolymers to have a lower HOMO level and broadened light absorption compared to PM6. As a result, the terpolymer-based OSCs achieve the best efficiency of 16.22% with a small energy loss of 0.50 eV, yielding overall improved device parameters compared to PM6-based devices. In addition, thanks to the chemical bond linkage, the terpolymer-based device has a higher thermal stability than its corresponding ternary OSC. These results demonstrate that the design concept of structural similarity is a promising strategy to construct terpolymers for high-performance OSCs. © The Royal Society of Chemistry 2021.","archive":"Scopus","container-title":"Journal of Materials Chemistry A","DOI":"10.1039/d1ta00971k","ISSN":"2050-7488","issue":"14","language":"English","page":"9238-9247","source":"Scopus","title":"Structural similarity induced improvement in the performance of organic solar cells based on novel terpolymer donors","volume":"9","author":[{"family":"Cheng","given":"Y."},{"family":"Jin","given":"H."},{"family":"Oh","given":"J."},{"family":"Huang","given":"X."},{"family":"Lv","given":"R."},{"family":"Huang","given":"B."},{"family":"Ma","given":"Z."},{"family":"Yang","given":"C."},{"family":"Chen","given":"L."},{"family":"Chen","given":"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[143]</w:t>
            </w:r>
            <w:r w:rsidRPr="00B55044">
              <w:rPr>
                <w:rFonts w:eastAsia="Times New Roman"/>
                <w:color w:val="0000FF"/>
                <w:sz w:val="16"/>
                <w:szCs w:val="16"/>
              </w:rPr>
              <w:fldChar w:fldCharType="end"/>
            </w:r>
          </w:p>
        </w:tc>
      </w:tr>
      <w:tr w:rsidR="00D47774" w:rsidRPr="00B55044" w14:paraId="3F14B26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92AFC7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248</w:t>
            </w:r>
          </w:p>
        </w:tc>
        <w:tc>
          <w:tcPr>
            <w:tcW w:w="1525" w:type="pct"/>
            <w:tcBorders>
              <w:top w:val="single" w:sz="4" w:space="0" w:color="auto"/>
              <w:left w:val="nil"/>
              <w:bottom w:val="single" w:sz="4" w:space="0" w:color="auto"/>
              <w:right w:val="nil"/>
            </w:tcBorders>
            <w:shd w:val="clear" w:color="auto" w:fill="auto"/>
            <w:noWrap/>
            <w:vAlign w:val="bottom"/>
            <w:hideMark/>
          </w:tcPr>
          <w:p w14:paraId="7123500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ITO/GO/PEDOT:PSS/AL/PDINO-CNT/Al</w:t>
            </w:r>
          </w:p>
        </w:tc>
        <w:tc>
          <w:tcPr>
            <w:tcW w:w="1288" w:type="pct"/>
            <w:tcBorders>
              <w:top w:val="single" w:sz="4" w:space="0" w:color="auto"/>
              <w:left w:val="nil"/>
              <w:bottom w:val="single" w:sz="4" w:space="0" w:color="auto"/>
              <w:right w:val="nil"/>
            </w:tcBorders>
            <w:shd w:val="clear" w:color="auto" w:fill="auto"/>
            <w:noWrap/>
            <w:vAlign w:val="bottom"/>
            <w:hideMark/>
          </w:tcPr>
          <w:p w14:paraId="72C1A8E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0A79A51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0.858</w:t>
            </w:r>
          </w:p>
        </w:tc>
        <w:tc>
          <w:tcPr>
            <w:tcW w:w="379" w:type="pct"/>
            <w:tcBorders>
              <w:top w:val="single" w:sz="4" w:space="0" w:color="auto"/>
              <w:left w:val="nil"/>
              <w:bottom w:val="single" w:sz="4" w:space="0" w:color="auto"/>
              <w:right w:val="nil"/>
            </w:tcBorders>
            <w:shd w:val="clear" w:color="auto" w:fill="auto"/>
            <w:noWrap/>
            <w:vAlign w:val="bottom"/>
            <w:hideMark/>
          </w:tcPr>
          <w:p w14:paraId="77BE86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26.94</w:t>
            </w:r>
          </w:p>
        </w:tc>
        <w:tc>
          <w:tcPr>
            <w:tcW w:w="378" w:type="pct"/>
            <w:tcBorders>
              <w:top w:val="single" w:sz="4" w:space="0" w:color="auto"/>
              <w:left w:val="nil"/>
              <w:bottom w:val="single" w:sz="4" w:space="0" w:color="auto"/>
              <w:right w:val="nil"/>
            </w:tcBorders>
            <w:shd w:val="clear" w:color="auto" w:fill="auto"/>
            <w:noWrap/>
            <w:vAlign w:val="bottom"/>
            <w:hideMark/>
          </w:tcPr>
          <w:p w14:paraId="6346F39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76.59</w:t>
            </w:r>
          </w:p>
        </w:tc>
        <w:tc>
          <w:tcPr>
            <w:tcW w:w="381" w:type="pct"/>
            <w:tcBorders>
              <w:top w:val="single" w:sz="4" w:space="0" w:color="auto"/>
              <w:left w:val="nil"/>
              <w:bottom w:val="single" w:sz="4" w:space="0" w:color="auto"/>
              <w:right w:val="nil"/>
            </w:tcBorders>
            <w:shd w:val="clear" w:color="auto" w:fill="auto"/>
            <w:noWrap/>
            <w:vAlign w:val="bottom"/>
            <w:hideMark/>
          </w:tcPr>
          <w:p w14:paraId="33FCB94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17.7</w:t>
            </w:r>
          </w:p>
        </w:tc>
        <w:tc>
          <w:tcPr>
            <w:tcW w:w="378" w:type="pct"/>
            <w:tcBorders>
              <w:top w:val="single" w:sz="4" w:space="0" w:color="auto"/>
              <w:left w:val="nil"/>
              <w:bottom w:val="single" w:sz="4" w:space="0" w:color="auto"/>
              <w:right w:val="nil"/>
            </w:tcBorders>
            <w:shd w:val="clear" w:color="auto" w:fill="auto"/>
            <w:noWrap/>
            <w:vAlign w:val="bottom"/>
            <w:hideMark/>
          </w:tcPr>
          <w:p w14:paraId="015BF00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{"citationID":"a2mednbk4t","properties":{"formattedCitation":"[144]","plainCitation":"[144]","noteIndex":0},"citationItems":[{"id":506,"uris":["http://zotero.org/users/12909065/items/NKBLLHSB"],"itemData":{"id":506,"type":"article-journal","abstract":"Water/alcohol soluble cathode interfacial materials (CIMs) are playing important roles in optoelectronic devices such as organic light emitting diodes, perovskite solar cells and organic solar cells (OSCs). Herein, n-doped solution-processable single-wall carbon nanotubes (SWCNTs)-containing CIMs for OSCs are developed by dispersing SWCNTs to the typical CIMs perylene diimide (PDI) derivatives PDIN and PDINO. The Raman and X-ray photoelectron spectroscopy (XPS) measurement results illustrate the n-doped behavior of SWCNTs by PDIN/PDINO in the blend CIMs. The blended and n-doped SWCNTs can tune the work function and enhance the conductivity of the PDI-derivative/SWCNT (PDI-CNT) composite CIMs, and the composite CIMs can regulate and down-shift the work function of cathode, reduce the charge recombination, improve the charge extraction rate and enhance photovoltaic performance of the OSCs. High power conversion efficiency (PCE) of 17.1% and 17.7% are obtained for the OSCs based on PM6:Y6 and ternary PM6:Y6:PC71BM respectively with the PDI-CNT composites CIMs. These results indicate that the n-doped SWCNT-containing composites, like other n-doped nanomaterials such as zero dimensional fullerenes and two dimensional graphenes, are excellent CIMs for OSCs and could find potential applications in other optoelectronic devices. [Figure not available: see fulltext.] © 2021, Science China Press and Springer-Verlag GmbH Germany, part of Springer Nature.","archive":"Scopus","container-title":"Science China Chemistry","DOI":"10.1007/s11426-020-9917-6","ISSN":"1674-7291","issue":"4","language":"English","page":"565-575","source":"Scopus","title":"Single-wall carbon nanotube-containing cathode interfacial materials for high performance organic solar cells","volume":"64","author":[{"family":"Pan","given":"F."},{"family":"Bai","given":"S."},{"family":"Liu","given":"T."},{"family":"Tang","given":"D."},{"family":"Wei","given":"X."},{"family":"Chen","given":"X."},{"family":"Lv","given":"M."},{"family":"Li","given":"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[144]</w:t>
            </w:r>
            <w:r w:rsidRPr="00B55044">
              <w:rPr>
                <w:rFonts w:eastAsia="Times New Roman"/>
                <w:color w:val="0000FF"/>
                <w:sz w:val="16"/>
                <w:szCs w:val="16"/>
              </w:rPr>
              <w:fldChar w:fldCharType="end"/>
            </w:r>
          </w:p>
        </w:tc>
      </w:tr>
      <w:tr w:rsidR="00D47774" w:rsidRPr="00B55044" w14:paraId="77E0C19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80C320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249</w:t>
            </w:r>
          </w:p>
        </w:tc>
        <w:tc>
          <w:tcPr>
            <w:tcW w:w="1525" w:type="pct"/>
            <w:tcBorders>
              <w:top w:val="single" w:sz="4" w:space="0" w:color="auto"/>
              <w:left w:val="nil"/>
              <w:bottom w:val="single" w:sz="4" w:space="0" w:color="auto"/>
              <w:right w:val="nil"/>
            </w:tcBorders>
            <w:shd w:val="clear" w:color="auto" w:fill="auto"/>
            <w:noWrap/>
            <w:vAlign w:val="bottom"/>
            <w:hideMark/>
          </w:tcPr>
          <w:p w14:paraId="26E7B5A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22304DE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PM6:ITC-2Br1:Y6</w:t>
            </w:r>
          </w:p>
        </w:tc>
        <w:tc>
          <w:tcPr>
            <w:tcW w:w="379" w:type="pct"/>
            <w:tcBorders>
              <w:top w:val="single" w:sz="4" w:space="0" w:color="auto"/>
              <w:left w:val="nil"/>
              <w:bottom w:val="single" w:sz="4" w:space="0" w:color="auto"/>
              <w:right w:val="nil"/>
            </w:tcBorders>
            <w:shd w:val="clear" w:color="auto" w:fill="auto"/>
            <w:noWrap/>
            <w:vAlign w:val="bottom"/>
            <w:hideMark/>
          </w:tcPr>
          <w:p w14:paraId="3228DA3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6448B7F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25.3</w:t>
            </w:r>
          </w:p>
        </w:tc>
        <w:tc>
          <w:tcPr>
            <w:tcW w:w="378" w:type="pct"/>
            <w:tcBorders>
              <w:top w:val="single" w:sz="4" w:space="0" w:color="auto"/>
              <w:left w:val="nil"/>
              <w:bottom w:val="single" w:sz="4" w:space="0" w:color="auto"/>
              <w:right w:val="nil"/>
            </w:tcBorders>
            <w:shd w:val="clear" w:color="auto" w:fill="auto"/>
            <w:noWrap/>
            <w:vAlign w:val="bottom"/>
            <w:hideMark/>
          </w:tcPr>
          <w:p w14:paraId="54C650D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77.2</w:t>
            </w:r>
          </w:p>
        </w:tc>
        <w:tc>
          <w:tcPr>
            <w:tcW w:w="381" w:type="pct"/>
            <w:tcBorders>
              <w:top w:val="single" w:sz="4" w:space="0" w:color="auto"/>
              <w:left w:val="nil"/>
              <w:bottom w:val="single" w:sz="4" w:space="0" w:color="auto"/>
              <w:right w:val="nil"/>
            </w:tcBorders>
            <w:shd w:val="clear" w:color="auto" w:fill="auto"/>
            <w:noWrap/>
            <w:vAlign w:val="bottom"/>
            <w:hideMark/>
          </w:tcPr>
          <w:p w14:paraId="5718980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w:t>
            </w:r>
          </w:p>
        </w:tc>
        <w:tc>
          <w:tcPr>
            <w:tcW w:w="378" w:type="pct"/>
            <w:tcBorders>
              <w:top w:val="single" w:sz="4" w:space="0" w:color="auto"/>
              <w:left w:val="nil"/>
              <w:bottom w:val="single" w:sz="4" w:space="0" w:color="auto"/>
              <w:right w:val="nil"/>
            </w:tcBorders>
            <w:shd w:val="clear" w:color="auto" w:fill="auto"/>
            <w:noWrap/>
            <w:vAlign w:val="bottom"/>
            <w:hideMark/>
          </w:tcPr>
          <w:p w14:paraId="658D46C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{"citationID":"a1uf7tjd38g","properties":{"formattedCitation":"[145]","plainCitation":"[145]","noteIndex":0},"citationItems":[{"id":505,"uris":["http://zotero.org/users/12909065/items/Y35JGEBE"],"itemData":{"id":505,"type":"article-journal","abstract":"Nowadays, improving the power conversion efficiency (PCE) of organic solar cells (OSCs) is still the most concerned issue. Ternary strategy can effectively improve the PCE while maintaining the single junction device structure from well-developed material systems. Herein, a brominated non-fullerene acceptor of ITC-2Br1 is used as the third component to optimize the efficient PM6:Y6 binary system with highly complementary absorption and higher LUMO value as compared with Y6. With 15% wt ITC-2Br1 in the ternary system, the device achieved a best PCE of 16.6%, which is significantly higher than that of its binary counterpart (15.6%). Through the study of neat and blend films, it is found that ITC-2Br1 and Y6 show good miscibility and the absorption of ternary blend film almost cover the whole range from visible and near-IR regions. The optimized ternary device shows an alloy-like working model with improved carrier lifetime and enhanced charge collection efficiency. This work provides a good example for the third component selection in ternary system, and the ternary strategy is a facile and effective method to boost the device performance of OSCs. © 2021 Elsevier B.V.","archive":"Scopus","container-title":"Organic Electronics","DOI":"10.1016/j.orgel.2021.106085","ISSN":"1566-1199","language":"English","source":"Scopus","title":"Ternary organic solar cells with PCEs of up to 16.6% by two complementary acceptors working in alloy-like model","volume":"91","author":[{"family":"Guo","given":"M."},{"family":"Chen","given":"H."},{"family":"Luo","given":"Z."},{"family":"Zhu","given":"Y."},{"family":"He","given":"F."},{"family":"Yang","given":"C."}],"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[145]</w:t>
            </w:r>
            <w:r w:rsidRPr="00B55044">
              <w:rPr>
                <w:rFonts w:eastAsia="Times New Roman"/>
                <w:color w:val="0000FF"/>
                <w:sz w:val="16"/>
                <w:szCs w:val="16"/>
              </w:rPr>
              <w:fldChar w:fldCharType="end"/>
            </w:r>
          </w:p>
        </w:tc>
      </w:tr>
      <w:tr w:rsidR="00D47774" w:rsidRPr="00B55044" w14:paraId="229554E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46EB4E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250</w:t>
            </w:r>
          </w:p>
        </w:tc>
        <w:tc>
          <w:tcPr>
            <w:tcW w:w="1525" w:type="pct"/>
            <w:tcBorders>
              <w:top w:val="single" w:sz="4" w:space="0" w:color="auto"/>
              <w:left w:val="nil"/>
              <w:bottom w:val="single" w:sz="4" w:space="0" w:color="auto"/>
              <w:right w:val="nil"/>
            </w:tcBorders>
            <w:shd w:val="clear" w:color="auto" w:fill="auto"/>
            <w:noWrap/>
            <w:vAlign w:val="bottom"/>
            <w:hideMark/>
          </w:tcPr>
          <w:p w14:paraId="261E40C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71A8FE9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PM6:BTP-ClBr1:BTP-2O-4Cl-C12</w:t>
            </w:r>
          </w:p>
        </w:tc>
        <w:tc>
          <w:tcPr>
            <w:tcW w:w="379" w:type="pct"/>
            <w:tcBorders>
              <w:top w:val="single" w:sz="4" w:space="0" w:color="auto"/>
              <w:left w:val="nil"/>
              <w:bottom w:val="single" w:sz="4" w:space="0" w:color="auto"/>
              <w:right w:val="nil"/>
            </w:tcBorders>
            <w:shd w:val="clear" w:color="auto" w:fill="auto"/>
            <w:noWrap/>
            <w:vAlign w:val="bottom"/>
            <w:hideMark/>
          </w:tcPr>
          <w:p w14:paraId="7B3BEC4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0.896</w:t>
            </w:r>
          </w:p>
        </w:tc>
        <w:tc>
          <w:tcPr>
            <w:tcW w:w="379" w:type="pct"/>
            <w:tcBorders>
              <w:top w:val="single" w:sz="4" w:space="0" w:color="auto"/>
              <w:left w:val="nil"/>
              <w:bottom w:val="single" w:sz="4" w:space="0" w:color="auto"/>
              <w:right w:val="nil"/>
            </w:tcBorders>
            <w:shd w:val="clear" w:color="auto" w:fill="auto"/>
            <w:noWrap/>
            <w:vAlign w:val="bottom"/>
            <w:hideMark/>
          </w:tcPr>
          <w:p w14:paraId="44E5332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24.86</w:t>
            </w:r>
          </w:p>
        </w:tc>
        <w:tc>
          <w:tcPr>
            <w:tcW w:w="378" w:type="pct"/>
            <w:tcBorders>
              <w:top w:val="single" w:sz="4" w:space="0" w:color="auto"/>
              <w:left w:val="nil"/>
              <w:bottom w:val="single" w:sz="4" w:space="0" w:color="auto"/>
              <w:right w:val="nil"/>
            </w:tcBorders>
            <w:shd w:val="clear" w:color="auto" w:fill="auto"/>
            <w:noWrap/>
            <w:vAlign w:val="bottom"/>
            <w:hideMark/>
          </w:tcPr>
          <w:p w14:paraId="27E7DEF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74.8</w:t>
            </w:r>
          </w:p>
        </w:tc>
        <w:tc>
          <w:tcPr>
            <w:tcW w:w="381" w:type="pct"/>
            <w:tcBorders>
              <w:top w:val="single" w:sz="4" w:space="0" w:color="auto"/>
              <w:left w:val="nil"/>
              <w:bottom w:val="single" w:sz="4" w:space="0" w:color="auto"/>
              <w:right w:val="nil"/>
            </w:tcBorders>
            <w:shd w:val="clear" w:color="auto" w:fill="auto"/>
            <w:noWrap/>
            <w:vAlign w:val="bottom"/>
            <w:hideMark/>
          </w:tcPr>
          <w:p w14:paraId="0560AED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16.68</w:t>
            </w:r>
          </w:p>
        </w:tc>
        <w:tc>
          <w:tcPr>
            <w:tcW w:w="378" w:type="pct"/>
            <w:tcBorders>
              <w:top w:val="single" w:sz="4" w:space="0" w:color="auto"/>
              <w:left w:val="nil"/>
              <w:bottom w:val="single" w:sz="4" w:space="0" w:color="auto"/>
              <w:right w:val="nil"/>
            </w:tcBorders>
            <w:shd w:val="clear" w:color="auto" w:fill="auto"/>
            <w:noWrap/>
            <w:vAlign w:val="bottom"/>
            <w:hideMark/>
          </w:tcPr>
          <w:p w14:paraId="692098D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{"citationID":"ah0n8ha2s4","properties":{"formattedCitation":"[146]","plainCitation":"[146]","noteIndex":0},"citationItems":[{"id":504,"uris":["http://zotero.org/users/12909065/items/BRAEFETG"],"itemData":{"id":504,"type":"article-journal","abstract":"State-of-the-art organic solar cells (OSCs) often require the use of high-boiling point additive or post-treatment such as temperature annealing and solvent vapor annealing to achieve the best efficiency. However, additives are not desirable in large-scale industrial printing process, while post-treatment also increases the production cost. In this article, we report highly efficient ternary OSCs based on PM6:BTP-ClBr1:BTP-2O-4Cl-C12 (weight ratio=1:1:0.2), with 16.68% power conversion efficiency (PCE) for as-cast device, relatively close to its annealed counterpart (17.19%). Apart from obvious energy tuning effect and complementary absorption spectra, the improved PCE of ternary device is mainly attributed to improved morphological properties including the more favorable materials miscibility, crystallinity, domain size and vertical phase separation, which endorse suppressed recombination. The result of this work provides understanding and guidance for high-performance as-cast OSCs through the ternary strategy. [Figure not available: see fulltext.] © 2021, Science China Press and Springer-Verlag GmbH Germany, part of Springer Nature.","archive":"Scopus","container-title":"Science China Chemistry","DOI":"10.1007/s11426-020-9912-0","ISSN":"1674-7291","issue":"4","language":"English","page":"581-589","source":"Scopus","title":"Achieving 16.68% efficiency ternary as-cast organic solar cells","volume":"64","author":[{"family":"Ma","given":"R."},{"family":"Tao","given":"Y."},{"family":"Chen","given":"Y."},{"family":"Liu","given":"T."},{"family":"Luo","given":"Z."},{"family":"Guo","given":"Y."},{"family":"Xiao","given":"Y."},{"family":"Fang","given":"J."},{"family":"Zhang","given":"G."},{"family":"Li","given":"X."},{"family":"Guo","given":"X."},{"family":"Yi","given":"Y."},{"family":"Zhang","given":"M."},{"family":"Lu","given":"X."},{"family":"Li","given":"Y."},{"family":"Yan","given":"H."}],"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[146]</w:t>
            </w:r>
            <w:r w:rsidRPr="00B55044">
              <w:rPr>
                <w:rFonts w:eastAsia="Times New Roman"/>
                <w:color w:val="0000FF"/>
                <w:sz w:val="16"/>
                <w:szCs w:val="16"/>
              </w:rPr>
              <w:fldChar w:fldCharType="end"/>
            </w:r>
          </w:p>
        </w:tc>
      </w:tr>
      <w:tr w:rsidR="00D47774" w:rsidRPr="00B55044" w14:paraId="357B01B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5E76DC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251</w:t>
            </w:r>
          </w:p>
        </w:tc>
        <w:tc>
          <w:tcPr>
            <w:tcW w:w="1525" w:type="pct"/>
            <w:tcBorders>
              <w:top w:val="single" w:sz="4" w:space="0" w:color="auto"/>
              <w:left w:val="nil"/>
              <w:bottom w:val="single" w:sz="4" w:space="0" w:color="auto"/>
              <w:right w:val="nil"/>
            </w:tcBorders>
            <w:shd w:val="clear" w:color="auto" w:fill="auto"/>
            <w:noWrap/>
            <w:vAlign w:val="bottom"/>
            <w:hideMark/>
          </w:tcPr>
          <w:p w14:paraId="2A6C0E5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0E6DFFC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PM6:Y6:DTTC-4Cl-C9</w:t>
            </w:r>
          </w:p>
        </w:tc>
        <w:tc>
          <w:tcPr>
            <w:tcW w:w="379" w:type="pct"/>
            <w:tcBorders>
              <w:top w:val="single" w:sz="4" w:space="0" w:color="auto"/>
              <w:left w:val="nil"/>
              <w:bottom w:val="single" w:sz="4" w:space="0" w:color="auto"/>
              <w:right w:val="nil"/>
            </w:tcBorders>
            <w:shd w:val="clear" w:color="auto" w:fill="auto"/>
            <w:noWrap/>
            <w:vAlign w:val="bottom"/>
            <w:hideMark/>
          </w:tcPr>
          <w:p w14:paraId="2CFA8B0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22B355B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25.3</w:t>
            </w:r>
          </w:p>
        </w:tc>
        <w:tc>
          <w:tcPr>
            <w:tcW w:w="378" w:type="pct"/>
            <w:tcBorders>
              <w:top w:val="single" w:sz="4" w:space="0" w:color="auto"/>
              <w:left w:val="nil"/>
              <w:bottom w:val="single" w:sz="4" w:space="0" w:color="auto"/>
              <w:right w:val="nil"/>
            </w:tcBorders>
            <w:shd w:val="clear" w:color="auto" w:fill="auto"/>
            <w:noWrap/>
            <w:vAlign w:val="bottom"/>
            <w:hideMark/>
          </w:tcPr>
          <w:p w14:paraId="54EB473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75.19</w:t>
            </w:r>
          </w:p>
        </w:tc>
        <w:tc>
          <w:tcPr>
            <w:tcW w:w="381" w:type="pct"/>
            <w:tcBorders>
              <w:top w:val="single" w:sz="4" w:space="0" w:color="auto"/>
              <w:left w:val="nil"/>
              <w:bottom w:val="single" w:sz="4" w:space="0" w:color="auto"/>
              <w:right w:val="nil"/>
            </w:tcBorders>
            <w:shd w:val="clear" w:color="auto" w:fill="auto"/>
            <w:noWrap/>
            <w:vAlign w:val="bottom"/>
            <w:hideMark/>
          </w:tcPr>
          <w:p w14:paraId="6117A9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16.55</w:t>
            </w:r>
          </w:p>
        </w:tc>
        <w:tc>
          <w:tcPr>
            <w:tcW w:w="378" w:type="pct"/>
            <w:tcBorders>
              <w:top w:val="single" w:sz="4" w:space="0" w:color="auto"/>
              <w:left w:val="nil"/>
              <w:bottom w:val="single" w:sz="4" w:space="0" w:color="auto"/>
              <w:right w:val="nil"/>
            </w:tcBorders>
            <w:shd w:val="clear" w:color="auto" w:fill="auto"/>
            <w:noWrap/>
            <w:vAlign w:val="bottom"/>
            <w:hideMark/>
          </w:tcPr>
          <w:p w14:paraId="63C5C74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{"citationID":"a46ep0e6df","properties":{"formattedCitation":"[147]","plainCitation":"[147]","noteIndex":0},"citationItems":[{"id":503,"uris":["http://zotero.org/users/12909065/items/8PZAKQE8"],"itemData":{"id":503,"type":"article-journal","abstract":"In this study, two dithieno[3,2-b]thiophenecyclopentacarbazole (DTTC)-based nonfullerene acceptors (NFAs) named DTTC-4F-C8 and DTTC-4Cl-C9 are designed, synthesized, and incorporated as the second acceptors in PM6:Y6 binary blend to explore the performance of the ternary organic solar cells (OSCs). By incorporating a small amount of DTTC-4F-C8/DTTC-4Cl-C9 into the PM6:Y6 binary blend as the second acceptor, we achieved an elevated efficiency of 16.05%/16.55%, with simultaneously enhanced open-circuit voltage (VOC), short-circuit current-density (JSC), and fill factor (FF) values. Because of the compatibility differences between the second acceptor DTTC-4F-C8/DTTC-4Cl-C9 and the host materials PM6 and Y6, despite having comparable energy levels for the two NFAs, different photovoltaic performances are observed for the resultant ternary OSCs. The results indicate that the ternary OSCs incorporating carbazole-based NFAs DTTC-4F-C8/DTTC-4Cl-C9 as a second acceptor is a constructive method to enhance the performance of the PM6:Y6 binary host. © 2021 American Chemical Society.","archive":"Scopus","container-title":"ACS Applied Energy Materials","DOI":"10.1021/acsaem.1c00149","ISSN":"2574-0962","issue":"3","language":"English","page":"2847-2855","source":"Scopus","title":"Exploring Ternary Organic Solar Cells for the Improved Efficiency of 16.5% with the Compatible Nonacyclic Carbazole-Based Nonfullerene Acceptors as the Third Component","volume":"4","author":[{"family":"Karapala","given":"V.K."},{"family":"Chen","given":"T.-W."},{"family":"Ma","given":"K.-J."},{"family":"Lu","given":"P.-L."},{"family":"Su","given":"Y.-J."},{"family":"Fu","given":"W.-D."},{"family":"Shih","given":"H.-M."},{"family":"Lu","given":"S.-J."},{"family":"Lee","given":"T.-Y."},{"family":"Chang","given":"C.-F."},{"family":"Chen","given":"J.-T."},{"family":"Hsu","given":"C.-S."}],"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[147]</w:t>
            </w:r>
            <w:r w:rsidRPr="00B55044">
              <w:rPr>
                <w:rFonts w:eastAsia="Times New Roman"/>
                <w:color w:val="0000FF"/>
                <w:sz w:val="16"/>
                <w:szCs w:val="16"/>
              </w:rPr>
              <w:fldChar w:fldCharType="end"/>
            </w:r>
          </w:p>
        </w:tc>
      </w:tr>
      <w:tr w:rsidR="00D47774" w:rsidRPr="00B55044" w14:paraId="3FECA7D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AFE1DF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252</w:t>
            </w:r>
          </w:p>
        </w:tc>
        <w:tc>
          <w:tcPr>
            <w:tcW w:w="1525" w:type="pct"/>
            <w:tcBorders>
              <w:top w:val="single" w:sz="4" w:space="0" w:color="auto"/>
              <w:left w:val="nil"/>
              <w:bottom w:val="single" w:sz="4" w:space="0" w:color="auto"/>
              <w:right w:val="nil"/>
            </w:tcBorders>
            <w:shd w:val="clear" w:color="auto" w:fill="auto"/>
            <w:noWrap/>
            <w:vAlign w:val="bottom"/>
            <w:hideMark/>
          </w:tcPr>
          <w:p w14:paraId="11D0DEC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14FE71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PM6:Y6:DTTC-4F-C8</w:t>
            </w:r>
          </w:p>
        </w:tc>
        <w:tc>
          <w:tcPr>
            <w:tcW w:w="379" w:type="pct"/>
            <w:tcBorders>
              <w:top w:val="single" w:sz="4" w:space="0" w:color="auto"/>
              <w:left w:val="nil"/>
              <w:bottom w:val="single" w:sz="4" w:space="0" w:color="auto"/>
              <w:right w:val="nil"/>
            </w:tcBorders>
            <w:shd w:val="clear" w:color="auto" w:fill="auto"/>
            <w:noWrap/>
            <w:vAlign w:val="bottom"/>
            <w:hideMark/>
          </w:tcPr>
          <w:p w14:paraId="004C582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0BDDD1B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25.03</w:t>
            </w:r>
          </w:p>
        </w:tc>
        <w:tc>
          <w:tcPr>
            <w:tcW w:w="378" w:type="pct"/>
            <w:tcBorders>
              <w:top w:val="single" w:sz="4" w:space="0" w:color="auto"/>
              <w:left w:val="nil"/>
              <w:bottom w:val="single" w:sz="4" w:space="0" w:color="auto"/>
              <w:right w:val="nil"/>
            </w:tcBorders>
            <w:shd w:val="clear" w:color="auto" w:fill="auto"/>
            <w:noWrap/>
            <w:vAlign w:val="bottom"/>
            <w:hideMark/>
          </w:tcPr>
          <w:p w14:paraId="57C235C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73.7</w:t>
            </w:r>
          </w:p>
        </w:tc>
        <w:tc>
          <w:tcPr>
            <w:tcW w:w="381" w:type="pct"/>
            <w:tcBorders>
              <w:top w:val="single" w:sz="4" w:space="0" w:color="auto"/>
              <w:left w:val="nil"/>
              <w:bottom w:val="single" w:sz="4" w:space="0" w:color="auto"/>
              <w:right w:val="nil"/>
            </w:tcBorders>
            <w:shd w:val="clear" w:color="auto" w:fill="auto"/>
            <w:noWrap/>
            <w:vAlign w:val="bottom"/>
            <w:hideMark/>
          </w:tcPr>
          <w:p w14:paraId="5095667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16.05</w:t>
            </w:r>
          </w:p>
        </w:tc>
        <w:tc>
          <w:tcPr>
            <w:tcW w:w="378" w:type="pct"/>
            <w:tcBorders>
              <w:top w:val="single" w:sz="4" w:space="0" w:color="auto"/>
              <w:left w:val="nil"/>
              <w:bottom w:val="single" w:sz="4" w:space="0" w:color="auto"/>
              <w:right w:val="nil"/>
            </w:tcBorders>
            <w:shd w:val="clear" w:color="auto" w:fill="auto"/>
            <w:noWrap/>
            <w:vAlign w:val="bottom"/>
            <w:hideMark/>
          </w:tcPr>
          <w:p w14:paraId="0E892F6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{"citationID":"a57kq21m6o","properties":{"formattedCitation":"[147]","plainCitation":"[147]","noteIndex":0},"citationItems":[{"id":503,"uris":["http://zotero.org/users/12909065/items/8PZAKQE8"],"itemData":{"id":503,"type":"article-journal","abstract":"In this study, two dithieno[3,2-b]thiophenecyclopentacarbazole (DTTC)-based nonfullerene acceptors (NFAs) named DTTC-4F-C8 and DTTC-4Cl-C9 are designed, synthesized, and incorporated as the second acceptors in PM6:Y6 binary blend to explore the performance of the ternary organic solar cells (OSCs). By incorporating a small amount of DTTC-4F-C8/DTTC-4Cl-C9 into the PM6:Y6 binary blend as the second acceptor, we achieved an elevated efficiency of 16.05%/16.55%, with simultaneously enhanced open-circuit voltage (VOC), short-circuit current-density (JSC), and fill factor (FF) values. Because of the compatibility differences between the second acceptor DTTC-4F-C8/DTTC-4Cl-C9 and the host materials PM6 and Y6, despite having comparable energy levels for the two NFAs, different photovoltaic performances are observed for the resultant ternary OSCs. The results indicate that the ternary OSCs incorporating carbazole-based NFAs DTTC-4F-C8/DTTC-4Cl-C9 as a second acceptor is a constructive method to enhance the performance of the PM6:Y6 binary host. © 2021 American Chemical Society.","archive":"Scopus","container-title":"ACS Applied Energy Materials","DOI":"10.1021/acsaem.1c00149","ISSN":"2574-0962","issue":"3","language":"English","page":"2847-2855","source":"Scopus","title":"Exploring Ternary Organic Solar Cells for the Improved Efficiency of 16.5% with the Compatible Nonacyclic Carbazole-Based Nonfullerene Acceptors as the Third Component","volume":"4","author":[{"family":"Karapala","given":"V.K."},{"family":"Chen","given":"T.-W."},{"family":"Ma","given":"K.-J."},{"family":"Lu","given":"P.-L."},{"family":"Su","given":"Y.-J."},{"family":"Fu","given":"W.-D."},{"family":"Shih","given":"H.-M."},{"family":"Lu","given":"S.-J."},{"family":"Lee","given":"T.-Y."},{"family":"Chang","given":"C.-F."},{"family":"Chen","given":"J.-T."},{"family":"Hsu","given":"C.-S."}],"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[147]</w:t>
            </w:r>
            <w:r w:rsidRPr="00B55044">
              <w:rPr>
                <w:rFonts w:eastAsia="Times New Roman"/>
                <w:color w:val="0000FF"/>
                <w:sz w:val="16"/>
                <w:szCs w:val="16"/>
              </w:rPr>
              <w:fldChar w:fldCharType="end"/>
            </w:r>
          </w:p>
        </w:tc>
      </w:tr>
      <w:tr w:rsidR="00D47774" w:rsidRPr="00B55044" w14:paraId="611EFCE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4F07F2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253</w:t>
            </w:r>
          </w:p>
        </w:tc>
        <w:tc>
          <w:tcPr>
            <w:tcW w:w="1525" w:type="pct"/>
            <w:tcBorders>
              <w:top w:val="single" w:sz="4" w:space="0" w:color="auto"/>
              <w:left w:val="nil"/>
              <w:bottom w:val="single" w:sz="4" w:space="0" w:color="auto"/>
              <w:right w:val="nil"/>
            </w:tcBorders>
            <w:shd w:val="clear" w:color="auto" w:fill="auto"/>
            <w:noWrap/>
            <w:vAlign w:val="bottom"/>
            <w:hideMark/>
          </w:tcPr>
          <w:p w14:paraId="494B125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600CB5A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PM6:Y6:Cor-T-PDI</w:t>
            </w:r>
          </w:p>
        </w:tc>
        <w:tc>
          <w:tcPr>
            <w:tcW w:w="379" w:type="pct"/>
            <w:tcBorders>
              <w:top w:val="single" w:sz="4" w:space="0" w:color="auto"/>
              <w:left w:val="nil"/>
              <w:bottom w:val="single" w:sz="4" w:space="0" w:color="auto"/>
              <w:right w:val="nil"/>
            </w:tcBorders>
            <w:shd w:val="clear" w:color="auto" w:fill="auto"/>
            <w:noWrap/>
            <w:vAlign w:val="bottom"/>
            <w:hideMark/>
          </w:tcPr>
          <w:p w14:paraId="62A0C9A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0.854</w:t>
            </w:r>
          </w:p>
        </w:tc>
        <w:tc>
          <w:tcPr>
            <w:tcW w:w="379" w:type="pct"/>
            <w:tcBorders>
              <w:top w:val="single" w:sz="4" w:space="0" w:color="auto"/>
              <w:left w:val="nil"/>
              <w:bottom w:val="single" w:sz="4" w:space="0" w:color="auto"/>
              <w:right w:val="nil"/>
            </w:tcBorders>
            <w:shd w:val="clear" w:color="auto" w:fill="auto"/>
            <w:noWrap/>
            <w:vAlign w:val="bottom"/>
            <w:hideMark/>
          </w:tcPr>
          <w:p w14:paraId="4D645E7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26.16</w:t>
            </w:r>
          </w:p>
        </w:tc>
        <w:tc>
          <w:tcPr>
            <w:tcW w:w="378" w:type="pct"/>
            <w:tcBorders>
              <w:top w:val="single" w:sz="4" w:space="0" w:color="auto"/>
              <w:left w:val="nil"/>
              <w:bottom w:val="single" w:sz="4" w:space="0" w:color="auto"/>
              <w:right w:val="nil"/>
            </w:tcBorders>
            <w:shd w:val="clear" w:color="auto" w:fill="auto"/>
            <w:noWrap/>
            <w:vAlign w:val="bottom"/>
            <w:hideMark/>
          </w:tcPr>
          <w:p w14:paraId="1E89A6F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75.53</w:t>
            </w:r>
          </w:p>
        </w:tc>
        <w:tc>
          <w:tcPr>
            <w:tcW w:w="381" w:type="pct"/>
            <w:tcBorders>
              <w:top w:val="single" w:sz="4" w:space="0" w:color="auto"/>
              <w:left w:val="nil"/>
              <w:bottom w:val="single" w:sz="4" w:space="0" w:color="auto"/>
              <w:right w:val="nil"/>
            </w:tcBorders>
            <w:shd w:val="clear" w:color="auto" w:fill="auto"/>
            <w:noWrap/>
            <w:vAlign w:val="bottom"/>
            <w:hideMark/>
          </w:tcPr>
          <w:p w14:paraId="21D65AF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16.88</w:t>
            </w:r>
          </w:p>
        </w:tc>
        <w:tc>
          <w:tcPr>
            <w:tcW w:w="378" w:type="pct"/>
            <w:tcBorders>
              <w:top w:val="single" w:sz="4" w:space="0" w:color="auto"/>
              <w:left w:val="nil"/>
              <w:bottom w:val="single" w:sz="4" w:space="0" w:color="auto"/>
              <w:right w:val="nil"/>
            </w:tcBorders>
            <w:shd w:val="clear" w:color="auto" w:fill="auto"/>
            <w:noWrap/>
            <w:vAlign w:val="bottom"/>
            <w:hideMark/>
          </w:tcPr>
          <w:p w14:paraId="376CB9C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{"citationID":"aea8rjkp32","properties":{"formattedCitation":"[148]","plainCitation":"[148]","noteIndex":0},"citationItems":[{"id":499,"uris":["http://zotero.org/users/12909065/items/CUACMDF5"],"itemData":{"id":499,"type":"article-journal","abstract":"In terms of high-efficiencyPM6:Y6binary systems, there is still room to narrow the lowest unoccupied molecular orbital (LUMO) level offset (0.36 eV) between PM6 and Y6 to further mitigate energy loss through introducing a second acceptor in the construction of ternary organic solar cells (OSCs). In this study, we designed and synthesized a new slightly twisted perylene diimide (PDI)-tetramer with a large, planar coronene unit as the core,Cor-T-PDI, which has four quasi molecular orbitals that have little energy difference between them. Although the pairing ofCor-T-PDIwith PM6 gives a fairly low photovoltaic performance, interestingly, whenCor-T-PDIis used as a second acceptor, an obvious increase in open-circuit voltage (Voc) was achieved for aPM6:Y6base ternary system due to the creation of a cascade energy level alignment byCor-T-PDI. After tuning thePM6 : Y6 : Cor-T-PDIratio to 1 : 1.0 : 0.1, theVocvalue was significantly increased to 0.854 V without sacrificing the short-circuit current density (Jsc) and fill factor (FF), resulting in a high PCE of 16.88% with a low energy loss (0.47 eV), which are among the best values for single-junction OSCs. This preliminary study shows that for a binary system with a highJscvalue but low or moderateVocvalues, such as thePM6:Y6blend, producing a cascade energy level alignment is a more efficient strategy to enhance the PCE by introducing a third component with an appropriate structure. It is believed that lowering the highest unoccupied molecular orbital level of this PDI derivative to fall between that of Y6 and PM6 or tailoring the absorption to achieve a complementary absorption profile with that of thePM6:Y6blend will further improve the efficiency. © The Royal Society of Chemistry 2021.","archive":"Scopus","container-title":"Journal of Materials Chemistry C","DOI":"10.1039/d0tc05691j","ISSN":"2050-7534","issue":"11","language":"English","page":"3826-3834","source":"Scopus","title":"Ternary organic solar cells with 16.88% efficiency enabled by a twisted perylene diimide derivative to enhance the open-circuit voltage","volume":"9","author":[{"family":"Ni","given":"M.-Y."},{"family":"Leng","given":"S.-F."},{"family":"Liu","given":"H."},{"family":"Yang","given":"Y.-K."},{"family":"Li","given":"Q.-H."},{"family":"Sheng","given":"C.-Q."},{"family":"Lu","given":"X."},{"family":"Liu","given":"F."},{"family":"Wan","given":"J.-H."}],"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[148]</w:t>
            </w:r>
            <w:r w:rsidRPr="00B55044">
              <w:rPr>
                <w:rFonts w:eastAsia="Times New Roman"/>
                <w:color w:val="0000FF"/>
                <w:sz w:val="16"/>
                <w:szCs w:val="16"/>
              </w:rPr>
              <w:fldChar w:fldCharType="end"/>
            </w:r>
          </w:p>
        </w:tc>
      </w:tr>
      <w:tr w:rsidR="00D47774" w:rsidRPr="00B55044" w14:paraId="7223425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CD8F0F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254</w:t>
            </w:r>
          </w:p>
        </w:tc>
        <w:tc>
          <w:tcPr>
            <w:tcW w:w="1525" w:type="pct"/>
            <w:tcBorders>
              <w:top w:val="single" w:sz="4" w:space="0" w:color="auto"/>
              <w:left w:val="nil"/>
              <w:bottom w:val="single" w:sz="4" w:space="0" w:color="auto"/>
              <w:right w:val="nil"/>
            </w:tcBorders>
            <w:shd w:val="clear" w:color="auto" w:fill="auto"/>
            <w:noWrap/>
            <w:vAlign w:val="bottom"/>
            <w:hideMark/>
          </w:tcPr>
          <w:p w14:paraId="29A07B9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0CB2E7B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PM6:Y6:PTQ10</w:t>
            </w:r>
          </w:p>
        </w:tc>
        <w:tc>
          <w:tcPr>
            <w:tcW w:w="379" w:type="pct"/>
            <w:tcBorders>
              <w:top w:val="single" w:sz="4" w:space="0" w:color="auto"/>
              <w:left w:val="nil"/>
              <w:bottom w:val="single" w:sz="4" w:space="0" w:color="auto"/>
              <w:right w:val="nil"/>
            </w:tcBorders>
            <w:shd w:val="clear" w:color="auto" w:fill="auto"/>
            <w:noWrap/>
            <w:vAlign w:val="bottom"/>
            <w:hideMark/>
          </w:tcPr>
          <w:p w14:paraId="46701B5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55D6AE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w:t>
            </w:r>
          </w:p>
        </w:tc>
        <w:tc>
          <w:tcPr>
            <w:tcW w:w="378" w:type="pct"/>
            <w:tcBorders>
              <w:top w:val="single" w:sz="4" w:space="0" w:color="auto"/>
              <w:left w:val="nil"/>
              <w:bottom w:val="single" w:sz="4" w:space="0" w:color="auto"/>
              <w:right w:val="nil"/>
            </w:tcBorders>
            <w:shd w:val="clear" w:color="auto" w:fill="auto"/>
            <w:noWrap/>
            <w:vAlign w:val="bottom"/>
            <w:hideMark/>
          </w:tcPr>
          <w:p w14:paraId="27EB9E4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74.5</w:t>
            </w:r>
          </w:p>
        </w:tc>
        <w:tc>
          <w:tcPr>
            <w:tcW w:w="381" w:type="pct"/>
            <w:tcBorders>
              <w:top w:val="single" w:sz="4" w:space="0" w:color="auto"/>
              <w:left w:val="nil"/>
              <w:bottom w:val="single" w:sz="4" w:space="0" w:color="auto"/>
              <w:right w:val="nil"/>
            </w:tcBorders>
            <w:shd w:val="clear" w:color="auto" w:fill="auto"/>
            <w:noWrap/>
            <w:vAlign w:val="bottom"/>
            <w:hideMark/>
          </w:tcPr>
          <w:p w14:paraId="152476C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16.5</w:t>
            </w:r>
          </w:p>
        </w:tc>
        <w:tc>
          <w:tcPr>
            <w:tcW w:w="378" w:type="pct"/>
            <w:tcBorders>
              <w:top w:val="single" w:sz="4" w:space="0" w:color="auto"/>
              <w:left w:val="nil"/>
              <w:bottom w:val="single" w:sz="4" w:space="0" w:color="auto"/>
              <w:right w:val="nil"/>
            </w:tcBorders>
            <w:shd w:val="clear" w:color="auto" w:fill="auto"/>
            <w:noWrap/>
            <w:vAlign w:val="bottom"/>
            <w:hideMark/>
          </w:tcPr>
          <w:p w14:paraId="32EE118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{"citationID":"a9odfdusfq","properties":{"formattedCitation":"[149]","plainCitation":"[149]","noteIndex":0},"citationItems":[{"id":498,"uris":["http://zotero.org/users/12909065/items/VKXLLVR5"],"itemData":{"id":498,"type":"article-journal","abstract":"In this paper, a universal approach toward constructing a new bilayer device architecture, a few-nanometer-thick third-component layer on a bulk-heterojunction (BHJ) binary blend layer, has been demonstrated in two different state-of-the-art organic photovoltaic (OPV) systems. Through a careful selection of a third component, the power conversion efficiency (PCE) of the device based on PM6/Y6/layered PTQ10 layered third-component structure was 16.8%, being higher than those of corresponding devices incorporating the PM6/Y6/PTQ10 BHJ ternary blend (16.1%) and the PM6/Y6 BHJ binary blend (15.5%). Also, the device featuring PM7/Y1-4F/layered PTQ10 layered third-component structure gave a PCE of 15.2%, which is higher than the PCEs of the devices incorporating the PM7/Y1-4F/PTQ10 BHJ ternary blend and the PM7/Y1-4F BHJ binary blend (14.2 and 14.0%, respectively). These enhancements in PCE based on layered third-component structure can be attributed to improvements in the charge separation and charge collection abilities. This simple concept of the layered third-component structure appears to have great promise for achieving high-performance OPVs. © 2021 American Chemical Society.","archive":"Scopus","container-title":"Nano Letters","DOI":"10.1021/acs.nanolett.0c05045","ISSN":"1530-6984","issue":"5","language":"English","page":"2207-2215","source":"Scopus","title":"High-Performance Organic Photovoltaics Incorporating an Active Layer with a Few Nanometer-Thick Third-Component Layer on a Binary Blend Layer","volume":"21","author":[{"family":"Cheng","given":"H.-W."},{"family":"Juan","given":"C.-Y."},{"family":"Mohapatra","given":"A."},{"family":"Chen","given":"C.-H."},{"family":"Lin","given":"Y.-C."},{"family":"Chang","given":"B."},{"family":"Cheng","given":"P."},{"family":"Wang","given":"H.-C."},{"family":"Chu","given":"C.W."},{"family":"Yang","given":"Y."},{"family":"Wei","given":"K.-H."}],"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[149]</w:t>
            </w:r>
            <w:r w:rsidRPr="00B55044">
              <w:rPr>
                <w:rFonts w:eastAsia="Times New Roman"/>
                <w:color w:val="0000FF"/>
                <w:sz w:val="16"/>
                <w:szCs w:val="16"/>
              </w:rPr>
              <w:fldChar w:fldCharType="end"/>
            </w:r>
          </w:p>
        </w:tc>
      </w:tr>
      <w:tr w:rsidR="00D47774" w:rsidRPr="00B55044" w14:paraId="3FD07AF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DB48BF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255</w:t>
            </w:r>
          </w:p>
        </w:tc>
        <w:tc>
          <w:tcPr>
            <w:tcW w:w="1525" w:type="pct"/>
            <w:tcBorders>
              <w:top w:val="single" w:sz="4" w:space="0" w:color="auto"/>
              <w:left w:val="nil"/>
              <w:bottom w:val="single" w:sz="4" w:space="0" w:color="auto"/>
              <w:right w:val="nil"/>
            </w:tcBorders>
            <w:shd w:val="clear" w:color="auto" w:fill="auto"/>
            <w:noWrap/>
            <w:vAlign w:val="bottom"/>
            <w:hideMark/>
          </w:tcPr>
          <w:p w14:paraId="226B9CA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1565F6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PM6:BTP-BO-4F:Y6-1O</w:t>
            </w:r>
          </w:p>
        </w:tc>
        <w:tc>
          <w:tcPr>
            <w:tcW w:w="379" w:type="pct"/>
            <w:tcBorders>
              <w:top w:val="single" w:sz="4" w:space="0" w:color="auto"/>
              <w:left w:val="nil"/>
              <w:bottom w:val="single" w:sz="4" w:space="0" w:color="auto"/>
              <w:right w:val="nil"/>
            </w:tcBorders>
            <w:shd w:val="clear" w:color="auto" w:fill="auto"/>
            <w:noWrap/>
            <w:vAlign w:val="bottom"/>
            <w:hideMark/>
          </w:tcPr>
          <w:p w14:paraId="03A4126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48637CA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26.13</w:t>
            </w:r>
          </w:p>
        </w:tc>
        <w:tc>
          <w:tcPr>
            <w:tcW w:w="378" w:type="pct"/>
            <w:tcBorders>
              <w:top w:val="single" w:sz="4" w:space="0" w:color="auto"/>
              <w:left w:val="nil"/>
              <w:bottom w:val="single" w:sz="4" w:space="0" w:color="auto"/>
              <w:right w:val="nil"/>
            </w:tcBorders>
            <w:shd w:val="clear" w:color="auto" w:fill="auto"/>
            <w:noWrap/>
            <w:vAlign w:val="bottom"/>
            <w:hideMark/>
          </w:tcPr>
          <w:p w14:paraId="2BB2983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78.26</w:t>
            </w:r>
          </w:p>
        </w:tc>
        <w:tc>
          <w:tcPr>
            <w:tcW w:w="381" w:type="pct"/>
            <w:tcBorders>
              <w:top w:val="single" w:sz="4" w:space="0" w:color="auto"/>
              <w:left w:val="nil"/>
              <w:bottom w:val="single" w:sz="4" w:space="0" w:color="auto"/>
              <w:right w:val="nil"/>
            </w:tcBorders>
            <w:shd w:val="clear" w:color="auto" w:fill="auto"/>
            <w:noWrap/>
            <w:vAlign w:val="bottom"/>
            <w:hideMark/>
          </w:tcPr>
          <w:p w14:paraId="7D87607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17.59</w:t>
            </w:r>
          </w:p>
        </w:tc>
        <w:tc>
          <w:tcPr>
            <w:tcW w:w="378" w:type="pct"/>
            <w:tcBorders>
              <w:top w:val="single" w:sz="4" w:space="0" w:color="auto"/>
              <w:left w:val="nil"/>
              <w:bottom w:val="single" w:sz="4" w:space="0" w:color="auto"/>
              <w:right w:val="nil"/>
            </w:tcBorders>
            <w:shd w:val="clear" w:color="auto" w:fill="auto"/>
            <w:noWrap/>
            <w:vAlign w:val="bottom"/>
            <w:hideMark/>
          </w:tcPr>
          <w:p w14:paraId="4D8D465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{"citationID":"aerjika6qn","properties":{"formattedCitation":"[150]","plainCitation":"[150]","noteIndex":0},"citationItems":[{"id":497,"uris":["http://zotero.org/users/12909065/items/QK7B53FM"],"itemData":{"id":497,"type":"article-journal","abstract":"Efficient organic photovoltaic cells (OPVs) are fabricated using two structurally similar Y6 derivations (BTP-BO-4F and Y6-1O) as acceptor and PM6 as donor. The two binary OPVs exhibit a high fill factor (FF) (&amp;gt;76%), the complementary short-circuit-current density (JSC) and open-circuit voltage (VOC). The high FFs of binary OPVs indicate the good compatibility of corresponding materials to form efficient charge transport channels. A power conversion efficiency (PCE) of 17.59% is obtained from ternary OPVs with 15 wt% Y6-1O in acceptors, benefiting from the simultaneously improved JSC of 26.13 mA cm−2, a VOC of 0.860 V, and an FF of 78.26%. The values of VOC of ternary OPVs can be gradually increased along with the incorporation of Y6-1O, suggesting the preferred formation of an alloyed state between BTP-BO-4F and Y6-1O due to their good compatibility. Meanwhile, the cascaded energy levels of BTP-BO-4F and Y6-1O can form efficient electron transport channels in ternary active layers. The main contribution of Y6-1O can be summarized as enhancing photon harvesting, optimizing phase separation, and adjusting molecular arrangement. The experimental results may provide new insight on developing efficient ternary OPVs by selecting two well-compatible acceptors. © 2021 Wiley-VCH GmbH","archive":"Scopus","container-title":"Solar RRL","DOI":"10.1002/solr.202100007","ISSN":"2367-198X","issue":"3","language":"English","source":"Scopus","title":"Ternary Organic Photovoltaic Cells Exhibiting 17.59% Efficiency with Two Compatible Y6 Derivations as Acceptor","volume":"5","author":[{"family":"Wang","given":"X."},{"family":"Sun","given":"Q."},{"family":"Gao","given":"J."},{"family":"Ma","given":"X."},{"family":"Son","given":"J.H."},{"family":"Jeong","given":"S.Y."},{"family":"Hu","given":"Z."},{"family":"Niu","given":"L."},{"family":"Woo","given":"H.Y."},{"family":"Zhang","given":"J."},{"family":"Zhang","given":"F."}],"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[150]</w:t>
            </w:r>
            <w:r w:rsidRPr="00B55044">
              <w:rPr>
                <w:rFonts w:eastAsia="Times New Roman"/>
                <w:color w:val="0000FF"/>
                <w:sz w:val="16"/>
                <w:szCs w:val="16"/>
              </w:rPr>
              <w:fldChar w:fldCharType="end"/>
            </w:r>
          </w:p>
        </w:tc>
      </w:tr>
      <w:tr w:rsidR="00D47774" w:rsidRPr="00B55044" w14:paraId="222D704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C09CC7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256</w:t>
            </w:r>
          </w:p>
        </w:tc>
        <w:tc>
          <w:tcPr>
            <w:tcW w:w="1525" w:type="pct"/>
            <w:tcBorders>
              <w:top w:val="single" w:sz="4" w:space="0" w:color="auto"/>
              <w:left w:val="nil"/>
              <w:bottom w:val="single" w:sz="4" w:space="0" w:color="auto"/>
              <w:right w:val="nil"/>
            </w:tcBorders>
            <w:shd w:val="clear" w:color="auto" w:fill="auto"/>
            <w:noWrap/>
            <w:vAlign w:val="bottom"/>
            <w:hideMark/>
          </w:tcPr>
          <w:p w14:paraId="5EF4D0C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70FB732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PM6:F8IC:IT-4F</w:t>
            </w:r>
          </w:p>
        </w:tc>
        <w:tc>
          <w:tcPr>
            <w:tcW w:w="379" w:type="pct"/>
            <w:tcBorders>
              <w:top w:val="single" w:sz="4" w:space="0" w:color="auto"/>
              <w:left w:val="nil"/>
              <w:bottom w:val="single" w:sz="4" w:space="0" w:color="auto"/>
              <w:right w:val="nil"/>
            </w:tcBorders>
            <w:shd w:val="clear" w:color="auto" w:fill="auto"/>
            <w:noWrap/>
            <w:vAlign w:val="bottom"/>
            <w:hideMark/>
          </w:tcPr>
          <w:p w14:paraId="797DBD3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w:t>
            </w:r>
          </w:p>
        </w:tc>
        <w:tc>
          <w:tcPr>
            <w:tcW w:w="379" w:type="pct"/>
            <w:tcBorders>
              <w:top w:val="single" w:sz="4" w:space="0" w:color="auto"/>
              <w:left w:val="nil"/>
              <w:bottom w:val="single" w:sz="4" w:space="0" w:color="auto"/>
              <w:right w:val="nil"/>
            </w:tcBorders>
            <w:shd w:val="clear" w:color="auto" w:fill="auto"/>
            <w:noWrap/>
            <w:vAlign w:val="bottom"/>
            <w:hideMark/>
          </w:tcPr>
          <w:p w14:paraId="67CFDDC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24.4</w:t>
            </w:r>
          </w:p>
        </w:tc>
        <w:tc>
          <w:tcPr>
            <w:tcW w:w="378" w:type="pct"/>
            <w:tcBorders>
              <w:top w:val="single" w:sz="4" w:space="0" w:color="auto"/>
              <w:left w:val="nil"/>
              <w:bottom w:val="single" w:sz="4" w:space="0" w:color="auto"/>
              <w:right w:val="nil"/>
            </w:tcBorders>
            <w:shd w:val="clear" w:color="auto" w:fill="auto"/>
            <w:noWrap/>
            <w:vAlign w:val="bottom"/>
            <w:hideMark/>
          </w:tcPr>
          <w:p w14:paraId="2C7C51E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70.7</w:t>
            </w:r>
          </w:p>
        </w:tc>
        <w:tc>
          <w:tcPr>
            <w:tcW w:w="381" w:type="pct"/>
            <w:tcBorders>
              <w:top w:val="single" w:sz="4" w:space="0" w:color="auto"/>
              <w:left w:val="nil"/>
              <w:bottom w:val="single" w:sz="4" w:space="0" w:color="auto"/>
              <w:right w:val="nil"/>
            </w:tcBorders>
            <w:shd w:val="clear" w:color="auto" w:fill="auto"/>
            <w:noWrap/>
            <w:vAlign w:val="bottom"/>
            <w:hideMark/>
          </w:tcPr>
          <w:p w14:paraId="385E8AE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13.8</w:t>
            </w:r>
          </w:p>
        </w:tc>
        <w:tc>
          <w:tcPr>
            <w:tcW w:w="378" w:type="pct"/>
            <w:tcBorders>
              <w:top w:val="single" w:sz="4" w:space="0" w:color="auto"/>
              <w:left w:val="nil"/>
              <w:bottom w:val="single" w:sz="4" w:space="0" w:color="auto"/>
              <w:right w:val="nil"/>
            </w:tcBorders>
            <w:shd w:val="clear" w:color="auto" w:fill="auto"/>
            <w:noWrap/>
            <w:vAlign w:val="bottom"/>
            <w:hideMark/>
          </w:tcPr>
          <w:p w14:paraId="1E04333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{"citationID":"a2gk113s4on","properties":{"formattedCitation":"[151]","plainCitation":"[151]","noteIndex":0},"citationItems":[{"id":496,"uris":["http://zotero.org/users/12909065/items/UGH59VGG"],"itemData":{"id":496,"type":"article-journal","abstract":"A good deal of studies have proven that effective exciton dissociation and fast hole transport can operate efficiently in non-fullerene organic photovoltaics (OPVs) despite nearly zero driving force. Even so, whether such a phenomenon is universal and how small the driving force can realize the best photovoltaic performance still require a thorough understanding. Herein, despite the zero driving force based on PM6:F8IC system, a maximum short-circuit current (Jsc) of 23.0 mA/cm2 and high power conversion efficiency (PCE) of 12.2% can still be achieved. Due to the continuously adjustable energy levels can be realized in organic semiconducting alloys including F8IC:IT-4F and F8IC: Y6, the suitable third components can play the role of energy level regulator. Therefore, the HOMO energy level offset (ΔEHOMO(D‑A)) from zero to 0.07 and 0.06 eV is accomplished in the optimized IT-4F and Y6 ternary devices. Consequently, both ternary devices achieved substantially increased PCE of 13.8% and Jsc of 24.4 and 25.2 mA/cm2, respectively. Besides, pseudo-planar heterojunction (PPHJ) devices based on alloyed acceptors through sequential spin-coating method further improve the photovoltaic performance. Our work puts forward the concept of energy level regulator and prove that the ternary alloy strategy has unique advantages and huge research potential in continuously adjusting the driving force. © 2021 Science Press","archive":"Scopus","container-title":"Journal of Energy Chemistry","DOI":"10.1016/j.jechem.2021.05.053","ISSN":"2095-4956","language":"English","page":"133-140","source":"Scopus","title":"Realizing high-performance organic solar cells through precise control of HOMO driving force based on ternary alloy strategy","volume":"65","author":[{"family":"Wan","given":"J."},{"family":"Chen","given":"Z."},{"family":"Zeng","given":"L."},{"family":"Liao","given":"X."},{"family":"He","given":"Q."},{"family":"Liu","given":"S."},{"family":"Zhu","given":"P."},{"family":"Zhu","given":"H."},{"family":"Chen","given":"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[151]</w:t>
            </w:r>
            <w:r w:rsidRPr="00B55044">
              <w:rPr>
                <w:rFonts w:eastAsia="Times New Roman"/>
                <w:color w:val="0000FF"/>
                <w:sz w:val="16"/>
                <w:szCs w:val="16"/>
              </w:rPr>
              <w:fldChar w:fldCharType="end"/>
            </w:r>
          </w:p>
        </w:tc>
      </w:tr>
      <w:tr w:rsidR="00D47774" w:rsidRPr="00B55044" w14:paraId="736ED0E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439A04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257</w:t>
            </w:r>
          </w:p>
        </w:tc>
        <w:tc>
          <w:tcPr>
            <w:tcW w:w="1525" w:type="pct"/>
            <w:tcBorders>
              <w:top w:val="single" w:sz="4" w:space="0" w:color="auto"/>
              <w:left w:val="nil"/>
              <w:bottom w:val="single" w:sz="4" w:space="0" w:color="auto"/>
              <w:right w:val="nil"/>
            </w:tcBorders>
            <w:shd w:val="clear" w:color="auto" w:fill="auto"/>
            <w:noWrap/>
            <w:vAlign w:val="bottom"/>
            <w:hideMark/>
          </w:tcPr>
          <w:p w14:paraId="71C66BA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641CD7C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PM6:N3:PC</w:t>
            </w:r>
            <w:r w:rsidRPr="00B55044">
              <w:rPr>
                <w:rFonts w:eastAsia="Times New Roman"/>
                <w:sz w:val="16"/>
                <w:szCs w:val="16"/>
                <w:vertAlign w:val="subscript"/>
              </w:rPr>
              <w:t>71</w:t>
            </w:r>
            <w:r w:rsidRPr="00B55044">
              <w:rPr>
                <w:rFonts w:eastAsia="Times New Roman"/>
                <w:sz w:val="16"/>
                <w:szCs w:val="16"/>
              </w:rPr>
              <w:t>BM (20%)</w:t>
            </w:r>
          </w:p>
        </w:tc>
        <w:tc>
          <w:tcPr>
            <w:tcW w:w="379" w:type="pct"/>
            <w:tcBorders>
              <w:top w:val="single" w:sz="4" w:space="0" w:color="auto"/>
              <w:left w:val="nil"/>
              <w:bottom w:val="single" w:sz="4" w:space="0" w:color="auto"/>
              <w:right w:val="nil"/>
            </w:tcBorders>
            <w:shd w:val="clear" w:color="auto" w:fill="auto"/>
            <w:noWrap/>
            <w:vAlign w:val="bottom"/>
            <w:hideMark/>
          </w:tcPr>
          <w:p w14:paraId="418F061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26E8C86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22.7</w:t>
            </w:r>
          </w:p>
        </w:tc>
        <w:tc>
          <w:tcPr>
            <w:tcW w:w="378" w:type="pct"/>
            <w:tcBorders>
              <w:top w:val="single" w:sz="4" w:space="0" w:color="auto"/>
              <w:left w:val="nil"/>
              <w:bottom w:val="single" w:sz="4" w:space="0" w:color="auto"/>
              <w:right w:val="nil"/>
            </w:tcBorders>
            <w:shd w:val="clear" w:color="auto" w:fill="auto"/>
            <w:noWrap/>
            <w:vAlign w:val="bottom"/>
            <w:hideMark/>
          </w:tcPr>
          <w:p w14:paraId="4B5C74B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76.6</w:t>
            </w:r>
          </w:p>
        </w:tc>
        <w:tc>
          <w:tcPr>
            <w:tcW w:w="381" w:type="pct"/>
            <w:tcBorders>
              <w:top w:val="single" w:sz="4" w:space="0" w:color="auto"/>
              <w:left w:val="nil"/>
              <w:bottom w:val="single" w:sz="4" w:space="0" w:color="auto"/>
              <w:right w:val="nil"/>
            </w:tcBorders>
            <w:shd w:val="clear" w:color="auto" w:fill="auto"/>
            <w:noWrap/>
            <w:vAlign w:val="bottom"/>
            <w:hideMark/>
          </w:tcPr>
          <w:p w14:paraId="34F6D99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16.7</w:t>
            </w:r>
          </w:p>
        </w:tc>
        <w:tc>
          <w:tcPr>
            <w:tcW w:w="378" w:type="pct"/>
            <w:tcBorders>
              <w:top w:val="single" w:sz="4" w:space="0" w:color="auto"/>
              <w:left w:val="nil"/>
              <w:bottom w:val="single" w:sz="4" w:space="0" w:color="auto"/>
              <w:right w:val="nil"/>
            </w:tcBorders>
            <w:shd w:val="clear" w:color="auto" w:fill="auto"/>
            <w:noWrap/>
            <w:vAlign w:val="bottom"/>
            <w:hideMark/>
          </w:tcPr>
          <w:p w14:paraId="7D063D6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{"citationID":"a2eb0s4dl5f","properties":{"formattedCitation":"[152]","plainCitation":"[152]","noteIndex":0},"citationItems":[{"id":500,"uris":["http://zotero.org/users/12909065/items/2WXN2BTE"],"itemData":{"id":500,"type":"article-journal","abstract":"Ternary solar cells comprising both fullerene and nonfullerene acceptors have shown a rapid increase in power conversion efficiency, which holds promise in commercial applications. Despite the rapid progress, there is still a lack of fundamental understanding of the relations between microstructure and (photovoltaic/mechanical) properties in these ternary blend systems. In this work, the dependence of molecular packing, phase separation, mechanical properties, and photovoltaic performance on acceptor composition of a recently certificated ternary system is thoroughly investigated by combined scattering and microscopy characterizations. It is demonstrated that incorporating a small amount (20% by weight) PC71BM to the PM6:N3 binary blend can afford the best device efficiency and the highest ductility simultaneously. This maximum performance is due to the optimized molecular order, orientational texture, and phase separation. Additionally, increasing the amount of PC71BM results in higher elastic modulus, as probed by two distinct methods. A more crucial observation is that the elastic modulus of ternary blends can be well captured by an extended Halpin–Tsai model. This finding is expected to enable the prediction of the elastic modulus of various kinds of ternary blends that are widely used in solar cells and other electronics. © 2021 Wiley-VCH GmbH","archive":"Scopus","container-title":"Advanced Energy Materials","DOI":"10.1002/aenm.202003506","ISSN":"1614-6832","issue":"8","language":"English","source":"Scopus","title":"Modulation of Morphological, Mechanical, and Photovoltaic Properties of Ternary Organic Photovoltaic Blends for Optimum Operation","volume":"11","author":[{"family":"Peng","given":"Z."},{"family":"Jiang","given":"K."},{"family":"Qin","given":"Y."},{"family":"Li","given":"M."},{"family":"Balar","given":"N."},{"family":"O'Connor","given":"B.T."},{"family":"Ade","given":"H."},{"family":"Ye","given":"L."},{"family":"Geng","given":"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[152]</w:t>
            </w:r>
            <w:r w:rsidRPr="00B55044">
              <w:rPr>
                <w:rFonts w:eastAsia="Times New Roman"/>
                <w:color w:val="0000FF"/>
                <w:sz w:val="16"/>
                <w:szCs w:val="16"/>
              </w:rPr>
              <w:fldChar w:fldCharType="end"/>
            </w:r>
          </w:p>
        </w:tc>
      </w:tr>
      <w:tr w:rsidR="00D47774" w:rsidRPr="00B55044" w14:paraId="4B8033E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D509C7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258</w:t>
            </w:r>
          </w:p>
        </w:tc>
        <w:tc>
          <w:tcPr>
            <w:tcW w:w="1525" w:type="pct"/>
            <w:tcBorders>
              <w:top w:val="single" w:sz="4" w:space="0" w:color="auto"/>
              <w:left w:val="nil"/>
              <w:bottom w:val="single" w:sz="4" w:space="0" w:color="auto"/>
              <w:right w:val="nil"/>
            </w:tcBorders>
            <w:shd w:val="clear" w:color="auto" w:fill="auto"/>
            <w:noWrap/>
            <w:vAlign w:val="bottom"/>
            <w:hideMark/>
          </w:tcPr>
          <w:p w14:paraId="188F286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470E6AB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PM6:N3:PC</w:t>
            </w:r>
            <w:r w:rsidRPr="00B55044">
              <w:rPr>
                <w:rFonts w:eastAsia="Times New Roman"/>
                <w:sz w:val="16"/>
                <w:szCs w:val="16"/>
                <w:vertAlign w:val="subscript"/>
              </w:rPr>
              <w:t>71</w:t>
            </w:r>
            <w:r w:rsidRPr="00B55044">
              <w:rPr>
                <w:rFonts w:eastAsia="Times New Roman"/>
                <w:sz w:val="16"/>
                <w:szCs w:val="16"/>
              </w:rPr>
              <w:t>BM (50%)</w:t>
            </w:r>
          </w:p>
        </w:tc>
        <w:tc>
          <w:tcPr>
            <w:tcW w:w="379" w:type="pct"/>
            <w:tcBorders>
              <w:top w:val="single" w:sz="4" w:space="0" w:color="auto"/>
              <w:left w:val="nil"/>
              <w:bottom w:val="single" w:sz="4" w:space="0" w:color="auto"/>
              <w:right w:val="nil"/>
            </w:tcBorders>
            <w:shd w:val="clear" w:color="auto" w:fill="auto"/>
            <w:noWrap/>
            <w:vAlign w:val="bottom"/>
            <w:hideMark/>
          </w:tcPr>
          <w:p w14:paraId="0F2099C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0.856</w:t>
            </w:r>
          </w:p>
        </w:tc>
        <w:tc>
          <w:tcPr>
            <w:tcW w:w="379" w:type="pct"/>
            <w:tcBorders>
              <w:top w:val="single" w:sz="4" w:space="0" w:color="auto"/>
              <w:left w:val="nil"/>
              <w:bottom w:val="single" w:sz="4" w:space="0" w:color="auto"/>
              <w:right w:val="nil"/>
            </w:tcBorders>
            <w:shd w:val="clear" w:color="auto" w:fill="auto"/>
            <w:noWrap/>
            <w:vAlign w:val="bottom"/>
            <w:hideMark/>
          </w:tcPr>
          <w:p w14:paraId="70B8B3C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15.8</w:t>
            </w:r>
          </w:p>
        </w:tc>
        <w:tc>
          <w:tcPr>
            <w:tcW w:w="378" w:type="pct"/>
            <w:tcBorders>
              <w:top w:val="single" w:sz="4" w:space="0" w:color="auto"/>
              <w:left w:val="nil"/>
              <w:bottom w:val="single" w:sz="4" w:space="0" w:color="auto"/>
              <w:right w:val="nil"/>
            </w:tcBorders>
            <w:shd w:val="clear" w:color="auto" w:fill="auto"/>
            <w:noWrap/>
            <w:vAlign w:val="bottom"/>
            <w:hideMark/>
          </w:tcPr>
          <w:p w14:paraId="78D5812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65.3</w:t>
            </w:r>
          </w:p>
        </w:tc>
        <w:tc>
          <w:tcPr>
            <w:tcW w:w="381" w:type="pct"/>
            <w:tcBorders>
              <w:top w:val="single" w:sz="4" w:space="0" w:color="auto"/>
              <w:left w:val="nil"/>
              <w:bottom w:val="single" w:sz="4" w:space="0" w:color="auto"/>
              <w:right w:val="nil"/>
            </w:tcBorders>
            <w:shd w:val="clear" w:color="auto" w:fill="auto"/>
            <w:noWrap/>
            <w:vAlign w:val="bottom"/>
            <w:hideMark/>
          </w:tcPr>
          <w:p w14:paraId="31C8A7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12.7</w:t>
            </w:r>
          </w:p>
        </w:tc>
        <w:tc>
          <w:tcPr>
            <w:tcW w:w="378" w:type="pct"/>
            <w:tcBorders>
              <w:top w:val="single" w:sz="4" w:space="0" w:color="auto"/>
              <w:left w:val="nil"/>
              <w:bottom w:val="single" w:sz="4" w:space="0" w:color="auto"/>
              <w:right w:val="nil"/>
            </w:tcBorders>
            <w:shd w:val="clear" w:color="auto" w:fill="auto"/>
            <w:noWrap/>
            <w:vAlign w:val="bottom"/>
            <w:hideMark/>
          </w:tcPr>
          <w:p w14:paraId="79C6679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{"citationID":"a1k0rn09120","properties":{"formattedCitation":"[152]","plainCitation":"[152]","noteIndex":0},"citationItems":[{"id":500,"uris":["http://zotero.org/users/12909065/items/2WXN2BTE"],"itemData":{"id":500,"type":"article-journal","abstract":"Ternary solar cells comprising both fullerene and nonfullerene acceptors have shown a rapid increase in power conversion efficiency, which holds promise in commercial applications. Despite the rapid progress, there is still a lack of fundamental understanding of the relations between microstructure and (photovoltaic/mechanical) properties in these ternary blend systems. In this work, the dependence of molecular packing, phase separation, mechanical properties, and photovoltaic performance on acceptor composition of a recently certificated ternary system is thoroughly investigated by combined scattering and microscopy characterizations. It is demonstrated that incorporating a small amount (20% by weight) PC71BM to the PM6:N3 binary blend can afford the best device efficiency and the highest ductility simultaneously. This maximum performance is due to the optimized molecular order, orientational texture, and phase separation. Additionally, increasing the amount of PC71BM results in higher elastic modulus, as probed by two distinct methods. A more crucial observation is that the elastic modulus of ternary blends can be well captured by an extended Halpin–Tsai model. This finding is expected to enable the prediction of the elastic modulus of various kinds of ternary blends that are widely used in solar cells and other electronics. © 2021 Wiley-VCH GmbH","archive":"Scopus","container-title":"Advanced Energy Materials","DOI":"10.1002/aenm.202003506","ISSN":"1614-6832","issue":"8","language":"English","source":"Scopus","title":"Modulation of Morphological, Mechanical, and Photovoltaic Properties of Ternary Organic Photovoltaic Blends for Optimum Operation","volume":"11","author":[{"family":"Peng","given":"Z."},{"family":"Jiang","given":"K."},{"family":"Qin","given":"Y."},{"family":"Li","given":"M."},{"family":"Balar","given":"N."},{"family":"O'Connor","given":"B.T."},{"family":"Ade","given":"H."},{"family":"Ye","given":"L."},{"family":"Geng","given":"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[152]</w:t>
            </w:r>
            <w:r w:rsidRPr="00B55044">
              <w:rPr>
                <w:rFonts w:eastAsia="Times New Roman"/>
                <w:color w:val="0000FF"/>
                <w:sz w:val="16"/>
                <w:szCs w:val="16"/>
              </w:rPr>
              <w:fldChar w:fldCharType="end"/>
            </w:r>
          </w:p>
        </w:tc>
      </w:tr>
      <w:tr w:rsidR="00D47774" w:rsidRPr="00B55044" w14:paraId="7934FE8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053826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lastRenderedPageBreak/>
              <w:t>259</w:t>
            </w:r>
          </w:p>
        </w:tc>
        <w:tc>
          <w:tcPr>
            <w:tcW w:w="1525" w:type="pct"/>
            <w:tcBorders>
              <w:top w:val="single" w:sz="4" w:space="0" w:color="auto"/>
              <w:left w:val="nil"/>
              <w:bottom w:val="single" w:sz="4" w:space="0" w:color="auto"/>
              <w:right w:val="nil"/>
            </w:tcBorders>
            <w:shd w:val="clear" w:color="auto" w:fill="auto"/>
            <w:noWrap/>
            <w:vAlign w:val="bottom"/>
            <w:hideMark/>
          </w:tcPr>
          <w:p w14:paraId="6EBD80D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77042AB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PM6:N3:PC</w:t>
            </w:r>
            <w:r w:rsidRPr="00B55044">
              <w:rPr>
                <w:rFonts w:eastAsia="Times New Roman"/>
                <w:sz w:val="16"/>
                <w:szCs w:val="16"/>
                <w:vertAlign w:val="subscript"/>
              </w:rPr>
              <w:t>71</w:t>
            </w:r>
            <w:r w:rsidRPr="00B55044">
              <w:rPr>
                <w:rFonts w:eastAsia="Times New Roman"/>
                <w:sz w:val="16"/>
                <w:szCs w:val="16"/>
              </w:rPr>
              <w:t>BM (80%)</w:t>
            </w:r>
          </w:p>
        </w:tc>
        <w:tc>
          <w:tcPr>
            <w:tcW w:w="379" w:type="pct"/>
            <w:tcBorders>
              <w:top w:val="single" w:sz="4" w:space="0" w:color="auto"/>
              <w:left w:val="nil"/>
              <w:bottom w:val="single" w:sz="4" w:space="0" w:color="auto"/>
              <w:right w:val="nil"/>
            </w:tcBorders>
            <w:shd w:val="clear" w:color="auto" w:fill="auto"/>
            <w:noWrap/>
            <w:vAlign w:val="bottom"/>
            <w:hideMark/>
          </w:tcPr>
          <w:p w14:paraId="75E6B4D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0.915</w:t>
            </w:r>
          </w:p>
        </w:tc>
        <w:tc>
          <w:tcPr>
            <w:tcW w:w="379" w:type="pct"/>
            <w:tcBorders>
              <w:top w:val="single" w:sz="4" w:space="0" w:color="auto"/>
              <w:left w:val="nil"/>
              <w:bottom w:val="single" w:sz="4" w:space="0" w:color="auto"/>
              <w:right w:val="nil"/>
            </w:tcBorders>
            <w:shd w:val="clear" w:color="auto" w:fill="auto"/>
            <w:noWrap/>
            <w:vAlign w:val="bottom"/>
            <w:hideMark/>
          </w:tcPr>
          <w:p w14:paraId="2EB5B0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w:t>
            </w:r>
          </w:p>
        </w:tc>
        <w:tc>
          <w:tcPr>
            <w:tcW w:w="378" w:type="pct"/>
            <w:tcBorders>
              <w:top w:val="single" w:sz="4" w:space="0" w:color="auto"/>
              <w:left w:val="nil"/>
              <w:bottom w:val="single" w:sz="4" w:space="0" w:color="auto"/>
              <w:right w:val="nil"/>
            </w:tcBorders>
            <w:shd w:val="clear" w:color="auto" w:fill="auto"/>
            <w:noWrap/>
            <w:vAlign w:val="bottom"/>
            <w:hideMark/>
          </w:tcPr>
          <w:p w14:paraId="0B40B7C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49.3</w:t>
            </w:r>
          </w:p>
        </w:tc>
        <w:tc>
          <w:tcPr>
            <w:tcW w:w="381" w:type="pct"/>
            <w:tcBorders>
              <w:top w:val="single" w:sz="4" w:space="0" w:color="auto"/>
              <w:left w:val="nil"/>
              <w:bottom w:val="single" w:sz="4" w:space="0" w:color="auto"/>
              <w:right w:val="nil"/>
            </w:tcBorders>
            <w:shd w:val="clear" w:color="auto" w:fill="auto"/>
            <w:noWrap/>
            <w:vAlign w:val="bottom"/>
            <w:hideMark/>
          </w:tcPr>
          <w:p w14:paraId="4CD622C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w:t>
            </w:r>
          </w:p>
        </w:tc>
        <w:tc>
          <w:tcPr>
            <w:tcW w:w="378" w:type="pct"/>
            <w:tcBorders>
              <w:top w:val="single" w:sz="4" w:space="0" w:color="auto"/>
              <w:left w:val="nil"/>
              <w:bottom w:val="single" w:sz="4" w:space="0" w:color="auto"/>
              <w:right w:val="nil"/>
            </w:tcBorders>
            <w:shd w:val="clear" w:color="auto" w:fill="auto"/>
            <w:noWrap/>
            <w:vAlign w:val="bottom"/>
            <w:hideMark/>
          </w:tcPr>
          <w:p w14:paraId="4E00366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{"citationID":"a23ft8cc5db","properties":{"formattedCitation":"[152]","plainCitation":"[152]","noteIndex":0},"citationItems":[{"id":500,"uris":["http://zotero.org/users/12909065/items/2WXN2BTE"],"itemData":{"id":500,"type":"article-journal","abstract":"Ternary solar cells comprising both fullerene and nonfullerene acceptors have shown a rapid increase in power conversion efficiency, which holds promise in commercial applications. Despite the rapid progress, there is still a lack of fundamental understanding of the relations between microstructure and (photovoltaic/mechanical) properties in these ternary blend systems. In this work, the dependence of molecular packing, phase separation, mechanical properties, and photovoltaic performance on acceptor composition of a recently certificated ternary system is thoroughly investigated by combined scattering and microscopy characterizations. It is demonstrated that incorporating a small amount (20% by weight) PC71BM to the PM6:N3 binary blend can afford the best device efficiency and the highest ductility simultaneously. This maximum performance is due to the optimized molecular order, orientational texture, and phase separation. Additionally, increasing the amount of PC71BM results in higher elastic modulus, as probed by two distinct methods. A more crucial observation is that the elastic modulus of ternary blends can be well captured by an extended Halpin–Tsai model. This finding is expected to enable the prediction of the elastic modulus of various kinds of ternary blends that are widely used in solar cells and other electronics. © 2021 Wiley-VCH GmbH","archive":"Scopus","container-title":"Advanced Energy Materials","DOI":"10.1002/aenm.202003506","ISSN":"1614-6832","issue":"8","language":"English","source":"Scopus","title":"Modulation of Morphological, Mechanical, and Photovoltaic Properties of Ternary Organic Photovoltaic Blends for Optimum Operation","volume":"11","author":[{"family":"Peng","given":"Z."},{"family":"Jiang","given":"K."},{"family":"Qin","given":"Y."},{"family":"Li","given":"M."},{"family":"Balar","given":"N."},{"family":"O'Connor","given":"B.T."},{"family":"Ade","given":"H."},{"family":"Ye","given":"L."},{"family":"Geng","given":"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[152]</w:t>
            </w:r>
            <w:r w:rsidRPr="00B55044">
              <w:rPr>
                <w:rFonts w:eastAsia="Times New Roman"/>
                <w:color w:val="0000FF"/>
                <w:sz w:val="16"/>
                <w:szCs w:val="16"/>
              </w:rPr>
              <w:fldChar w:fldCharType="end"/>
            </w:r>
          </w:p>
        </w:tc>
      </w:tr>
      <w:tr w:rsidR="00D47774" w:rsidRPr="00B55044" w14:paraId="0C663DD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114DEA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260</w:t>
            </w:r>
          </w:p>
        </w:tc>
        <w:tc>
          <w:tcPr>
            <w:tcW w:w="1525" w:type="pct"/>
            <w:tcBorders>
              <w:top w:val="single" w:sz="4" w:space="0" w:color="auto"/>
              <w:left w:val="nil"/>
              <w:bottom w:val="single" w:sz="4" w:space="0" w:color="auto"/>
              <w:right w:val="nil"/>
            </w:tcBorders>
            <w:shd w:val="clear" w:color="auto" w:fill="auto"/>
            <w:noWrap/>
            <w:vAlign w:val="bottom"/>
            <w:hideMark/>
          </w:tcPr>
          <w:p w14:paraId="18AE78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7848D37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PM6:Y6:TPD-3F</w:t>
            </w:r>
          </w:p>
        </w:tc>
        <w:tc>
          <w:tcPr>
            <w:tcW w:w="379" w:type="pct"/>
            <w:tcBorders>
              <w:top w:val="single" w:sz="4" w:space="0" w:color="auto"/>
              <w:left w:val="nil"/>
              <w:bottom w:val="single" w:sz="4" w:space="0" w:color="auto"/>
              <w:right w:val="nil"/>
            </w:tcBorders>
            <w:shd w:val="clear" w:color="auto" w:fill="auto"/>
            <w:noWrap/>
            <w:vAlign w:val="bottom"/>
            <w:hideMark/>
          </w:tcPr>
          <w:p w14:paraId="1CE5973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w:t>
            </w:r>
          </w:p>
        </w:tc>
        <w:tc>
          <w:tcPr>
            <w:tcW w:w="379" w:type="pct"/>
            <w:tcBorders>
              <w:top w:val="single" w:sz="4" w:space="0" w:color="auto"/>
              <w:left w:val="nil"/>
              <w:bottom w:val="single" w:sz="4" w:space="0" w:color="auto"/>
              <w:right w:val="nil"/>
            </w:tcBorders>
            <w:shd w:val="clear" w:color="auto" w:fill="auto"/>
            <w:noWrap/>
            <w:vAlign w:val="bottom"/>
            <w:hideMark/>
          </w:tcPr>
          <w:p w14:paraId="2EE721E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25.6</w:t>
            </w:r>
          </w:p>
        </w:tc>
        <w:tc>
          <w:tcPr>
            <w:tcW w:w="378" w:type="pct"/>
            <w:tcBorders>
              <w:top w:val="single" w:sz="4" w:space="0" w:color="auto"/>
              <w:left w:val="nil"/>
              <w:bottom w:val="single" w:sz="4" w:space="0" w:color="auto"/>
              <w:right w:val="nil"/>
            </w:tcBorders>
            <w:shd w:val="clear" w:color="auto" w:fill="auto"/>
            <w:noWrap/>
            <w:vAlign w:val="bottom"/>
            <w:hideMark/>
          </w:tcPr>
          <w:p w14:paraId="740B62B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73.4</w:t>
            </w:r>
          </w:p>
        </w:tc>
        <w:tc>
          <w:tcPr>
            <w:tcW w:w="381" w:type="pct"/>
            <w:tcBorders>
              <w:top w:val="single" w:sz="4" w:space="0" w:color="auto"/>
              <w:left w:val="nil"/>
              <w:bottom w:val="single" w:sz="4" w:space="0" w:color="auto"/>
              <w:right w:val="nil"/>
            </w:tcBorders>
            <w:shd w:val="clear" w:color="auto" w:fill="auto"/>
            <w:noWrap/>
            <w:vAlign w:val="bottom"/>
            <w:hideMark/>
          </w:tcPr>
          <w:p w14:paraId="73D8011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w:t>
            </w:r>
          </w:p>
        </w:tc>
        <w:tc>
          <w:tcPr>
            <w:tcW w:w="378" w:type="pct"/>
            <w:tcBorders>
              <w:top w:val="single" w:sz="4" w:space="0" w:color="auto"/>
              <w:left w:val="nil"/>
              <w:bottom w:val="single" w:sz="4" w:space="0" w:color="auto"/>
              <w:right w:val="nil"/>
            </w:tcBorders>
            <w:shd w:val="clear" w:color="auto" w:fill="auto"/>
            <w:noWrap/>
            <w:vAlign w:val="bottom"/>
            <w:hideMark/>
          </w:tcPr>
          <w:p w14:paraId="40AEC91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{"citationID":"anjn6p5f60","properties":{"formattedCitation":"[153]","plainCitation":"[153]","noteIndex":0},"citationItems":[{"id":501,"uris":["http://zotero.org/users/12909065/items/MZLDA5R9"],"itemData":{"id":501,"type":"article-journal","abstract":"Non-fullerene organic photovoltaics (OPVs) have displayed the highest power conversion efficiencies (PCEs) among OPVs. Herein, we describe a two-donor (PM6, TPD-3F)/one-acceptor (Y6) ternary blend having an optimized blend morphology that leads to improved OPV performance. Because TPD-3F has a HOMO energy level deeper than that of PM6, the value of VOC of the corresponding ternary device increased. Good miscibility between PM6 and TPD-3F, in conjunction with device optimization through the use of 1-chloronaphthalene as an additive, provided an optimized ternary blend morphology for efficient exciton dissociation and carrier transport and, therefore, larger PCE. Compared with the preoptimized PM6:Y6 binary device, the ternary device functioned with improvements in its short-circuit current density, value of VOC, and fill factor. As a result, the device PCE improved from 15.5 ± 0.19 to 16.6 ± 0.25% under AM 1.5G (100 mW cm-2) irradiation. The champion cell exhibited a PCE of 17.0% - a value that is one of the highest for a ternary OPV. Furthermore, such devices exhibited outstanding shelf lifetimes, with long-term stability in air (25 °C, 40% humidity) without encapsulation; the performance remained high (at 15.4%) after storage for 820 h. © 2020 American Chemical Society.","archive":"Scopus","container-title":"ACS Applied Materials and Interfaces","DOI":"10.1021/acsami.0c19198","ISSN":"1944-8244","issue":"1","language":"English","page":"1076-1085","source":"Scopus","title":"Improved Blend Film Morphology and Free Carrier Generation Provide a High-Performance Ternary Polymer Solar Cell","volume":"13","author":[{"family":"Jiang","given":"B.-H."},{"family":"Wang","given":"Y.-P."},{"family":"Liao","given":"C.-Y."},{"family":"Chang","given":"Y.-M."},{"family":"Su","given":"Y.-W."},{"family":"Jeng","given":"R.-J."},{"family":"Chen","given":"C.-P."}],"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[153]</w:t>
            </w:r>
            <w:r w:rsidRPr="00B55044">
              <w:rPr>
                <w:rFonts w:eastAsia="Times New Roman"/>
                <w:color w:val="0000FF"/>
                <w:sz w:val="16"/>
                <w:szCs w:val="16"/>
              </w:rPr>
              <w:fldChar w:fldCharType="end"/>
            </w:r>
          </w:p>
        </w:tc>
      </w:tr>
      <w:tr w:rsidR="00D47774" w:rsidRPr="00B55044" w14:paraId="41DF0F7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95E646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261</w:t>
            </w:r>
          </w:p>
        </w:tc>
        <w:tc>
          <w:tcPr>
            <w:tcW w:w="1525" w:type="pct"/>
            <w:tcBorders>
              <w:top w:val="single" w:sz="4" w:space="0" w:color="auto"/>
              <w:left w:val="nil"/>
              <w:bottom w:val="single" w:sz="4" w:space="0" w:color="auto"/>
              <w:right w:val="nil"/>
            </w:tcBorders>
            <w:shd w:val="clear" w:color="auto" w:fill="auto"/>
            <w:noWrap/>
            <w:vAlign w:val="bottom"/>
            <w:hideMark/>
          </w:tcPr>
          <w:p w14:paraId="453F79D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2F3241E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PM6:Y6:DFBT-TT6 (1%)</w:t>
            </w:r>
          </w:p>
        </w:tc>
        <w:tc>
          <w:tcPr>
            <w:tcW w:w="379" w:type="pct"/>
            <w:tcBorders>
              <w:top w:val="single" w:sz="4" w:space="0" w:color="auto"/>
              <w:left w:val="nil"/>
              <w:bottom w:val="single" w:sz="4" w:space="0" w:color="auto"/>
              <w:right w:val="nil"/>
            </w:tcBorders>
            <w:shd w:val="clear" w:color="auto" w:fill="auto"/>
            <w:noWrap/>
            <w:vAlign w:val="bottom"/>
            <w:hideMark/>
          </w:tcPr>
          <w:p w14:paraId="36177DC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0.846</w:t>
            </w:r>
          </w:p>
        </w:tc>
        <w:tc>
          <w:tcPr>
            <w:tcW w:w="379" w:type="pct"/>
            <w:tcBorders>
              <w:top w:val="single" w:sz="4" w:space="0" w:color="auto"/>
              <w:left w:val="nil"/>
              <w:bottom w:val="single" w:sz="4" w:space="0" w:color="auto"/>
              <w:right w:val="nil"/>
            </w:tcBorders>
            <w:shd w:val="clear" w:color="auto" w:fill="auto"/>
            <w:noWrap/>
            <w:vAlign w:val="bottom"/>
            <w:hideMark/>
          </w:tcPr>
          <w:p w14:paraId="3E4232D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w:t>
            </w:r>
          </w:p>
        </w:tc>
        <w:tc>
          <w:tcPr>
            <w:tcW w:w="378" w:type="pct"/>
            <w:tcBorders>
              <w:top w:val="single" w:sz="4" w:space="0" w:color="auto"/>
              <w:left w:val="nil"/>
              <w:bottom w:val="single" w:sz="4" w:space="0" w:color="auto"/>
              <w:right w:val="nil"/>
            </w:tcBorders>
            <w:shd w:val="clear" w:color="auto" w:fill="auto"/>
            <w:noWrap/>
            <w:vAlign w:val="bottom"/>
            <w:hideMark/>
          </w:tcPr>
          <w:p w14:paraId="0CA4FDE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w:t>
            </w:r>
          </w:p>
        </w:tc>
        <w:tc>
          <w:tcPr>
            <w:tcW w:w="381" w:type="pct"/>
            <w:tcBorders>
              <w:top w:val="single" w:sz="4" w:space="0" w:color="auto"/>
              <w:left w:val="nil"/>
              <w:bottom w:val="single" w:sz="4" w:space="0" w:color="auto"/>
              <w:right w:val="nil"/>
            </w:tcBorders>
            <w:shd w:val="clear" w:color="auto" w:fill="auto"/>
            <w:noWrap/>
            <w:vAlign w:val="bottom"/>
            <w:hideMark/>
          </w:tcPr>
          <w:p w14:paraId="30AD6FA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16.08</w:t>
            </w:r>
          </w:p>
        </w:tc>
        <w:tc>
          <w:tcPr>
            <w:tcW w:w="378" w:type="pct"/>
            <w:tcBorders>
              <w:top w:val="single" w:sz="4" w:space="0" w:color="auto"/>
              <w:left w:val="nil"/>
              <w:bottom w:val="single" w:sz="4" w:space="0" w:color="auto"/>
              <w:right w:val="nil"/>
            </w:tcBorders>
            <w:shd w:val="clear" w:color="auto" w:fill="auto"/>
            <w:noWrap/>
            <w:vAlign w:val="bottom"/>
            <w:hideMark/>
          </w:tcPr>
          <w:p w14:paraId="08A1CA6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{"citationID":"al2rqi5uq8","properties":{"formattedCitation":"[154]","plainCitation":"[154]","noteIndex":0},"citationItems":[{"id":502,"uris":["http://zotero.org/users/12909065/items/4I7NE6MN"],"itemData":{"id":502,"type":"article-journal","abstract":"Liquid crystal small molecules (LCSMs) are manifested as the effective additives to regulate the morphology of active layers and elevate the performance of ternary organic solar cells (TOSCs) in fullerene systems. However, the current studies for TOSCs based on efficient LCSMs are most out of the LC phase transition temperature, which is not conducive to accurately disclosure the effect of LCSMs on the morphology evolution. Besides, the inner working mechanism of LCSMs has not been investigated systematically and in-depth. Herein, a structurally simple donor-acceptor-donor type LCSM DFBT-TT6 with a low liquid crystal phase transition temperature is utilized as the third component to construct TOSCs based on a highly efficient nonfullerene system PM6:Y6. To unveil the work mechanism of LCSMs on the TOSCs performance and eliminate other interferences simultaneously, a structurally similar non-LCSM DFBT-DT6 with a low glass-transition temperature is further synthesized for a more clear comparison. Interestingly, the addition of DFBT-TT6 can delicately control the crystallinity and phase separation of PM6:Y6, rendering the optimized morphology with only 3 wt % DFBT-TT6. In contrast, the non-LCSM DFBT-DT6 shows a negligible effect on morphology regulation, indicating the unique ability of LC molecules in morphology control. The underlying working mechanism is revealed by the combined study of miscibility and the wetting coefficient of the blends, elucidating that the LCSM DFBT-TT6 has good compatibility with PM6 and Y6. Therefore, DFBT-TT6 is more prone to being located at the interface of PM6 and Y6, and it is energetically favorable for charge transfer. The aforementioned favorable morphology evolution is associated with improved crystallinity, phase separation, charge transfer, exciton dissociation, and collection efficiency, ultimately boosting the power conversion efficiency of TOSCs from 15.76% to 17.05% with a remarkable short-circuit current density of 26.56 mA/cm2. This work not only offers deep insight into the LCSM induced morphology evolution but also puts forward an affordable strategy to achieve high-performance TOSCs. © 2020 American Chemical Society.","archive":"Scopus","container-title":"Chemistry of Materials","DOI":"10.1021/acs.chemmater.0c04297","ISSN":"0897-4756","issue":"1","language":"English","page":"430-440","source":"Scopus","title":"Regulating Favorable Morphology Evolution by a Simple Liquid-Crystalline Small Molecule Enables Organic Solar Cells with over 17% Efficiency and a Remarkable Jscof 26.56 mA/cm2","volume":"33","author":[{"family":"Liao","given":"X."},{"family":"He","given":"Q."},{"family":"Zhou","given":"G."},{"family":"Xia","given":"X."},{"family":"Zhu","given":"P."},{"family":"Xing","given":"Z."},{"family":"Zhu","given":"H."},{"family":"Yao","given":"Z."},{"family":"Lu","given":"X."},{"family":"Chen","given":"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[154]</w:t>
            </w:r>
            <w:r w:rsidRPr="00B55044">
              <w:rPr>
                <w:rFonts w:eastAsia="Times New Roman"/>
                <w:color w:val="0000FF"/>
                <w:sz w:val="16"/>
                <w:szCs w:val="16"/>
              </w:rPr>
              <w:fldChar w:fldCharType="end"/>
            </w:r>
          </w:p>
        </w:tc>
      </w:tr>
      <w:tr w:rsidR="00D47774" w:rsidRPr="00B55044" w14:paraId="1C324E6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56007B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262</w:t>
            </w:r>
          </w:p>
        </w:tc>
        <w:tc>
          <w:tcPr>
            <w:tcW w:w="1525" w:type="pct"/>
            <w:tcBorders>
              <w:top w:val="single" w:sz="4" w:space="0" w:color="auto"/>
              <w:left w:val="nil"/>
              <w:bottom w:val="single" w:sz="4" w:space="0" w:color="auto"/>
              <w:right w:val="nil"/>
            </w:tcBorders>
            <w:shd w:val="clear" w:color="auto" w:fill="auto"/>
            <w:noWrap/>
            <w:vAlign w:val="bottom"/>
            <w:hideMark/>
          </w:tcPr>
          <w:p w14:paraId="7015C58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0E4702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PM6:Y6:DFBT-TT6 (3%)</w:t>
            </w:r>
          </w:p>
        </w:tc>
        <w:tc>
          <w:tcPr>
            <w:tcW w:w="379" w:type="pct"/>
            <w:tcBorders>
              <w:top w:val="single" w:sz="4" w:space="0" w:color="auto"/>
              <w:left w:val="nil"/>
              <w:bottom w:val="single" w:sz="4" w:space="0" w:color="auto"/>
              <w:right w:val="nil"/>
            </w:tcBorders>
            <w:shd w:val="clear" w:color="auto" w:fill="auto"/>
            <w:noWrap/>
            <w:vAlign w:val="bottom"/>
            <w:hideMark/>
          </w:tcPr>
          <w:p w14:paraId="554A7A0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0.845</w:t>
            </w:r>
          </w:p>
        </w:tc>
        <w:tc>
          <w:tcPr>
            <w:tcW w:w="379" w:type="pct"/>
            <w:tcBorders>
              <w:top w:val="single" w:sz="4" w:space="0" w:color="auto"/>
              <w:left w:val="nil"/>
              <w:bottom w:val="single" w:sz="4" w:space="0" w:color="auto"/>
              <w:right w:val="nil"/>
            </w:tcBorders>
            <w:shd w:val="clear" w:color="auto" w:fill="auto"/>
            <w:noWrap/>
            <w:vAlign w:val="bottom"/>
            <w:hideMark/>
          </w:tcPr>
          <w:p w14:paraId="253746E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26.56</w:t>
            </w:r>
          </w:p>
        </w:tc>
        <w:tc>
          <w:tcPr>
            <w:tcW w:w="378" w:type="pct"/>
            <w:tcBorders>
              <w:top w:val="single" w:sz="4" w:space="0" w:color="auto"/>
              <w:left w:val="nil"/>
              <w:bottom w:val="single" w:sz="4" w:space="0" w:color="auto"/>
              <w:right w:val="nil"/>
            </w:tcBorders>
            <w:shd w:val="clear" w:color="auto" w:fill="auto"/>
            <w:noWrap/>
            <w:vAlign w:val="bottom"/>
            <w:hideMark/>
          </w:tcPr>
          <w:p w14:paraId="54A75A1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w:t>
            </w:r>
          </w:p>
        </w:tc>
        <w:tc>
          <w:tcPr>
            <w:tcW w:w="381" w:type="pct"/>
            <w:tcBorders>
              <w:top w:val="single" w:sz="4" w:space="0" w:color="auto"/>
              <w:left w:val="nil"/>
              <w:bottom w:val="single" w:sz="4" w:space="0" w:color="auto"/>
              <w:right w:val="nil"/>
            </w:tcBorders>
            <w:shd w:val="clear" w:color="auto" w:fill="auto"/>
            <w:noWrap/>
            <w:vAlign w:val="bottom"/>
            <w:hideMark/>
          </w:tcPr>
          <w:p w14:paraId="3338063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17.05</w:t>
            </w:r>
          </w:p>
        </w:tc>
        <w:tc>
          <w:tcPr>
            <w:tcW w:w="378" w:type="pct"/>
            <w:tcBorders>
              <w:top w:val="single" w:sz="4" w:space="0" w:color="auto"/>
              <w:left w:val="nil"/>
              <w:bottom w:val="single" w:sz="4" w:space="0" w:color="auto"/>
              <w:right w:val="nil"/>
            </w:tcBorders>
            <w:shd w:val="clear" w:color="auto" w:fill="auto"/>
            <w:noWrap/>
            <w:vAlign w:val="bottom"/>
            <w:hideMark/>
          </w:tcPr>
          <w:p w14:paraId="0753280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{"citationID":"a2oh8rlq7ho","properties":{"formattedCitation":"[154]","plainCitation":"[154]","noteIndex":0},"citationItems":[{"id":502,"uris":["http://zotero.org/users/12909065/items/4I7NE6MN"],"itemData":{"id":502,"type":"article-journal","abstract":"Liquid crystal small molecules (LCSMs) are manifested as the effective additives to regulate the morphology of active layers and elevate the performance of ternary organic solar cells (TOSCs) in fullerene systems. However, the current studies for TOSCs based on efficient LCSMs are most out of the LC phase transition temperature, which is not conducive to accurately disclosure the effect of LCSMs on the morphology evolution. Besides, the inner working mechanism of LCSMs has not been investigated systematically and in-depth. Herein, a structurally simple donor-acceptor-donor type LCSM DFBT-TT6 with a low liquid crystal phase transition temperature is utilized as the third component to construct TOSCs based on a highly efficient nonfullerene system PM6:Y6. To unveil the work mechanism of LCSMs on the TOSCs performance and eliminate other interferences simultaneously, a structurally similar non-LCSM DFBT-DT6 with a low glass-transition temperature is further synthesized for a more clear comparison. Interestingly, the addition of DFBT-TT6 can delicately control the crystallinity and phase separation of PM6:Y6, rendering the optimized morphology with only 3 wt % DFBT-TT6. In contrast, the non-LCSM DFBT-DT6 shows a negligible effect on morphology regulation, indicating the unique ability of LC molecules in morphology control. The underlying working mechanism is revealed by the combined study of miscibility and the wetting coefficient of the blends, elucidating that the LCSM DFBT-TT6 has good compatibility with PM6 and Y6. Therefore, DFBT-TT6 is more prone to being located at the interface of PM6 and Y6, and it is energetically favorable for charge transfer. The aforementioned favorable morphology evolution is associated with improved crystallinity, phase separation, charge transfer, exciton dissociation, and collection efficiency, ultimately boosting the power conversion efficiency of TOSCs from 15.76% to 17.05% with a remarkable short-circuit current density of 26.56 mA/cm2. This work not only offers deep insight into the LCSM induced morphology evolution but also puts forward an affordable strategy to achieve high-performance TOSCs. © 2020 American Chemical Society.","archive":"Scopus","container-title":"Chemistry of Materials","DOI":"10.1021/acs.chemmater.0c04297","ISSN":"0897-4756","issue":"1","language":"English","page":"430-440","source":"Scopus","title":"Regulating Favorable Morphology Evolution by a Simple Liquid-Crystalline Small Molecule Enables Organic Solar Cells with over 17% Efficiency and a Remarkable Jscof 26.56 mA/cm2","volume":"33","author":[{"family":"Liao","given":"X."},{"family":"He","given":"Q."},{"family":"Zhou","given":"G."},{"family":"Xia","given":"X."},{"family":"Zhu","given":"P."},{"family":"Xing","given":"Z."},{"family":"Zhu","given":"H."},{"family":"Yao","given":"Z."},{"family":"Lu","given":"X."},{"family":"Chen","given":"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[154]</w:t>
            </w:r>
            <w:r w:rsidRPr="00B55044">
              <w:rPr>
                <w:rFonts w:eastAsia="Times New Roman"/>
                <w:color w:val="0000FF"/>
                <w:sz w:val="16"/>
                <w:szCs w:val="16"/>
              </w:rPr>
              <w:fldChar w:fldCharType="end"/>
            </w:r>
          </w:p>
        </w:tc>
      </w:tr>
      <w:tr w:rsidR="00D47774" w:rsidRPr="00B55044" w14:paraId="09EFC36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0F7C84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263</w:t>
            </w:r>
          </w:p>
        </w:tc>
        <w:tc>
          <w:tcPr>
            <w:tcW w:w="1525" w:type="pct"/>
            <w:tcBorders>
              <w:top w:val="single" w:sz="4" w:space="0" w:color="auto"/>
              <w:left w:val="nil"/>
              <w:bottom w:val="single" w:sz="4" w:space="0" w:color="auto"/>
              <w:right w:val="nil"/>
            </w:tcBorders>
            <w:shd w:val="clear" w:color="auto" w:fill="auto"/>
            <w:noWrap/>
            <w:vAlign w:val="bottom"/>
            <w:hideMark/>
          </w:tcPr>
          <w:p w14:paraId="4CCAF80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2198F8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PM6:Y6:DFBT-TT6 (5%)</w:t>
            </w:r>
          </w:p>
        </w:tc>
        <w:tc>
          <w:tcPr>
            <w:tcW w:w="379" w:type="pct"/>
            <w:tcBorders>
              <w:top w:val="single" w:sz="4" w:space="0" w:color="auto"/>
              <w:left w:val="nil"/>
              <w:bottom w:val="single" w:sz="4" w:space="0" w:color="auto"/>
              <w:right w:val="nil"/>
            </w:tcBorders>
            <w:shd w:val="clear" w:color="auto" w:fill="auto"/>
            <w:noWrap/>
            <w:vAlign w:val="bottom"/>
            <w:hideMark/>
          </w:tcPr>
          <w:p w14:paraId="0479CBA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0.843</w:t>
            </w:r>
          </w:p>
        </w:tc>
        <w:tc>
          <w:tcPr>
            <w:tcW w:w="379" w:type="pct"/>
            <w:tcBorders>
              <w:top w:val="single" w:sz="4" w:space="0" w:color="auto"/>
              <w:left w:val="nil"/>
              <w:bottom w:val="single" w:sz="4" w:space="0" w:color="auto"/>
              <w:right w:val="nil"/>
            </w:tcBorders>
            <w:shd w:val="clear" w:color="auto" w:fill="auto"/>
            <w:noWrap/>
            <w:vAlign w:val="bottom"/>
            <w:hideMark/>
          </w:tcPr>
          <w:p w14:paraId="4F86BC4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26.05</w:t>
            </w:r>
          </w:p>
        </w:tc>
        <w:tc>
          <w:tcPr>
            <w:tcW w:w="378" w:type="pct"/>
            <w:tcBorders>
              <w:top w:val="single" w:sz="4" w:space="0" w:color="auto"/>
              <w:left w:val="nil"/>
              <w:bottom w:val="single" w:sz="4" w:space="0" w:color="auto"/>
              <w:right w:val="nil"/>
            </w:tcBorders>
            <w:shd w:val="clear" w:color="auto" w:fill="auto"/>
            <w:noWrap/>
            <w:vAlign w:val="bottom"/>
            <w:hideMark/>
          </w:tcPr>
          <w:p w14:paraId="7EF1DE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w:t>
            </w:r>
          </w:p>
        </w:tc>
        <w:tc>
          <w:tcPr>
            <w:tcW w:w="381" w:type="pct"/>
            <w:tcBorders>
              <w:top w:val="single" w:sz="4" w:space="0" w:color="auto"/>
              <w:left w:val="nil"/>
              <w:bottom w:val="single" w:sz="4" w:space="0" w:color="auto"/>
              <w:right w:val="nil"/>
            </w:tcBorders>
            <w:shd w:val="clear" w:color="auto" w:fill="auto"/>
            <w:noWrap/>
            <w:vAlign w:val="bottom"/>
            <w:hideMark/>
          </w:tcPr>
          <w:p w14:paraId="1FE799F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16.25</w:t>
            </w:r>
          </w:p>
        </w:tc>
        <w:tc>
          <w:tcPr>
            <w:tcW w:w="378" w:type="pct"/>
            <w:tcBorders>
              <w:top w:val="single" w:sz="4" w:space="0" w:color="auto"/>
              <w:left w:val="nil"/>
              <w:bottom w:val="single" w:sz="4" w:space="0" w:color="auto"/>
              <w:right w:val="nil"/>
            </w:tcBorders>
            <w:shd w:val="clear" w:color="auto" w:fill="auto"/>
            <w:noWrap/>
            <w:vAlign w:val="bottom"/>
            <w:hideMark/>
          </w:tcPr>
          <w:p w14:paraId="130A371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{"citationID":"a77m015194","properties":{"formattedCitation":"[154]","plainCitation":"[154]","noteIndex":0},"citationItems":[{"id":502,"uris":["http://zotero.org/users/12909065/items/4I7NE6MN"],"itemData":{"id":502,"type":"article-journal","abstract":"Liquid crystal small molecules (LCSMs) are manifested as the effective additives to regulate the morphology of active layers and elevate the performance of ternary organic solar cells (TOSCs) in fullerene systems. However, the current studies for TOSCs based on efficient LCSMs are most out of the LC phase transition temperature, which is not conducive to accurately disclosure the effect of LCSMs on the morphology evolution. Besides, the inner working mechanism of LCSMs has not been investigated systematically and in-depth. Herein, a structurally simple donor-acceptor-donor type LCSM DFBT-TT6 with a low liquid crystal phase transition temperature is utilized as the third component to construct TOSCs based on a highly efficient nonfullerene system PM6:Y6. To unveil the work mechanism of LCSMs on the TOSCs performance and eliminate other interferences simultaneously, a structurally similar non-LCSM DFBT-DT6 with a low glass-transition temperature is further synthesized for a more clear comparison. Interestingly, the addition of DFBT-TT6 can delicately control the crystallinity and phase separation of PM6:Y6, rendering the optimized morphology with only 3 wt % DFBT-TT6. In contrast, the non-LCSM DFBT-DT6 shows a negligible effect on morphology regulation, indicating the unique ability of LC molecules in morphology control. The underlying working mechanism is revealed by the combined study of miscibility and the wetting coefficient of the blends, elucidating that the LCSM DFBT-TT6 has good compatibility with PM6 and Y6. Therefore, DFBT-TT6 is more prone to being located at the interface of PM6 and Y6, and it is energetically favorable for charge transfer. The aforementioned favorable morphology evolution is associated with improved crystallinity, phase separation, charge transfer, exciton dissociation, and collection efficiency, ultimately boosting the power conversion efficiency of TOSCs from 15.76% to 17.05% with a remarkable short-circuit current density of 26.56 mA/cm2. This work not only offers deep insight into the LCSM induced morphology evolution but also puts forward an affordable strategy to achieve high-performance TOSCs. © 2020 American Chemical Society.","archive":"Scopus","container-title":"Chemistry of Materials","DOI":"10.1021/acs.chemmater.0c04297","ISSN":"0897-4756","issue":"1","language":"English","page":"430-440","source":"Scopus","title":"Regulating Favorable Morphology Evolution by a Simple Liquid-Crystalline Small Molecule Enables Organic Solar Cells with over 17% Efficiency and a Remarkable Jscof 26.56 mA/cm2","volume":"33","author":[{"family":"Liao","given":"X."},{"family":"He","given":"Q."},{"family":"Zhou","given":"G."},{"family":"Xia","given":"X."},{"family":"Zhu","given":"P."},{"family":"Xing","given":"Z."},{"family":"Zhu","given":"H."},{"family":"Yao","given":"Z."},{"family":"Lu","given":"X."},{"family":"Chen","given":"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[154]</w:t>
            </w:r>
            <w:r w:rsidRPr="00B55044">
              <w:rPr>
                <w:rFonts w:eastAsia="Times New Roman"/>
                <w:color w:val="0000FF"/>
                <w:sz w:val="16"/>
                <w:szCs w:val="16"/>
              </w:rPr>
              <w:fldChar w:fldCharType="end"/>
            </w:r>
          </w:p>
        </w:tc>
      </w:tr>
      <w:tr w:rsidR="00D47774" w:rsidRPr="00B55044" w14:paraId="661DAFB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E27DE5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264</w:t>
            </w:r>
          </w:p>
        </w:tc>
        <w:tc>
          <w:tcPr>
            <w:tcW w:w="1525" w:type="pct"/>
            <w:tcBorders>
              <w:top w:val="single" w:sz="4" w:space="0" w:color="auto"/>
              <w:left w:val="nil"/>
              <w:bottom w:val="single" w:sz="4" w:space="0" w:color="auto"/>
              <w:right w:val="nil"/>
            </w:tcBorders>
            <w:shd w:val="clear" w:color="auto" w:fill="auto"/>
            <w:noWrap/>
            <w:vAlign w:val="bottom"/>
            <w:hideMark/>
          </w:tcPr>
          <w:p w14:paraId="6A88C77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1C589AE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PM6:Y6:DFBT-TT6 (7%)</w:t>
            </w:r>
          </w:p>
        </w:tc>
        <w:tc>
          <w:tcPr>
            <w:tcW w:w="379" w:type="pct"/>
            <w:tcBorders>
              <w:top w:val="single" w:sz="4" w:space="0" w:color="auto"/>
              <w:left w:val="nil"/>
              <w:bottom w:val="single" w:sz="4" w:space="0" w:color="auto"/>
              <w:right w:val="nil"/>
            </w:tcBorders>
            <w:shd w:val="clear" w:color="auto" w:fill="auto"/>
            <w:noWrap/>
            <w:vAlign w:val="bottom"/>
            <w:hideMark/>
          </w:tcPr>
          <w:p w14:paraId="0E3BBA7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0.844</w:t>
            </w:r>
          </w:p>
        </w:tc>
        <w:tc>
          <w:tcPr>
            <w:tcW w:w="379" w:type="pct"/>
            <w:tcBorders>
              <w:top w:val="single" w:sz="4" w:space="0" w:color="auto"/>
              <w:left w:val="nil"/>
              <w:bottom w:val="single" w:sz="4" w:space="0" w:color="auto"/>
              <w:right w:val="nil"/>
            </w:tcBorders>
            <w:shd w:val="clear" w:color="auto" w:fill="auto"/>
            <w:noWrap/>
            <w:vAlign w:val="bottom"/>
            <w:hideMark/>
          </w:tcPr>
          <w:p w14:paraId="246CDDD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24.82</w:t>
            </w:r>
          </w:p>
        </w:tc>
        <w:tc>
          <w:tcPr>
            <w:tcW w:w="378" w:type="pct"/>
            <w:tcBorders>
              <w:top w:val="single" w:sz="4" w:space="0" w:color="auto"/>
              <w:left w:val="nil"/>
              <w:bottom w:val="single" w:sz="4" w:space="0" w:color="auto"/>
              <w:right w:val="nil"/>
            </w:tcBorders>
            <w:shd w:val="clear" w:color="auto" w:fill="auto"/>
            <w:noWrap/>
            <w:vAlign w:val="bottom"/>
            <w:hideMark/>
          </w:tcPr>
          <w:p w14:paraId="7F884C6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w:t>
            </w:r>
          </w:p>
        </w:tc>
        <w:tc>
          <w:tcPr>
            <w:tcW w:w="381" w:type="pct"/>
            <w:tcBorders>
              <w:top w:val="single" w:sz="4" w:space="0" w:color="auto"/>
              <w:left w:val="nil"/>
              <w:bottom w:val="single" w:sz="4" w:space="0" w:color="auto"/>
              <w:right w:val="nil"/>
            </w:tcBorders>
            <w:shd w:val="clear" w:color="auto" w:fill="auto"/>
            <w:noWrap/>
            <w:vAlign w:val="bottom"/>
            <w:hideMark/>
          </w:tcPr>
          <w:p w14:paraId="2AE946C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14.66</w:t>
            </w:r>
          </w:p>
        </w:tc>
        <w:tc>
          <w:tcPr>
            <w:tcW w:w="378" w:type="pct"/>
            <w:tcBorders>
              <w:top w:val="single" w:sz="4" w:space="0" w:color="auto"/>
              <w:left w:val="nil"/>
              <w:bottom w:val="single" w:sz="4" w:space="0" w:color="auto"/>
              <w:right w:val="nil"/>
            </w:tcBorders>
            <w:shd w:val="clear" w:color="auto" w:fill="auto"/>
            <w:noWrap/>
            <w:vAlign w:val="bottom"/>
            <w:hideMark/>
          </w:tcPr>
          <w:p w14:paraId="524CC49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{"citationID":"a20g5p4mf8u","properties":{"formattedCitation":"[154]","plainCitation":"[154]","noteIndex":0},"citationItems":[{"id":502,"uris":["http://zotero.org/users/12909065/items/4I7NE6MN"],"itemData":{"id":502,"type":"article-journal","abstract":"Liquid crystal small molecules (LCSMs) are manifested as the effective additives to regulate the morphology of active layers and elevate the performance of ternary organic solar cells (TOSCs) in fullerene systems. However, the current studies for TOSCs based on efficient LCSMs are most out of the LC phase transition temperature, which is not conducive to accurately disclosure the effect of LCSMs on the morphology evolution. Besides, the inner working mechanism of LCSMs has not been investigated systematically and in-depth. Herein, a structurally simple donor-acceptor-donor type LCSM DFBT-TT6 with a low liquid crystal phase transition temperature is utilized as the third component to construct TOSCs based on a highly efficient nonfullerene system PM6:Y6. To unveil the work mechanism of LCSMs on the TOSCs performance and eliminate other interferences simultaneously, a structurally similar non-LCSM DFBT-DT6 with a low glass-transition temperature is further synthesized for a more clear comparison. Interestingly, the addition of DFBT-TT6 can delicately control the crystallinity and phase separation of PM6:Y6, rendering the optimized morphology with only 3 wt % DFBT-TT6. In contrast, the non-LCSM DFBT-DT6 shows a negligible effect on morphology regulation, indicating the unique ability of LC molecules in morphology control. The underlying working mechanism is revealed by the combined study of miscibility and the wetting coefficient of the blends, elucidating that the LCSM DFBT-TT6 has good compatibility with PM6 and Y6. Therefore, DFBT-TT6 is more prone to being located at the interface of PM6 and Y6, and it is energetically favorable for charge transfer. The aforementioned favorable morphology evolution is associated with improved crystallinity, phase separation, charge transfer, exciton dissociation, and collection efficiency, ultimately boosting the power conversion efficiency of TOSCs from 15.76% to 17.05% with a remarkable short-circuit current density of 26.56 mA/cm2. This work not only offers deep insight into the LCSM induced morphology evolution but also puts forward an affordable strategy to achieve high-performance TOSCs. © 2020 American Chemical Society.","archive":"Scopus","container-title":"Chemistry of Materials","DOI":"10.1021/acs.chemmater.0c04297","ISSN":"0897-4756","issue":"1","language":"English","page":"430-440","source":"Scopus","title":"Regulating Favorable Morphology Evolution by a Simple Liquid-Crystalline Small Molecule Enables Organic Solar Cells with over 17% Efficiency and a Remarkable Jscof 26.56 mA/cm2","volume":"33","author":[{"family":"Liao","given":"X."},{"family":"He","given":"Q."},{"family":"Zhou","given":"G."},{"family":"Xia","given":"X."},{"family":"Zhu","given":"P."},{"family":"Xing","given":"Z."},{"family":"Zhu","given":"H."},{"family":"Yao","given":"Z."},{"family":"Lu","given":"X."},{"family":"Chen","given":"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[154]</w:t>
            </w:r>
            <w:r w:rsidRPr="00B55044">
              <w:rPr>
                <w:rFonts w:eastAsia="Times New Roman"/>
                <w:color w:val="0000FF"/>
                <w:sz w:val="16"/>
                <w:szCs w:val="16"/>
              </w:rPr>
              <w:fldChar w:fldCharType="end"/>
            </w:r>
          </w:p>
        </w:tc>
      </w:tr>
      <w:tr w:rsidR="00D47774" w:rsidRPr="00B55044" w14:paraId="1DBF0F8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BEACC6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265</w:t>
            </w:r>
          </w:p>
        </w:tc>
        <w:tc>
          <w:tcPr>
            <w:tcW w:w="1525" w:type="pct"/>
            <w:tcBorders>
              <w:top w:val="single" w:sz="4" w:space="0" w:color="auto"/>
              <w:left w:val="nil"/>
              <w:bottom w:val="single" w:sz="4" w:space="0" w:color="auto"/>
              <w:right w:val="nil"/>
            </w:tcBorders>
            <w:shd w:val="clear" w:color="auto" w:fill="auto"/>
            <w:noWrap/>
            <w:vAlign w:val="bottom"/>
            <w:hideMark/>
          </w:tcPr>
          <w:p w14:paraId="19B186B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4A89931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PM6:Y6:DFBT-TT6 (9%)</w:t>
            </w:r>
          </w:p>
        </w:tc>
        <w:tc>
          <w:tcPr>
            <w:tcW w:w="379" w:type="pct"/>
            <w:tcBorders>
              <w:top w:val="single" w:sz="4" w:space="0" w:color="auto"/>
              <w:left w:val="nil"/>
              <w:bottom w:val="single" w:sz="4" w:space="0" w:color="auto"/>
              <w:right w:val="nil"/>
            </w:tcBorders>
            <w:shd w:val="clear" w:color="auto" w:fill="auto"/>
            <w:noWrap/>
            <w:vAlign w:val="bottom"/>
            <w:hideMark/>
          </w:tcPr>
          <w:p w14:paraId="1ADBA75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0.845</w:t>
            </w:r>
          </w:p>
        </w:tc>
        <w:tc>
          <w:tcPr>
            <w:tcW w:w="379" w:type="pct"/>
            <w:tcBorders>
              <w:top w:val="single" w:sz="4" w:space="0" w:color="auto"/>
              <w:left w:val="nil"/>
              <w:bottom w:val="single" w:sz="4" w:space="0" w:color="auto"/>
              <w:right w:val="nil"/>
            </w:tcBorders>
            <w:shd w:val="clear" w:color="auto" w:fill="auto"/>
            <w:noWrap/>
            <w:vAlign w:val="bottom"/>
            <w:hideMark/>
          </w:tcPr>
          <w:p w14:paraId="77AF052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20.16</w:t>
            </w:r>
          </w:p>
        </w:tc>
        <w:tc>
          <w:tcPr>
            <w:tcW w:w="378" w:type="pct"/>
            <w:tcBorders>
              <w:top w:val="single" w:sz="4" w:space="0" w:color="auto"/>
              <w:left w:val="nil"/>
              <w:bottom w:val="single" w:sz="4" w:space="0" w:color="auto"/>
              <w:right w:val="nil"/>
            </w:tcBorders>
            <w:shd w:val="clear" w:color="auto" w:fill="auto"/>
            <w:noWrap/>
            <w:vAlign w:val="bottom"/>
            <w:hideMark/>
          </w:tcPr>
          <w:p w14:paraId="10666A0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61</w:t>
            </w:r>
          </w:p>
        </w:tc>
        <w:tc>
          <w:tcPr>
            <w:tcW w:w="381" w:type="pct"/>
            <w:tcBorders>
              <w:top w:val="single" w:sz="4" w:space="0" w:color="auto"/>
              <w:left w:val="nil"/>
              <w:bottom w:val="single" w:sz="4" w:space="0" w:color="auto"/>
              <w:right w:val="nil"/>
            </w:tcBorders>
            <w:shd w:val="clear" w:color="auto" w:fill="auto"/>
            <w:noWrap/>
            <w:vAlign w:val="bottom"/>
            <w:hideMark/>
          </w:tcPr>
          <w:p w14:paraId="43FDC6D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10.39</w:t>
            </w:r>
          </w:p>
        </w:tc>
        <w:tc>
          <w:tcPr>
            <w:tcW w:w="378" w:type="pct"/>
            <w:tcBorders>
              <w:top w:val="single" w:sz="4" w:space="0" w:color="auto"/>
              <w:left w:val="nil"/>
              <w:bottom w:val="single" w:sz="4" w:space="0" w:color="auto"/>
              <w:right w:val="nil"/>
            </w:tcBorders>
            <w:shd w:val="clear" w:color="auto" w:fill="auto"/>
            <w:noWrap/>
            <w:vAlign w:val="bottom"/>
            <w:hideMark/>
          </w:tcPr>
          <w:p w14:paraId="79C1E01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{"citationID":"a1mu64qr2eq","properties":{"formattedCitation":"[154]","plainCitation":"[154]","noteIndex":0},"citationItems":[{"id":502,"uris":["http://zotero.org/users/12909065/items/4I7NE6MN"],"itemData":{"id":502,"type":"article-journal","abstract":"Liquid crystal small molecules (LCSMs) are manifested as the effective additives to regulate the morphology of active layers and elevate the performance of ternary organic solar cells (TOSCs) in fullerene systems. However, the current studies for TOSCs based on efficient LCSMs are most out of the LC phase transition temperature, which is not conducive to accurately disclosure the effect of LCSMs on the morphology evolution. Besides, the inner working mechanism of LCSMs has not been investigated systematically and in-depth. Herein, a structurally simple donor-acceptor-donor type LCSM DFBT-TT6 with a low liquid crystal phase transition temperature is utilized as the third component to construct TOSCs based on a highly efficient nonfullerene system PM6:Y6. To unveil the work mechanism of LCSMs on the TOSCs performance and eliminate other interferences simultaneously, a structurally similar non-LCSM DFBT-DT6 with a low glass-transition temperature is further synthesized for a more clear comparison. Interestingly, the addition of DFBT-TT6 can delicately control the crystallinity and phase separation of PM6:Y6, rendering the optimized morphology with only 3 wt % DFBT-TT6. In contrast, the non-LCSM DFBT-DT6 shows a negligible effect on morphology regulation, indicating the unique ability of LC molecules in morphology control. The underlying working mechanism is revealed by the combined study of miscibility and the wetting coefficient of the blends, elucidating that the LCSM DFBT-TT6 has good compatibility with PM6 and Y6. Therefore, DFBT-TT6 is more prone to being located at the interface of PM6 and Y6, and it is energetically favorable for charge transfer. The aforementioned favorable morphology evolution is associated with improved crystallinity, phase separation, charge transfer, exciton dissociation, and collection efficiency, ultimately boosting the power conversion efficiency of TOSCs from 15.76% to 17.05% with a remarkable short-circuit current density of 26.56 mA/cm2. This work not only offers deep insight into the LCSM induced morphology evolution but also puts forward an affordable strategy to achieve high-performance TOSCs. © 2020 American Chemical Society.","archive":"Scopus","container-title":"Chemistry of Materials","DOI":"10.1021/acs.chemmater.0c04297","ISSN":"0897-4756","issue":"1","language":"English","page":"430-440","source":"Scopus","title":"Regulating Favorable Morphology Evolution by a Simple Liquid-Crystalline Small Molecule Enables Organic Solar Cells with over 17% Efficiency and a Remarkable Jscof 26.56 mA/cm2","volume":"33","author":[{"family":"Liao","given":"X."},{"family":"He","given":"Q."},{"family":"Zhou","given":"G."},{"family":"Xia","given":"X."},{"family":"Zhu","given":"P."},{"family":"Xing","given":"Z."},{"family":"Zhu","given":"H."},{"family":"Yao","given":"Z."},{"family":"Lu","given":"X."},{"family":"Chen","given":"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[154]</w:t>
            </w:r>
            <w:r w:rsidRPr="00B55044">
              <w:rPr>
                <w:rFonts w:eastAsia="Times New Roman"/>
                <w:color w:val="0000FF"/>
                <w:sz w:val="16"/>
                <w:szCs w:val="16"/>
              </w:rPr>
              <w:fldChar w:fldCharType="end"/>
            </w:r>
          </w:p>
        </w:tc>
      </w:tr>
      <w:tr w:rsidR="00D47774" w:rsidRPr="00B55044" w14:paraId="6CF61D4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5C4606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266</w:t>
            </w:r>
          </w:p>
        </w:tc>
        <w:tc>
          <w:tcPr>
            <w:tcW w:w="1525" w:type="pct"/>
            <w:tcBorders>
              <w:top w:val="single" w:sz="4" w:space="0" w:color="auto"/>
              <w:left w:val="nil"/>
              <w:bottom w:val="single" w:sz="4" w:space="0" w:color="auto"/>
              <w:right w:val="nil"/>
            </w:tcBorders>
            <w:shd w:val="clear" w:color="auto" w:fill="auto"/>
            <w:noWrap/>
            <w:vAlign w:val="bottom"/>
            <w:hideMark/>
          </w:tcPr>
          <w:p w14:paraId="19B4050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2A317F5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PM6:Y6:DFBT-DT6 (3%)</w:t>
            </w:r>
          </w:p>
        </w:tc>
        <w:tc>
          <w:tcPr>
            <w:tcW w:w="379" w:type="pct"/>
            <w:tcBorders>
              <w:top w:val="single" w:sz="4" w:space="0" w:color="auto"/>
              <w:left w:val="nil"/>
              <w:bottom w:val="single" w:sz="4" w:space="0" w:color="auto"/>
              <w:right w:val="nil"/>
            </w:tcBorders>
            <w:shd w:val="clear" w:color="auto" w:fill="auto"/>
            <w:noWrap/>
            <w:vAlign w:val="bottom"/>
            <w:hideMark/>
          </w:tcPr>
          <w:p w14:paraId="47EEDD0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0.844</w:t>
            </w:r>
          </w:p>
        </w:tc>
        <w:tc>
          <w:tcPr>
            <w:tcW w:w="379" w:type="pct"/>
            <w:tcBorders>
              <w:top w:val="single" w:sz="4" w:space="0" w:color="auto"/>
              <w:left w:val="nil"/>
              <w:bottom w:val="single" w:sz="4" w:space="0" w:color="auto"/>
              <w:right w:val="nil"/>
            </w:tcBorders>
            <w:shd w:val="clear" w:color="auto" w:fill="auto"/>
            <w:noWrap/>
            <w:vAlign w:val="bottom"/>
            <w:hideMark/>
          </w:tcPr>
          <w:p w14:paraId="31A17C9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25.34</w:t>
            </w:r>
          </w:p>
        </w:tc>
        <w:tc>
          <w:tcPr>
            <w:tcW w:w="378" w:type="pct"/>
            <w:tcBorders>
              <w:top w:val="single" w:sz="4" w:space="0" w:color="auto"/>
              <w:left w:val="nil"/>
              <w:bottom w:val="single" w:sz="4" w:space="0" w:color="auto"/>
              <w:right w:val="nil"/>
            </w:tcBorders>
            <w:shd w:val="clear" w:color="auto" w:fill="auto"/>
            <w:noWrap/>
            <w:vAlign w:val="bottom"/>
            <w:hideMark/>
          </w:tcPr>
          <w:p w14:paraId="1B3608D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w:t>
            </w:r>
          </w:p>
        </w:tc>
        <w:tc>
          <w:tcPr>
            <w:tcW w:w="381" w:type="pct"/>
            <w:tcBorders>
              <w:top w:val="single" w:sz="4" w:space="0" w:color="auto"/>
              <w:left w:val="nil"/>
              <w:bottom w:val="single" w:sz="4" w:space="0" w:color="auto"/>
              <w:right w:val="nil"/>
            </w:tcBorders>
            <w:shd w:val="clear" w:color="auto" w:fill="auto"/>
            <w:noWrap/>
            <w:vAlign w:val="bottom"/>
            <w:hideMark/>
          </w:tcPr>
          <w:p w14:paraId="02FE2BB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15.83</w:t>
            </w:r>
          </w:p>
        </w:tc>
        <w:tc>
          <w:tcPr>
            <w:tcW w:w="378" w:type="pct"/>
            <w:tcBorders>
              <w:top w:val="single" w:sz="4" w:space="0" w:color="auto"/>
              <w:left w:val="nil"/>
              <w:bottom w:val="single" w:sz="4" w:space="0" w:color="auto"/>
              <w:right w:val="nil"/>
            </w:tcBorders>
            <w:shd w:val="clear" w:color="auto" w:fill="auto"/>
            <w:noWrap/>
            <w:vAlign w:val="bottom"/>
            <w:hideMark/>
          </w:tcPr>
          <w:p w14:paraId="6BDF34B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{"citationID":"adrkq9ge2q","properties":{"formattedCitation":"[154]","plainCitation":"[154]","noteIndex":0},"citationItems":[{"id":502,"uris":["http://zotero.org/users/12909065/items/4I7NE6MN"],"itemData":{"id":502,"type":"article-journal","abstract":"Liquid crystal small molecules (LCSMs) are manifested as the effective additives to regulate the morphology of active layers and elevate the performance of ternary organic solar cells (TOSCs) in fullerene systems. However, the current studies for TOSCs based on efficient LCSMs are most out of the LC phase transition temperature, which is not conducive to accurately disclosure the effect of LCSMs on the morphology evolution. Besides, the inner working mechanism of LCSMs has not been investigated systematically and in-depth. Herein, a structurally simple donor-acceptor-donor type LCSM DFBT-TT6 with a low liquid crystal phase transition temperature is utilized as the third component to construct TOSCs based on a highly efficient nonfullerene system PM6:Y6. To unveil the work mechanism of LCSMs on the TOSCs performance and eliminate other interferences simultaneously, a structurally similar non-LCSM DFBT-DT6 with a low glass-transition temperature is further synthesized for a more clear comparison. Interestingly, the addition of DFBT-TT6 can delicately control the crystallinity and phase separation of PM6:Y6, rendering the optimized morphology with only 3 wt % DFBT-TT6. In contrast, the non-LCSM DFBT-DT6 shows a negligible effect on morphology regulation, indicating the unique ability of LC molecules in morphology control. The underlying working mechanism is revealed by the combined study of miscibility and the wetting coefficient of the blends, elucidating that the LCSM DFBT-TT6 has good compatibility with PM6 and Y6. Therefore, DFBT-TT6 is more prone to being located at the interface of PM6 and Y6, and it is energetically favorable for charge transfer. The aforementioned favorable morphology evolution is associated with improved crystallinity, phase separation, charge transfer, exciton dissociation, and collection efficiency, ultimately boosting the power conversion efficiency of TOSCs from 15.76% to 17.05% with a remarkable short-circuit current density of 26.56 mA/cm2. This work not only offers deep insight into the LCSM induced morphology evolution but also puts forward an affordable strategy to achieve high-performance TOSCs. © 2020 American Chemical Society.","archive":"Scopus","container-title":"Chemistry of Materials","DOI":"10.1021/acs.chemmater.0c04297","ISSN":"0897-4756","issue":"1","language":"English","page":"430-440","source":"Scopus","title":"Regulating Favorable Morphology Evolution by a Simple Liquid-Crystalline Small Molecule Enables Organic Solar Cells with over 17% Efficiency and a Remarkable Jscof 26.56 mA/cm2","volume":"33","author":[{"family":"Liao","given":"X."},{"family":"He","given":"Q."},{"family":"Zhou","given":"G."},{"family":"Xia","given":"X."},{"family":"Zhu","given":"P."},{"family":"Xing","given":"Z."},{"family":"Zhu","given":"H."},{"family":"Yao","given":"Z."},{"family":"Lu","given":"X."},{"family":"Chen","given":"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[154]</w:t>
            </w:r>
            <w:r w:rsidRPr="00B55044">
              <w:rPr>
                <w:rFonts w:eastAsia="Times New Roman"/>
                <w:color w:val="0000FF"/>
                <w:sz w:val="16"/>
                <w:szCs w:val="16"/>
              </w:rPr>
              <w:fldChar w:fldCharType="end"/>
            </w:r>
          </w:p>
        </w:tc>
      </w:tr>
      <w:tr w:rsidR="00D47774" w:rsidRPr="00B55044" w14:paraId="740E231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8CE4AF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267</w:t>
            </w:r>
          </w:p>
        </w:tc>
        <w:tc>
          <w:tcPr>
            <w:tcW w:w="1525" w:type="pct"/>
            <w:tcBorders>
              <w:top w:val="single" w:sz="4" w:space="0" w:color="auto"/>
              <w:left w:val="nil"/>
              <w:bottom w:val="single" w:sz="4" w:space="0" w:color="auto"/>
              <w:right w:val="nil"/>
            </w:tcBorders>
            <w:shd w:val="clear" w:color="auto" w:fill="auto"/>
            <w:noWrap/>
            <w:vAlign w:val="bottom"/>
            <w:hideMark/>
          </w:tcPr>
          <w:p w14:paraId="5D1ED0A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0237783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PM6:BP5T-4F:CH1007</w:t>
            </w:r>
          </w:p>
        </w:tc>
        <w:tc>
          <w:tcPr>
            <w:tcW w:w="379" w:type="pct"/>
            <w:tcBorders>
              <w:top w:val="single" w:sz="4" w:space="0" w:color="auto"/>
              <w:left w:val="nil"/>
              <w:bottom w:val="single" w:sz="4" w:space="0" w:color="auto"/>
              <w:right w:val="nil"/>
            </w:tcBorders>
            <w:shd w:val="clear" w:color="auto" w:fill="auto"/>
            <w:noWrap/>
            <w:vAlign w:val="bottom"/>
            <w:hideMark/>
          </w:tcPr>
          <w:p w14:paraId="250C0F9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0.879</w:t>
            </w:r>
          </w:p>
        </w:tc>
        <w:tc>
          <w:tcPr>
            <w:tcW w:w="379" w:type="pct"/>
            <w:tcBorders>
              <w:top w:val="single" w:sz="4" w:space="0" w:color="auto"/>
              <w:left w:val="nil"/>
              <w:bottom w:val="single" w:sz="4" w:space="0" w:color="auto"/>
              <w:right w:val="nil"/>
            </w:tcBorders>
            <w:shd w:val="clear" w:color="auto" w:fill="auto"/>
            <w:noWrap/>
            <w:vAlign w:val="bottom"/>
            <w:hideMark/>
          </w:tcPr>
          <w:p w14:paraId="5ABE77A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25.5</w:t>
            </w:r>
          </w:p>
        </w:tc>
        <w:tc>
          <w:tcPr>
            <w:tcW w:w="378" w:type="pct"/>
            <w:tcBorders>
              <w:top w:val="single" w:sz="4" w:space="0" w:color="auto"/>
              <w:left w:val="nil"/>
              <w:bottom w:val="single" w:sz="4" w:space="0" w:color="auto"/>
              <w:right w:val="nil"/>
            </w:tcBorders>
            <w:shd w:val="clear" w:color="auto" w:fill="auto"/>
            <w:noWrap/>
            <w:vAlign w:val="bottom"/>
            <w:hideMark/>
          </w:tcPr>
          <w:p w14:paraId="58025A0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76.7</w:t>
            </w:r>
          </w:p>
        </w:tc>
        <w:tc>
          <w:tcPr>
            <w:tcW w:w="381" w:type="pct"/>
            <w:tcBorders>
              <w:top w:val="single" w:sz="4" w:space="0" w:color="auto"/>
              <w:left w:val="nil"/>
              <w:bottom w:val="single" w:sz="4" w:space="0" w:color="auto"/>
              <w:right w:val="nil"/>
            </w:tcBorders>
            <w:shd w:val="clear" w:color="auto" w:fill="auto"/>
            <w:noWrap/>
            <w:vAlign w:val="bottom"/>
            <w:hideMark/>
          </w:tcPr>
          <w:p w14:paraId="6D44962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17.2</w:t>
            </w:r>
          </w:p>
        </w:tc>
        <w:tc>
          <w:tcPr>
            <w:tcW w:w="378" w:type="pct"/>
            <w:tcBorders>
              <w:top w:val="single" w:sz="4" w:space="0" w:color="auto"/>
              <w:left w:val="nil"/>
              <w:bottom w:val="single" w:sz="4" w:space="0" w:color="auto"/>
              <w:right w:val="nil"/>
            </w:tcBorders>
            <w:shd w:val="clear" w:color="auto" w:fill="auto"/>
            <w:noWrap/>
            <w:vAlign w:val="bottom"/>
            <w:hideMark/>
          </w:tcPr>
          <w:p w14:paraId="7B407D2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{"citationID":"a2fvqujmpev","properties":{"formattedCitation":"[155]","plainCitation":"[155]","noteIndex":0},"citationItems":[{"id":495,"uris":["http://zotero.org/users/12909065/items/ITKFIMAK"],"itemData":{"id":495,"type":"article-journal","abstract":"Y6, as a state-of-the-art nonfullerene acceptor (NFA), is extensively optimized by modifying its side chains and terminal groups. However, the conformation effects on molecular properties and photovoltaic performance of Y6 and its derivatives have not yet been systematically studied. Herein, three Y6 analogs, namely, BP4T-4F, BP5T-4F, and ABP4T-4F, are designed and synthesized. Owing to the asymmetric molecular design strategies, three representative molecular conformations for Y6-type NFAs are obtained through regulating the lateral thiophene orientation of the fused core. It is found that conformation adjustment imposes comprehensive effects on the molecular properties in neat and blend films of these NFAs. As a result, organic solar cells (OSCs) fabricated with PM6:BP4T-4F, PM6:BP5T-4F, and PM6:ABP4T-4F show high power conversion efficiency of 17.1%, 16.7%, and 15.2%, respectively. Interestingly, these NFAs with different conformations also show reduced energy loss (Eloss) in devices via gradually suppressed nonradiative Eloss. Moreover, by employing a selenium-containing analog, CH1007, as the complementary third component, ternary OSCs based on PM6:BP5T-4F:CH1007 (1:1.02:0.18) achieve a 17.2% efficiency. This work helps shed light on engineering the molecular conformation of NFAs to achieve high efficiency OSCs with reduced voltage loss. © 2020 Wiley-VCH GmbH","archive":"Scopus","container-title":"Advanced Energy Materials","DOI":"10.1002/aenm.202003177","ISSN":"1614-6832","issue":"4","language":"English","source":"Scopus","title":"Asymmetric Acceptors Enabling Organic Solar Cells to Achieve an over 17% Efficiency: Conformation Effects on Regulating Molecular Properties and Suppressing Nonradiative Energy Loss","title-short":"Asymmetric Acceptors Enabling Organic Solar Cells to Achieve an over 17% Efficiency","volume":"11","author":[{"family":"Gao","given":"W."},{"family":"Fu","given":"H."},{"family":"Li","given":"Y."},{"family":"Lin","given":"F."},{"family":"Sun","given":"R."},{"family":"Wu","given":"Z."},{"family":"Wu","given":"X."},{"family":"Zhong","given":"C."},{"family":"Min","given":"J."},{"family":"Luo","given":"J."},{"family":"Woo","given":"H.Y."},{"family":"Zhu","given":"Z."},{"family":"Jen","given":"A.K.Y."}],"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[155]</w:t>
            </w:r>
            <w:r w:rsidRPr="00B55044">
              <w:rPr>
                <w:rFonts w:eastAsia="Times New Roman"/>
                <w:color w:val="0000FF"/>
                <w:sz w:val="16"/>
                <w:szCs w:val="16"/>
              </w:rPr>
              <w:fldChar w:fldCharType="end"/>
            </w:r>
          </w:p>
        </w:tc>
      </w:tr>
      <w:tr w:rsidR="00D47774" w:rsidRPr="00B55044" w14:paraId="19C78AC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D655F8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268</w:t>
            </w:r>
          </w:p>
        </w:tc>
        <w:tc>
          <w:tcPr>
            <w:tcW w:w="1525" w:type="pct"/>
            <w:tcBorders>
              <w:top w:val="single" w:sz="4" w:space="0" w:color="auto"/>
              <w:left w:val="nil"/>
              <w:bottom w:val="single" w:sz="4" w:space="0" w:color="auto"/>
              <w:right w:val="nil"/>
            </w:tcBorders>
            <w:shd w:val="clear" w:color="auto" w:fill="auto"/>
            <w:noWrap/>
            <w:vAlign w:val="bottom"/>
            <w:hideMark/>
          </w:tcPr>
          <w:p w14:paraId="150DC79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4CAE724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PM6:BTP-4Cl:PC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5B63BF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0.866</w:t>
            </w:r>
          </w:p>
        </w:tc>
        <w:tc>
          <w:tcPr>
            <w:tcW w:w="379" w:type="pct"/>
            <w:tcBorders>
              <w:top w:val="single" w:sz="4" w:space="0" w:color="auto"/>
              <w:left w:val="nil"/>
              <w:bottom w:val="single" w:sz="4" w:space="0" w:color="auto"/>
              <w:right w:val="nil"/>
            </w:tcBorders>
            <w:shd w:val="clear" w:color="auto" w:fill="auto"/>
            <w:noWrap/>
            <w:vAlign w:val="bottom"/>
            <w:hideMark/>
          </w:tcPr>
          <w:p w14:paraId="1CADCF5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25.57</w:t>
            </w:r>
          </w:p>
        </w:tc>
        <w:tc>
          <w:tcPr>
            <w:tcW w:w="378" w:type="pct"/>
            <w:tcBorders>
              <w:top w:val="single" w:sz="4" w:space="0" w:color="auto"/>
              <w:left w:val="nil"/>
              <w:bottom w:val="single" w:sz="4" w:space="0" w:color="auto"/>
              <w:right w:val="nil"/>
            </w:tcBorders>
            <w:shd w:val="clear" w:color="auto" w:fill="auto"/>
            <w:noWrap/>
            <w:vAlign w:val="bottom"/>
            <w:hideMark/>
          </w:tcPr>
          <w:p w14:paraId="52F7766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73.84</w:t>
            </w:r>
          </w:p>
        </w:tc>
        <w:tc>
          <w:tcPr>
            <w:tcW w:w="381" w:type="pct"/>
            <w:tcBorders>
              <w:top w:val="single" w:sz="4" w:space="0" w:color="auto"/>
              <w:left w:val="nil"/>
              <w:bottom w:val="single" w:sz="4" w:space="0" w:color="auto"/>
              <w:right w:val="nil"/>
            </w:tcBorders>
            <w:shd w:val="clear" w:color="auto" w:fill="auto"/>
            <w:noWrap/>
            <w:vAlign w:val="bottom"/>
            <w:hideMark/>
          </w:tcPr>
          <w:p w14:paraId="7A85F95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16.35</w:t>
            </w:r>
          </w:p>
        </w:tc>
        <w:tc>
          <w:tcPr>
            <w:tcW w:w="378" w:type="pct"/>
            <w:tcBorders>
              <w:top w:val="single" w:sz="4" w:space="0" w:color="auto"/>
              <w:left w:val="nil"/>
              <w:bottom w:val="single" w:sz="4" w:space="0" w:color="auto"/>
              <w:right w:val="nil"/>
            </w:tcBorders>
            <w:shd w:val="clear" w:color="auto" w:fill="auto"/>
            <w:noWrap/>
            <w:vAlign w:val="bottom"/>
            <w:hideMark/>
          </w:tcPr>
          <w:p w14:paraId="00BACFE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{"citationID":"a13v6tcbg5s","properties":{"formattedCitation":"[156]","plainCitation":"[156]","noteIndex":0},"citationItems":[{"id":494,"uris":["http://zotero.org/users/12909065/items/ELMRARST"],"itemData":{"id":494,"type":"article-journal","abstract":"Long-range exciton diffusion on picosecond time scale, which serves to efficient charge separation at the donor/acceptor (D/A) interfaces, has been regarded as a key step for the working mechanisms of organic photovoltaics. Rationally understanding and manipulating this vital process over a wide temporal scale remains some challenges, especially in ternary organic solar cells (OSCs). Herein, we reveal how exciton migration behaviors are reasonably improved and maintained relying on the simultaneously enhanced efficiency and thermal stability in the PM6:IT4F:PC71BM and PM6:BTP-4Cl:PC71BM ternary devices. Two separate factors can be responsible for these benefits: (1) the coexistence of dual Förster-type energy transfer (FRET) can contribute to the directed exciton diffusion and rapidly quench the highly excited states to stabilize the “energy donors”. (2) The more favorable multi-length scale morphologies optimized by the addition of guest PC71BM yield the plentiful interfacial region to shorten the real distance of diffusion process and boost the stability of microstructure. In particular, the diffusion lengths &amp;gt; 10 nm of IT4F singlet excitons induced by dual FRET effects were obtained by employing the exciton-exciton annihilation strategy. These experimental results open a novel horizon for further strengthening efficiency and stability of ternary OSCs from the perspective of improving exciton diffusion. © 2020","archive":"Scopus","container-title":"Nano Energy","DOI":"10.1016/j.nanoen.2020.105513","ISSN":"2211-2855","language":"English","source":"Scopus","title":"Exploring the mechanisms of exciton diffusion improvement in ternary polymer solar cells: From ultrafast to ultraslow temporal scale","title-short":"Exploring the mechanisms of exciton diffusion improvement in ternary polymer solar cells","volume":"79","author":[{"family":"Zhang","given":"K.-N."},{"family":"Jiang","given":"Z.-N."},{"family":"Wang","given":"T."},{"family":"Qiao","given":"J.-W."},{"family":"Feng","given":"L."},{"family":"Qin","given":"C.-C."},{"family":"Yin","given":"H."},{"family":"So","given":"S.-K."},{"family":"Hao","given":"X.-T."}],"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[156]</w:t>
            </w:r>
            <w:r w:rsidRPr="00B55044">
              <w:rPr>
                <w:rFonts w:eastAsia="Times New Roman"/>
                <w:color w:val="0000FF"/>
                <w:sz w:val="16"/>
                <w:szCs w:val="16"/>
              </w:rPr>
              <w:fldChar w:fldCharType="end"/>
            </w:r>
          </w:p>
        </w:tc>
      </w:tr>
      <w:tr w:rsidR="00D47774" w:rsidRPr="00B55044" w14:paraId="423A291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724637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269</w:t>
            </w:r>
          </w:p>
        </w:tc>
        <w:tc>
          <w:tcPr>
            <w:tcW w:w="1525" w:type="pct"/>
            <w:tcBorders>
              <w:top w:val="single" w:sz="4" w:space="0" w:color="auto"/>
              <w:left w:val="nil"/>
              <w:bottom w:val="single" w:sz="4" w:space="0" w:color="auto"/>
              <w:right w:val="nil"/>
            </w:tcBorders>
            <w:shd w:val="clear" w:color="auto" w:fill="auto"/>
            <w:noWrap/>
            <w:vAlign w:val="bottom"/>
            <w:hideMark/>
          </w:tcPr>
          <w:p w14:paraId="6A08A9C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69661BC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PM6:NCBDT-4Cl:LA1</w:t>
            </w:r>
          </w:p>
        </w:tc>
        <w:tc>
          <w:tcPr>
            <w:tcW w:w="379" w:type="pct"/>
            <w:tcBorders>
              <w:top w:val="single" w:sz="4" w:space="0" w:color="auto"/>
              <w:left w:val="nil"/>
              <w:bottom w:val="single" w:sz="4" w:space="0" w:color="auto"/>
              <w:right w:val="nil"/>
            </w:tcBorders>
            <w:shd w:val="clear" w:color="auto" w:fill="auto"/>
            <w:noWrap/>
            <w:vAlign w:val="bottom"/>
            <w:hideMark/>
          </w:tcPr>
          <w:p w14:paraId="0D45B48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0.897</w:t>
            </w:r>
          </w:p>
        </w:tc>
        <w:tc>
          <w:tcPr>
            <w:tcW w:w="379" w:type="pct"/>
            <w:tcBorders>
              <w:top w:val="single" w:sz="4" w:space="0" w:color="auto"/>
              <w:left w:val="nil"/>
              <w:bottom w:val="single" w:sz="4" w:space="0" w:color="auto"/>
              <w:right w:val="nil"/>
            </w:tcBorders>
            <w:shd w:val="clear" w:color="auto" w:fill="auto"/>
            <w:noWrap/>
            <w:vAlign w:val="bottom"/>
            <w:hideMark/>
          </w:tcPr>
          <w:p w14:paraId="462C9C0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23.29</w:t>
            </w:r>
          </w:p>
        </w:tc>
        <w:tc>
          <w:tcPr>
            <w:tcW w:w="378" w:type="pct"/>
            <w:tcBorders>
              <w:top w:val="single" w:sz="4" w:space="0" w:color="auto"/>
              <w:left w:val="nil"/>
              <w:bottom w:val="single" w:sz="4" w:space="0" w:color="auto"/>
              <w:right w:val="nil"/>
            </w:tcBorders>
            <w:shd w:val="clear" w:color="auto" w:fill="auto"/>
            <w:noWrap/>
            <w:vAlign w:val="bottom"/>
            <w:hideMark/>
          </w:tcPr>
          <w:p w14:paraId="386B913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73.69</w:t>
            </w:r>
          </w:p>
        </w:tc>
        <w:tc>
          <w:tcPr>
            <w:tcW w:w="381" w:type="pct"/>
            <w:tcBorders>
              <w:top w:val="single" w:sz="4" w:space="0" w:color="auto"/>
              <w:left w:val="nil"/>
              <w:bottom w:val="single" w:sz="4" w:space="0" w:color="auto"/>
              <w:right w:val="nil"/>
            </w:tcBorders>
            <w:shd w:val="clear" w:color="auto" w:fill="auto"/>
            <w:noWrap/>
            <w:vAlign w:val="bottom"/>
            <w:hideMark/>
          </w:tcPr>
          <w:p w14:paraId="11AEB37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15.39</w:t>
            </w:r>
          </w:p>
        </w:tc>
        <w:tc>
          <w:tcPr>
            <w:tcW w:w="378" w:type="pct"/>
            <w:tcBorders>
              <w:top w:val="single" w:sz="4" w:space="0" w:color="auto"/>
              <w:left w:val="nil"/>
              <w:bottom w:val="single" w:sz="4" w:space="0" w:color="auto"/>
              <w:right w:val="nil"/>
            </w:tcBorders>
            <w:shd w:val="clear" w:color="auto" w:fill="auto"/>
            <w:noWrap/>
            <w:vAlign w:val="bottom"/>
            <w:hideMark/>
          </w:tcPr>
          <w:p w14:paraId="76269BF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{"citationID":"auh6n66jq7","properties":{"formattedCitation":"[157]","plainCitation":"[157]","noteIndex":0},"citationItems":[{"id":493,"uris":["http://zotero.org/users/12909065/items/3YRDBXFU"],"itemData":{"id":493,"type":"article-journal","abstract":"Ternary organic solar cells (TOSCs) offer a facile and efficient approach to increase the power conversion efficiencies (PCEs). However, the critical roles that guest components play in complicated ternary systems remain poorly understood. Herein, two acceptors named LA1 and LA9 with differing crystallinity are investigated. The overly crystalline LA9 induces large self-aggregates in PM6:LA9 binary system, resulting in a lower PCE (13.12%) compared to PM6:LA1 device (13.89%). Encouragingly, both acceptors are verified as efficient guest candidates into the host binary PM6:NCBDT-4Cl (PCE = 13.48%) and afford markedly improved PCEs up to 15.39% and 15.75% in LA1 and LA9 ternary devices, respectively. Interestingly, the higher crystallinity LA9 reveals smaller interaction energies with both the host acceptor and donor PM6. Compared to LA1, the appropriate mutual interactions in the LA9 ternary system not only induces the orderly crystallinity of PM6 but also better compatibility with the host acceptor, generating further optimized molecular orientations and ternary morphology. Therefore, enhanced charge transport and minimized recombination loss are detected in LA9 ternary devices, affording the most competitive performance among Y6-sbsent TOSCs. This work suggests that complicated intermolecular interactions should be seriously considered when fabricating state-of-the-art multiple components OSCs. © 2020 Wiley-VCH GmbH","archive":"Scopus","container-title":"Advanced Functional Materials","DOI":"10.1002/adfm.202007088","ISSN":"1616-301X","issue":"3","language":"English","source":"Scopus","title":"Rational Mutual Interactions in Ternary Systems Enable High-Performance Organic Solar Cells","volume":"31","author":[{"family":"Jiang","given":"H."},{"family":"Han","given":"C."},{"family":"Li","given":"Y."},{"family":"Bi","given":"F."},{"family":"Zheng","given":"N."},{"family":"Han","given":"J."},{"family":"Shen","given":"W."},{"family":"Wen","given":"S."},{"family":"Yang","given":"C."},{"family":"Yang","given":"R."},{"family":"Bao","given":"X."}],"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[157]</w:t>
            </w:r>
            <w:r w:rsidRPr="00B55044">
              <w:rPr>
                <w:rFonts w:eastAsia="Times New Roman"/>
                <w:color w:val="0000FF"/>
                <w:sz w:val="16"/>
                <w:szCs w:val="16"/>
              </w:rPr>
              <w:fldChar w:fldCharType="end"/>
            </w:r>
          </w:p>
        </w:tc>
      </w:tr>
      <w:tr w:rsidR="00D47774" w:rsidRPr="00B55044" w14:paraId="202EEED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C4874B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270</w:t>
            </w:r>
          </w:p>
        </w:tc>
        <w:tc>
          <w:tcPr>
            <w:tcW w:w="1525" w:type="pct"/>
            <w:tcBorders>
              <w:top w:val="single" w:sz="4" w:space="0" w:color="auto"/>
              <w:left w:val="nil"/>
              <w:bottom w:val="single" w:sz="4" w:space="0" w:color="auto"/>
              <w:right w:val="nil"/>
            </w:tcBorders>
            <w:shd w:val="clear" w:color="auto" w:fill="auto"/>
            <w:noWrap/>
            <w:vAlign w:val="bottom"/>
            <w:hideMark/>
          </w:tcPr>
          <w:p w14:paraId="12B32E6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7F082B0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PM6:NCBDT-4Cl:LA9</w:t>
            </w:r>
          </w:p>
        </w:tc>
        <w:tc>
          <w:tcPr>
            <w:tcW w:w="379" w:type="pct"/>
            <w:tcBorders>
              <w:top w:val="single" w:sz="4" w:space="0" w:color="auto"/>
              <w:left w:val="nil"/>
              <w:bottom w:val="single" w:sz="4" w:space="0" w:color="auto"/>
              <w:right w:val="nil"/>
            </w:tcBorders>
            <w:shd w:val="clear" w:color="auto" w:fill="auto"/>
            <w:noWrap/>
            <w:vAlign w:val="bottom"/>
            <w:hideMark/>
          </w:tcPr>
          <w:p w14:paraId="77670D1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0.864</w:t>
            </w:r>
          </w:p>
        </w:tc>
        <w:tc>
          <w:tcPr>
            <w:tcW w:w="379" w:type="pct"/>
            <w:tcBorders>
              <w:top w:val="single" w:sz="4" w:space="0" w:color="auto"/>
              <w:left w:val="nil"/>
              <w:bottom w:val="single" w:sz="4" w:space="0" w:color="auto"/>
              <w:right w:val="nil"/>
            </w:tcBorders>
            <w:shd w:val="clear" w:color="auto" w:fill="auto"/>
            <w:noWrap/>
            <w:vAlign w:val="bottom"/>
            <w:hideMark/>
          </w:tcPr>
          <w:p w14:paraId="476F41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24.42</w:t>
            </w:r>
          </w:p>
        </w:tc>
        <w:tc>
          <w:tcPr>
            <w:tcW w:w="378" w:type="pct"/>
            <w:tcBorders>
              <w:top w:val="single" w:sz="4" w:space="0" w:color="auto"/>
              <w:left w:val="nil"/>
              <w:bottom w:val="single" w:sz="4" w:space="0" w:color="auto"/>
              <w:right w:val="nil"/>
            </w:tcBorders>
            <w:shd w:val="clear" w:color="auto" w:fill="auto"/>
            <w:noWrap/>
            <w:vAlign w:val="bottom"/>
            <w:hideMark/>
          </w:tcPr>
          <w:p w14:paraId="12437E2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74.58</w:t>
            </w:r>
          </w:p>
        </w:tc>
        <w:tc>
          <w:tcPr>
            <w:tcW w:w="381" w:type="pct"/>
            <w:tcBorders>
              <w:top w:val="single" w:sz="4" w:space="0" w:color="auto"/>
              <w:left w:val="nil"/>
              <w:bottom w:val="single" w:sz="4" w:space="0" w:color="auto"/>
              <w:right w:val="nil"/>
            </w:tcBorders>
            <w:shd w:val="clear" w:color="auto" w:fill="auto"/>
            <w:noWrap/>
            <w:vAlign w:val="bottom"/>
            <w:hideMark/>
          </w:tcPr>
          <w:p w14:paraId="424A44B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15.75</w:t>
            </w:r>
          </w:p>
        </w:tc>
        <w:tc>
          <w:tcPr>
            <w:tcW w:w="378" w:type="pct"/>
            <w:tcBorders>
              <w:top w:val="single" w:sz="4" w:space="0" w:color="auto"/>
              <w:left w:val="nil"/>
              <w:bottom w:val="single" w:sz="4" w:space="0" w:color="auto"/>
              <w:right w:val="nil"/>
            </w:tcBorders>
            <w:shd w:val="clear" w:color="auto" w:fill="auto"/>
            <w:noWrap/>
            <w:vAlign w:val="bottom"/>
            <w:hideMark/>
          </w:tcPr>
          <w:p w14:paraId="363B68C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{"citationID":"a689na13v1","properties":{"formattedCitation":"[157]","plainCitation":"[157]","noteIndex":0},"citationItems":[{"id":493,"uris":["http://zotero.org/users/12909065/items/3YRDBXFU"],"itemData":{"id":493,"type":"article-journal","abstract":"Ternary organic solar cells (TOSCs) offer a facile and efficient approach to increase the power conversion efficiencies (PCEs). However, the critical roles that guest components play in complicated ternary systems remain poorly understood. Herein, two acceptors named LA1 and LA9 with differing crystallinity are investigated. The overly crystalline LA9 induces large self-aggregates in PM6:LA9 binary system, resulting in a lower PCE (13.12%) compared to PM6:LA1 device (13.89%). Encouragingly, both acceptors are verified as efficient guest candidates into the host binary PM6:NCBDT-4Cl (PCE = 13.48%) and afford markedly improved PCEs up to 15.39% and 15.75% in LA1 and LA9 ternary devices, respectively. Interestingly, the higher crystallinity LA9 reveals smaller interaction energies with both the host acceptor and donor PM6. Compared to LA1, the appropriate mutual interactions in the LA9 ternary system not only induces the orderly crystallinity of PM6 but also better compatibility with the host acceptor, generating further optimized molecular orientations and ternary morphology. Therefore, enhanced charge transport and minimized recombination loss are detected in LA9 ternary devices, affording the most competitive performance among Y6-sbsent TOSCs. This work suggests that complicated intermolecular interactions should be seriously considered when fabricating state-of-the-art multiple components OSCs. © 2020 Wiley-VCH GmbH","archive":"Scopus","container-title":"Advanced Functional Materials","DOI":"10.1002/adfm.202007088","ISSN":"1616-301X","issue":"3","language":"English","source":"Scopus","title":"Rational Mutual Interactions in Ternary Systems Enable High-Performance Organic Solar Cells","volume":"31","author":[{"family":"Jiang","given":"H."},{"family":"Han","given":"C."},{"family":"Li","given":"Y."},{"family":"Bi","given":"F."},{"family":"Zheng","given":"N."},{"family":"Han","given":"J."},{"family":"Shen","given":"W."},{"family":"Wen","given":"S."},{"family":"Yang","given":"C."},{"family":"Yang","given":"R."},{"family":"Bao","given":"X."}],"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[157]</w:t>
            </w:r>
            <w:r w:rsidRPr="00B55044">
              <w:rPr>
                <w:rFonts w:eastAsia="Times New Roman"/>
                <w:color w:val="0000FF"/>
                <w:sz w:val="16"/>
                <w:szCs w:val="16"/>
              </w:rPr>
              <w:fldChar w:fldCharType="end"/>
            </w:r>
          </w:p>
        </w:tc>
      </w:tr>
      <w:tr w:rsidR="00D47774" w:rsidRPr="00B55044" w14:paraId="6755FB2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38D541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271</w:t>
            </w:r>
          </w:p>
        </w:tc>
        <w:tc>
          <w:tcPr>
            <w:tcW w:w="1525" w:type="pct"/>
            <w:tcBorders>
              <w:top w:val="single" w:sz="4" w:space="0" w:color="auto"/>
              <w:left w:val="nil"/>
              <w:bottom w:val="single" w:sz="4" w:space="0" w:color="auto"/>
              <w:right w:val="nil"/>
            </w:tcBorders>
            <w:shd w:val="clear" w:color="auto" w:fill="auto"/>
            <w:noWrap/>
            <w:vAlign w:val="bottom"/>
            <w:hideMark/>
          </w:tcPr>
          <w:p w14:paraId="1FDFFA1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6E89B78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3453270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750C7DE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25.64</w:t>
            </w:r>
          </w:p>
        </w:tc>
        <w:tc>
          <w:tcPr>
            <w:tcW w:w="378" w:type="pct"/>
            <w:tcBorders>
              <w:top w:val="single" w:sz="4" w:space="0" w:color="auto"/>
              <w:left w:val="nil"/>
              <w:bottom w:val="single" w:sz="4" w:space="0" w:color="auto"/>
              <w:right w:val="nil"/>
            </w:tcBorders>
            <w:shd w:val="clear" w:color="auto" w:fill="auto"/>
            <w:noWrap/>
            <w:vAlign w:val="bottom"/>
            <w:hideMark/>
          </w:tcPr>
          <w:p w14:paraId="7B47ACC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75.7</w:t>
            </w:r>
          </w:p>
        </w:tc>
        <w:tc>
          <w:tcPr>
            <w:tcW w:w="381" w:type="pct"/>
            <w:tcBorders>
              <w:top w:val="single" w:sz="4" w:space="0" w:color="auto"/>
              <w:left w:val="nil"/>
              <w:bottom w:val="single" w:sz="4" w:space="0" w:color="auto"/>
              <w:right w:val="nil"/>
            </w:tcBorders>
            <w:shd w:val="clear" w:color="auto" w:fill="auto"/>
            <w:noWrap/>
            <w:vAlign w:val="bottom"/>
            <w:hideMark/>
          </w:tcPr>
          <w:p w14:paraId="07BC842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16.7</w:t>
            </w:r>
          </w:p>
        </w:tc>
        <w:tc>
          <w:tcPr>
            <w:tcW w:w="378" w:type="pct"/>
            <w:tcBorders>
              <w:top w:val="single" w:sz="4" w:space="0" w:color="auto"/>
              <w:left w:val="nil"/>
              <w:bottom w:val="single" w:sz="4" w:space="0" w:color="auto"/>
              <w:right w:val="nil"/>
            </w:tcBorders>
            <w:shd w:val="clear" w:color="auto" w:fill="auto"/>
            <w:noWrap/>
            <w:vAlign w:val="bottom"/>
            <w:hideMark/>
          </w:tcPr>
          <w:p w14:paraId="6626534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{"citationID":"a15pualv7os","properties":{"formattedCitation":"[158]","plainCitation":"[158]","noteIndex":0},"citationItems":[{"id":492,"uris":["http://zotero.org/users/12909065/items/93Q3MYXZ"],"itemData":{"id":492,"type":"article-journal","abstract":"Molecular doping has recently been shown to improve the operating characteristics of organic photovoltaics (OPVs). Here, we prepare neutral Diquat (DQ) and use it as n-dopant to improve the performance of state-of-the-art OPVs. Adding DQ in ternary bulk-heterojunction (BHJ) cells based of PM6:Y6:PC71BM is found to consistently increase their power conversion efficiency (PCE) from 16.7 to 17.4%. Analyses of materials and devices reveal that DQ acts as n-type dopant and morphology modifier for the BHJ leading to observable changes in its surface topography. The resulting n-doped BHJs exhibit higher optical absorption coefficients, balanced ambipolar transport, longer carrier lifetimes and suppressed bimolecular recombination, which are ultimately responsible for the increased PCE. The use of DQ was successfully extended to OPVs based on PM6:BTP-eC9:PC71BM for which a maximum PCE of 18.3% (uncertified) was achieved. Our study highlights DQ as a promising dopant for application in next generation organic solar cells. ©","archive":"Scopus","container-title":"ACS Energy Letters","DOI":"10.1021/acsenergylett.0c01949","ISSN":"2380-8195","issue":"12","language":"English","page":"3663-3671","source":"Scopus","title":"A Simple n-Dopant Derived from Diquat Boosts the Efficiency of Organic Solar Cells to 18.3%","volume":"5","author":[{"family":"Lin","given":"Y."},{"family":"Nugraha","given":"M.I."},{"family":"Firdaus","given":"Y."},{"family":"Scaccabarozzi","given":"A.D."},{"family":"Aniés","given":"F."},{"family":"Emwas","given":"A.-H."},{"family":"Yengel","given":"E."},{"family":"Zheng","given":"X."},{"family":"Liu","given":"J."},{"family":"Wahyudi","given":"W."},{"family":"Yarali","given":"E."},{"family":"Faber","given":"H."},{"family":"Bakr","given":"O.M."},{"family":"Tsetseris","given":"L."},{"family":"Heeney","given":"M."},{"family":"Anthopoulos","given":"T.D."}],"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[158]</w:t>
            </w:r>
            <w:r w:rsidRPr="00B55044">
              <w:rPr>
                <w:rFonts w:eastAsia="Times New Roman"/>
                <w:color w:val="0000FF"/>
                <w:sz w:val="16"/>
                <w:szCs w:val="16"/>
              </w:rPr>
              <w:fldChar w:fldCharType="end"/>
            </w:r>
          </w:p>
        </w:tc>
      </w:tr>
      <w:tr w:rsidR="00D47774" w:rsidRPr="00B55044" w14:paraId="745F6FD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891B72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272</w:t>
            </w:r>
          </w:p>
        </w:tc>
        <w:tc>
          <w:tcPr>
            <w:tcW w:w="1525" w:type="pct"/>
            <w:tcBorders>
              <w:top w:val="single" w:sz="4" w:space="0" w:color="auto"/>
              <w:left w:val="nil"/>
              <w:bottom w:val="single" w:sz="4" w:space="0" w:color="auto"/>
              <w:right w:val="nil"/>
            </w:tcBorders>
            <w:shd w:val="clear" w:color="auto" w:fill="auto"/>
            <w:noWrap/>
            <w:vAlign w:val="bottom"/>
            <w:hideMark/>
          </w:tcPr>
          <w:p w14:paraId="392C29C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6E4BDCF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6F68942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0.855</w:t>
            </w:r>
          </w:p>
        </w:tc>
        <w:tc>
          <w:tcPr>
            <w:tcW w:w="379" w:type="pct"/>
            <w:tcBorders>
              <w:top w:val="single" w:sz="4" w:space="0" w:color="auto"/>
              <w:left w:val="nil"/>
              <w:bottom w:val="single" w:sz="4" w:space="0" w:color="auto"/>
              <w:right w:val="nil"/>
            </w:tcBorders>
            <w:shd w:val="clear" w:color="auto" w:fill="auto"/>
            <w:noWrap/>
            <w:vAlign w:val="bottom"/>
            <w:hideMark/>
          </w:tcPr>
          <w:p w14:paraId="1A08341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26.21</w:t>
            </w:r>
          </w:p>
        </w:tc>
        <w:tc>
          <w:tcPr>
            <w:tcW w:w="378" w:type="pct"/>
            <w:tcBorders>
              <w:top w:val="single" w:sz="4" w:space="0" w:color="auto"/>
              <w:left w:val="nil"/>
              <w:bottom w:val="single" w:sz="4" w:space="0" w:color="auto"/>
              <w:right w:val="nil"/>
            </w:tcBorders>
            <w:shd w:val="clear" w:color="auto" w:fill="auto"/>
            <w:noWrap/>
            <w:vAlign w:val="bottom"/>
            <w:hideMark/>
          </w:tcPr>
          <w:p w14:paraId="47C26E4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77.7</w:t>
            </w:r>
          </w:p>
        </w:tc>
        <w:tc>
          <w:tcPr>
            <w:tcW w:w="381" w:type="pct"/>
            <w:tcBorders>
              <w:top w:val="single" w:sz="4" w:space="0" w:color="auto"/>
              <w:left w:val="nil"/>
              <w:bottom w:val="single" w:sz="4" w:space="0" w:color="auto"/>
              <w:right w:val="nil"/>
            </w:tcBorders>
            <w:shd w:val="clear" w:color="auto" w:fill="auto"/>
            <w:noWrap/>
            <w:vAlign w:val="bottom"/>
            <w:hideMark/>
          </w:tcPr>
          <w:p w14:paraId="090D8E8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17.4</w:t>
            </w:r>
          </w:p>
        </w:tc>
        <w:tc>
          <w:tcPr>
            <w:tcW w:w="378" w:type="pct"/>
            <w:tcBorders>
              <w:top w:val="single" w:sz="4" w:space="0" w:color="auto"/>
              <w:left w:val="nil"/>
              <w:bottom w:val="single" w:sz="4" w:space="0" w:color="auto"/>
              <w:right w:val="nil"/>
            </w:tcBorders>
            <w:shd w:val="clear" w:color="auto" w:fill="auto"/>
            <w:noWrap/>
            <w:vAlign w:val="bottom"/>
            <w:hideMark/>
          </w:tcPr>
          <w:p w14:paraId="6821D11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{"citationID":"a1f02j5hou9","properties":{"formattedCitation":"[158]","plainCitation":"[158]","noteIndex":0},"citationItems":[{"id":492,"uris":["http://zotero.org/users/12909065/items/93Q3MYXZ"],"itemData":{"id":492,"type":"article-journal","abstract":"Molecular doping has recently been shown to improve the operating characteristics of organic photovoltaics (OPVs). Here, we prepare neutral Diquat (DQ) and use it as n-dopant to improve the performance of state-of-the-art OPVs. Adding DQ in ternary bulk-heterojunction (BHJ) cells based of PM6:Y6:PC71BM is found to consistently increase their power conversion efficiency (PCE) from 16.7 to 17.4%. Analyses of materials and devices reveal that DQ acts as n-type dopant and morphology modifier for the BHJ leading to observable changes in its surface topography. The resulting n-doped BHJs exhibit higher optical absorption coefficients, balanced ambipolar transport, longer carrier lifetimes and suppressed bimolecular recombination, which are ultimately responsible for the increased PCE. The use of DQ was successfully extended to OPVs based on PM6:BTP-eC9:PC71BM for which a maximum PCE of 18.3% (uncertified) was achieved. Our study highlights DQ as a promising dopant for application in next generation organic solar cells. ©","archive":"Scopus","container-title":"ACS Energy Letters","DOI":"10.1021/acsenergylett.0c01949","ISSN":"2380-8195","issue":"12","language":"English","page":"3663-3671","source":"Scopus","title":"A Simple n-Dopant Derived from Diquat Boosts the Efficiency of Organic Solar Cells to 18.3%","volume":"5","author":[{"family":"Lin","given":"Y."},{"family":"Nugraha","given":"M.I."},{"family":"Firdaus","given":"Y."},{"family":"Scaccabarozzi","given":"A.D."},{"family":"Aniés","given":"F."},{"family":"Emwas","given":"A.-H."},{"family":"Yengel","given":"E."},{"family":"Zheng","given":"X."},{"family":"Liu","given":"J."},{"family":"Wahyudi","given":"W."},{"family":"Yarali","given":"E."},{"family":"Faber","given":"H."},{"family":"Bakr","given":"O.M."},{"family":"Tsetseris","given":"L."},{"family":"Heeney","given":"M."},{"family":"Anthopoulos","given":"T.D."}],"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[158]</w:t>
            </w:r>
            <w:r w:rsidRPr="00B55044">
              <w:rPr>
                <w:rFonts w:eastAsia="Times New Roman"/>
                <w:color w:val="0000FF"/>
                <w:sz w:val="16"/>
                <w:szCs w:val="16"/>
              </w:rPr>
              <w:fldChar w:fldCharType="end"/>
            </w:r>
          </w:p>
        </w:tc>
      </w:tr>
      <w:tr w:rsidR="00D47774" w:rsidRPr="00B55044" w14:paraId="6F37A56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C51869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273</w:t>
            </w:r>
          </w:p>
        </w:tc>
        <w:tc>
          <w:tcPr>
            <w:tcW w:w="1525" w:type="pct"/>
            <w:tcBorders>
              <w:top w:val="single" w:sz="4" w:space="0" w:color="auto"/>
              <w:left w:val="nil"/>
              <w:bottom w:val="single" w:sz="4" w:space="0" w:color="auto"/>
              <w:right w:val="nil"/>
            </w:tcBorders>
            <w:shd w:val="clear" w:color="auto" w:fill="auto"/>
            <w:noWrap/>
            <w:vAlign w:val="bottom"/>
            <w:hideMark/>
          </w:tcPr>
          <w:p w14:paraId="2EA3E98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6141AD4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PM6:Y6:In2Se3 (5%)</w:t>
            </w:r>
          </w:p>
        </w:tc>
        <w:tc>
          <w:tcPr>
            <w:tcW w:w="379" w:type="pct"/>
            <w:tcBorders>
              <w:top w:val="single" w:sz="4" w:space="0" w:color="auto"/>
              <w:left w:val="nil"/>
              <w:bottom w:val="single" w:sz="4" w:space="0" w:color="auto"/>
              <w:right w:val="nil"/>
            </w:tcBorders>
            <w:shd w:val="clear" w:color="auto" w:fill="auto"/>
            <w:noWrap/>
            <w:vAlign w:val="bottom"/>
            <w:hideMark/>
          </w:tcPr>
          <w:p w14:paraId="2FA0D46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4801774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25.3</w:t>
            </w:r>
          </w:p>
        </w:tc>
        <w:tc>
          <w:tcPr>
            <w:tcW w:w="378" w:type="pct"/>
            <w:tcBorders>
              <w:top w:val="single" w:sz="4" w:space="0" w:color="auto"/>
              <w:left w:val="nil"/>
              <w:bottom w:val="single" w:sz="4" w:space="0" w:color="auto"/>
              <w:right w:val="nil"/>
            </w:tcBorders>
            <w:shd w:val="clear" w:color="auto" w:fill="auto"/>
            <w:noWrap/>
            <w:vAlign w:val="bottom"/>
            <w:hideMark/>
          </w:tcPr>
          <w:p w14:paraId="7B4A461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72.9</w:t>
            </w:r>
          </w:p>
        </w:tc>
        <w:tc>
          <w:tcPr>
            <w:tcW w:w="381" w:type="pct"/>
            <w:tcBorders>
              <w:top w:val="single" w:sz="4" w:space="0" w:color="auto"/>
              <w:left w:val="nil"/>
              <w:bottom w:val="single" w:sz="4" w:space="0" w:color="auto"/>
              <w:right w:val="nil"/>
            </w:tcBorders>
            <w:shd w:val="clear" w:color="auto" w:fill="auto"/>
            <w:noWrap/>
            <w:vAlign w:val="bottom"/>
            <w:hideMark/>
          </w:tcPr>
          <w:p w14:paraId="6B6FFC5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15.5</w:t>
            </w:r>
          </w:p>
        </w:tc>
        <w:tc>
          <w:tcPr>
            <w:tcW w:w="378" w:type="pct"/>
            <w:tcBorders>
              <w:top w:val="single" w:sz="4" w:space="0" w:color="auto"/>
              <w:left w:val="nil"/>
              <w:bottom w:val="single" w:sz="4" w:space="0" w:color="auto"/>
              <w:right w:val="nil"/>
            </w:tcBorders>
            <w:shd w:val="clear" w:color="auto" w:fill="auto"/>
            <w:noWrap/>
            <w:vAlign w:val="bottom"/>
            <w:hideMark/>
          </w:tcPr>
          <w:p w14:paraId="42310FC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{"citationID":"a27f5ns3kvn","properties":{"formattedCitation":"[159]","plainCitation":"[159]","noteIndex":0},"citationItems":[{"id":491,"uris":["http://zotero.org/users/12909065/items/4CTE2KEH"],"itemData":{"id":491,"type":"article-journal","abstract":"In this report, we demonstrated that the incorporation of 15 wt % two-dimensional transition-metal dichalcogenide materials indium selenide (In2Se3) nanosheets into a polymer (PM6)/small molecule (Y6) active layer not only increased its light absorption but also enhanced the long-term stability of the PM6/Y6/In2Se3 ternary blend organic photovoltaic (OPV) devices. The power conversion efficiency (PCE) of the device was improved from 15.7 to 16.5% for the corresponding PM6/Y6 binary blend device. Moreover, the PM6/Y6/In2Se3 device retained 80% of its initial PCE after thermal treatment at 100 °C for 600 h; in comparison, the binary blend device retained only 62% of its initial value. This relative enhancement of 29% resulted from the In2Se3 nanosheets retarding or facilitating molecule packing in different orientations that stabilizes the morphology of the active layer. We adopted a modified kinetics model to account for the intrinsic degradation of the OPV; the degradation-facilitated energy for the degradation kinetics of the PCE for the ternary blend device was 5.3 kJ/mol, half of that (11.3 kJ/mol) of the binary blend device, indicating a slower degradation rate occurring for the case of incorporating In2Se3 nanosheets. Therefore, the incorporation of transition metal dichalcogenide nanosheets having tunable band gaps and large asymmetric shape appears to be a new way to improve the long-term stability of devices and realize the practical use of OPVs. ©","archive":"Scopus","container-title":"ACS Applied Materials and Interfaces","DOI":"10.1021/acsami.0c14461","ISSN":"1944-8244","issue":"49","language":"English","page":"55023-55032","source":"Scopus","title":"Incorporating Indium Selenide Nanosheets into a Polymer/Small Molecule Binary Blend Active Layer Enhances the Long-Term Stability and Performance of Its Organic Photovoltaics","volume":"12","author":[{"family":"Chang","given":"B."},{"family":"Cheng","given":"H.-W."},{"family":"Lin","given":"Y.-C."},{"family":"Wang","given":"H.-C."},{"family":"Chen","given":"C.-H."},{"family":"Nguyen","given":"V.-T."},{"family":"Yang","given":"Y."},{"family":"Wei","given":"K.-H."}],"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[159]</w:t>
            </w:r>
            <w:r w:rsidRPr="00B55044">
              <w:rPr>
                <w:rFonts w:eastAsia="Times New Roman"/>
                <w:color w:val="0000FF"/>
                <w:sz w:val="16"/>
                <w:szCs w:val="16"/>
              </w:rPr>
              <w:fldChar w:fldCharType="end"/>
            </w:r>
          </w:p>
        </w:tc>
      </w:tr>
      <w:tr w:rsidR="00D47774" w:rsidRPr="00B55044" w14:paraId="55D3831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4D1454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274</w:t>
            </w:r>
          </w:p>
        </w:tc>
        <w:tc>
          <w:tcPr>
            <w:tcW w:w="1525" w:type="pct"/>
            <w:tcBorders>
              <w:top w:val="single" w:sz="4" w:space="0" w:color="auto"/>
              <w:left w:val="nil"/>
              <w:bottom w:val="single" w:sz="4" w:space="0" w:color="auto"/>
              <w:right w:val="nil"/>
            </w:tcBorders>
            <w:shd w:val="clear" w:color="auto" w:fill="auto"/>
            <w:noWrap/>
            <w:vAlign w:val="bottom"/>
            <w:hideMark/>
          </w:tcPr>
          <w:p w14:paraId="2B5B54C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69D0925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PM6:Y6:In2Se3 (10%)</w:t>
            </w:r>
          </w:p>
        </w:tc>
        <w:tc>
          <w:tcPr>
            <w:tcW w:w="379" w:type="pct"/>
            <w:tcBorders>
              <w:top w:val="single" w:sz="4" w:space="0" w:color="auto"/>
              <w:left w:val="nil"/>
              <w:bottom w:val="single" w:sz="4" w:space="0" w:color="auto"/>
              <w:right w:val="nil"/>
            </w:tcBorders>
            <w:shd w:val="clear" w:color="auto" w:fill="auto"/>
            <w:noWrap/>
            <w:vAlign w:val="bottom"/>
            <w:hideMark/>
          </w:tcPr>
          <w:p w14:paraId="018BD07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w:t>
            </w:r>
          </w:p>
        </w:tc>
        <w:tc>
          <w:tcPr>
            <w:tcW w:w="379" w:type="pct"/>
            <w:tcBorders>
              <w:top w:val="single" w:sz="4" w:space="0" w:color="auto"/>
              <w:left w:val="nil"/>
              <w:bottom w:val="single" w:sz="4" w:space="0" w:color="auto"/>
              <w:right w:val="nil"/>
            </w:tcBorders>
            <w:shd w:val="clear" w:color="auto" w:fill="auto"/>
            <w:noWrap/>
            <w:vAlign w:val="bottom"/>
            <w:hideMark/>
          </w:tcPr>
          <w:p w14:paraId="6BC9B83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25.8</w:t>
            </w:r>
          </w:p>
        </w:tc>
        <w:tc>
          <w:tcPr>
            <w:tcW w:w="378" w:type="pct"/>
            <w:tcBorders>
              <w:top w:val="single" w:sz="4" w:space="0" w:color="auto"/>
              <w:left w:val="nil"/>
              <w:bottom w:val="single" w:sz="4" w:space="0" w:color="auto"/>
              <w:right w:val="nil"/>
            </w:tcBorders>
            <w:shd w:val="clear" w:color="auto" w:fill="auto"/>
            <w:noWrap/>
            <w:vAlign w:val="bottom"/>
            <w:hideMark/>
          </w:tcPr>
          <w:p w14:paraId="34AD761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74.6</w:t>
            </w:r>
          </w:p>
        </w:tc>
        <w:tc>
          <w:tcPr>
            <w:tcW w:w="381" w:type="pct"/>
            <w:tcBorders>
              <w:top w:val="single" w:sz="4" w:space="0" w:color="auto"/>
              <w:left w:val="nil"/>
              <w:bottom w:val="single" w:sz="4" w:space="0" w:color="auto"/>
              <w:right w:val="nil"/>
            </w:tcBorders>
            <w:shd w:val="clear" w:color="auto" w:fill="auto"/>
            <w:noWrap/>
            <w:vAlign w:val="bottom"/>
            <w:hideMark/>
          </w:tcPr>
          <w:p w14:paraId="7D9840D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16.1</w:t>
            </w:r>
          </w:p>
        </w:tc>
        <w:tc>
          <w:tcPr>
            <w:tcW w:w="378" w:type="pct"/>
            <w:tcBorders>
              <w:top w:val="single" w:sz="4" w:space="0" w:color="auto"/>
              <w:left w:val="nil"/>
              <w:bottom w:val="single" w:sz="4" w:space="0" w:color="auto"/>
              <w:right w:val="nil"/>
            </w:tcBorders>
            <w:shd w:val="clear" w:color="auto" w:fill="auto"/>
            <w:noWrap/>
            <w:vAlign w:val="bottom"/>
            <w:hideMark/>
          </w:tcPr>
          <w:p w14:paraId="54FBAAC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{"citationID":"ahpkk7dch1","properties":{"formattedCitation":"[159]","plainCitation":"[159]","noteIndex":0},"citationItems":[{"id":491,"uris":["http://zotero.org/users/12909065/items/4CTE2KEH"],"itemData":{"id":491,"type":"article-journal","abstract":"In this report, we demonstrated that the incorporation of 15 wt % two-dimensional transition-metal dichalcogenide materials indium selenide (In2Se3) nanosheets into a polymer (PM6)/small molecule (Y6) active layer not only increased its light absorption but also enhanced the long-term stability of the PM6/Y6/In2Se3 ternary blend organic photovoltaic (OPV) devices. The power conversion efficiency (PCE) of the device was improved from 15.7 to 16.5% for the corresponding PM6/Y6 binary blend device. Moreover, the PM6/Y6/In2Se3 device retained 80% of its initial PCE after thermal treatment at 100 °C for 600 h; in comparison, the binary blend device retained only 62% of its initial value. This relative enhancement of 29% resulted from the In2Se3 nanosheets retarding or facilitating molecule packing in different orientations that stabilizes the morphology of the active layer. We adopted a modified kinetics model to account for the intrinsic degradation of the OPV; the degradation-facilitated energy for the degradation kinetics of the PCE for the ternary blend device was 5.3 kJ/mol, half of that (11.3 kJ/mol) of the binary blend device, indicating a slower degradation rate occurring for the case of incorporating In2Se3 nanosheets. Therefore, the incorporation of transition metal dichalcogenide nanosheets having tunable band gaps and large asymmetric shape appears to be a new way to improve the long-term stability of devices and realize the practical use of OPVs. ©","archive":"Scopus","container-title":"ACS Applied Materials and Interfaces","DOI":"10.1021/acsami.0c14461","ISSN":"1944-8244","issue":"49","language":"English","page":"55023-55032","source":"Scopus","title":"Incorporating Indium Selenide Nanosheets into a Polymer/Small Molecule Binary Blend Active Layer Enhances the Long-Term Stability and Performance of Its Organic Photovoltaics","volume":"12","author":[{"family":"Chang","given":"B."},{"family":"Cheng","given":"H.-W."},{"family":"Lin","given":"Y.-C."},{"family":"Wang","given":"H.-C."},{"family":"Chen","given":"C.-H."},{"family":"Nguyen","given":"V.-T."},{"family":"Yang","given":"Y."},{"family":"Wei","given":"K.-H."}],"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[159]</w:t>
            </w:r>
            <w:r w:rsidRPr="00B55044">
              <w:rPr>
                <w:rFonts w:eastAsia="Times New Roman"/>
                <w:color w:val="0000FF"/>
                <w:sz w:val="16"/>
                <w:szCs w:val="16"/>
              </w:rPr>
              <w:fldChar w:fldCharType="end"/>
            </w:r>
          </w:p>
        </w:tc>
      </w:tr>
      <w:tr w:rsidR="00D47774" w:rsidRPr="00B55044" w14:paraId="3F1CF06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E59BBD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275</w:t>
            </w:r>
          </w:p>
        </w:tc>
        <w:tc>
          <w:tcPr>
            <w:tcW w:w="1525" w:type="pct"/>
            <w:tcBorders>
              <w:top w:val="single" w:sz="4" w:space="0" w:color="auto"/>
              <w:left w:val="nil"/>
              <w:bottom w:val="single" w:sz="4" w:space="0" w:color="auto"/>
              <w:right w:val="nil"/>
            </w:tcBorders>
            <w:shd w:val="clear" w:color="auto" w:fill="auto"/>
            <w:noWrap/>
            <w:vAlign w:val="bottom"/>
            <w:hideMark/>
          </w:tcPr>
          <w:p w14:paraId="4386F0F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2AD6AB0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PM6:Y6:In2Se3 (15%)</w:t>
            </w:r>
          </w:p>
        </w:tc>
        <w:tc>
          <w:tcPr>
            <w:tcW w:w="379" w:type="pct"/>
            <w:tcBorders>
              <w:top w:val="single" w:sz="4" w:space="0" w:color="auto"/>
              <w:left w:val="nil"/>
              <w:bottom w:val="single" w:sz="4" w:space="0" w:color="auto"/>
              <w:right w:val="nil"/>
            </w:tcBorders>
            <w:shd w:val="clear" w:color="auto" w:fill="auto"/>
            <w:noWrap/>
            <w:vAlign w:val="bottom"/>
            <w:hideMark/>
          </w:tcPr>
          <w:p w14:paraId="086C75C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w:t>
            </w:r>
          </w:p>
        </w:tc>
        <w:tc>
          <w:tcPr>
            <w:tcW w:w="379" w:type="pct"/>
            <w:tcBorders>
              <w:top w:val="single" w:sz="4" w:space="0" w:color="auto"/>
              <w:left w:val="nil"/>
              <w:bottom w:val="single" w:sz="4" w:space="0" w:color="auto"/>
              <w:right w:val="nil"/>
            </w:tcBorders>
            <w:shd w:val="clear" w:color="auto" w:fill="auto"/>
            <w:noWrap/>
            <w:vAlign w:val="bottom"/>
            <w:hideMark/>
          </w:tcPr>
          <w:p w14:paraId="43EF10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25.9</w:t>
            </w:r>
          </w:p>
        </w:tc>
        <w:tc>
          <w:tcPr>
            <w:tcW w:w="378" w:type="pct"/>
            <w:tcBorders>
              <w:top w:val="single" w:sz="4" w:space="0" w:color="auto"/>
              <w:left w:val="nil"/>
              <w:bottom w:val="single" w:sz="4" w:space="0" w:color="auto"/>
              <w:right w:val="nil"/>
            </w:tcBorders>
            <w:shd w:val="clear" w:color="auto" w:fill="auto"/>
            <w:noWrap/>
            <w:vAlign w:val="bottom"/>
            <w:hideMark/>
          </w:tcPr>
          <w:p w14:paraId="455094D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75.6</w:t>
            </w:r>
          </w:p>
        </w:tc>
        <w:tc>
          <w:tcPr>
            <w:tcW w:w="381" w:type="pct"/>
            <w:tcBorders>
              <w:top w:val="single" w:sz="4" w:space="0" w:color="auto"/>
              <w:left w:val="nil"/>
              <w:bottom w:val="single" w:sz="4" w:space="0" w:color="auto"/>
              <w:right w:val="nil"/>
            </w:tcBorders>
            <w:shd w:val="clear" w:color="auto" w:fill="auto"/>
            <w:noWrap/>
            <w:vAlign w:val="bottom"/>
            <w:hideMark/>
          </w:tcPr>
          <w:p w14:paraId="3F69D6A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16.3</w:t>
            </w:r>
          </w:p>
        </w:tc>
        <w:tc>
          <w:tcPr>
            <w:tcW w:w="378" w:type="pct"/>
            <w:tcBorders>
              <w:top w:val="single" w:sz="4" w:space="0" w:color="auto"/>
              <w:left w:val="nil"/>
              <w:bottom w:val="single" w:sz="4" w:space="0" w:color="auto"/>
              <w:right w:val="nil"/>
            </w:tcBorders>
            <w:shd w:val="clear" w:color="auto" w:fill="auto"/>
            <w:noWrap/>
            <w:vAlign w:val="bottom"/>
            <w:hideMark/>
          </w:tcPr>
          <w:p w14:paraId="5A5D0F3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{"citationID":"as9uu0id77","properties":{"formattedCitation":"[159]","plainCitation":"[159]","noteIndex":0},"citationItems":[{"id":491,"uris":["http://zotero.org/users/12909065/items/4CTE2KEH"],"itemData":{"id":491,"type":"article-journal","abstract":"In this report, we demonstrated that the incorporation of 15 wt % two-dimensional transition-metal dichalcogenide materials indium selenide (In2Se3) nanosheets into a polymer (PM6)/small molecule (Y6) active layer not only increased its light absorption but also enhanced the long-term stability of the PM6/Y6/In2Se3 ternary blend organic photovoltaic (OPV) devices. The power conversion efficiency (PCE) of the device was improved from 15.7 to 16.5% for the corresponding PM6/Y6 binary blend device. Moreover, the PM6/Y6/In2Se3 device retained 80% of its initial PCE after thermal treatment at 100 °C for 600 h; in comparison, the binary blend device retained only 62% of its initial value. This relative enhancement of 29% resulted from the In2Se3 nanosheets retarding or facilitating molecule packing in different orientations that stabilizes the morphology of the active layer. We adopted a modified kinetics model to account for the intrinsic degradation of the OPV; the degradation-facilitated energy for the degradation kinetics of the PCE for the ternary blend device was 5.3 kJ/mol, half of that (11.3 kJ/mol) of the binary blend device, indicating a slower degradation rate occurring for the case of incorporating In2Se3 nanosheets. Therefore, the incorporation of transition metal dichalcogenide nanosheets having tunable band gaps and large asymmetric shape appears to be a new way to improve the long-term stability of devices and realize the practical use of OPVs. ©","archive":"Scopus","container-title":"ACS Applied Materials and Interfaces","DOI":"10.1021/acsami.0c14461","ISSN":"1944-8244","issue":"49","language":"English","page":"55023-55032","source":"Scopus","title":"Incorporating Indium Selenide Nanosheets into a Polymer/Small Molecule Binary Blend Active Layer Enhances the Long-Term Stability and Performance of Its Organic Photovoltaics","volume":"12","author":[{"family":"Chang","given":"B."},{"family":"Cheng","given":"H.-W."},{"family":"Lin","given":"Y.-C."},{"family":"Wang","given":"H.-C."},{"family":"Chen","given":"C.-H."},{"family":"Nguyen","given":"V.-T."},{"family":"Yang","given":"Y."},{"family":"Wei","given":"K.-H."}],"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[159]</w:t>
            </w:r>
            <w:r w:rsidRPr="00B55044">
              <w:rPr>
                <w:rFonts w:eastAsia="Times New Roman"/>
                <w:color w:val="0000FF"/>
                <w:sz w:val="16"/>
                <w:szCs w:val="16"/>
              </w:rPr>
              <w:fldChar w:fldCharType="end"/>
            </w:r>
          </w:p>
        </w:tc>
      </w:tr>
      <w:tr w:rsidR="00D47774" w:rsidRPr="00B55044" w14:paraId="2FF09D6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43F168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276</w:t>
            </w:r>
          </w:p>
        </w:tc>
        <w:tc>
          <w:tcPr>
            <w:tcW w:w="1525" w:type="pct"/>
            <w:tcBorders>
              <w:top w:val="single" w:sz="4" w:space="0" w:color="auto"/>
              <w:left w:val="nil"/>
              <w:bottom w:val="single" w:sz="4" w:space="0" w:color="auto"/>
              <w:right w:val="nil"/>
            </w:tcBorders>
            <w:shd w:val="clear" w:color="auto" w:fill="auto"/>
            <w:noWrap/>
            <w:vAlign w:val="bottom"/>
            <w:hideMark/>
          </w:tcPr>
          <w:p w14:paraId="134F151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5BE94FC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PM6:Y6:In2Se3 (20%)</w:t>
            </w:r>
          </w:p>
        </w:tc>
        <w:tc>
          <w:tcPr>
            <w:tcW w:w="379" w:type="pct"/>
            <w:tcBorders>
              <w:top w:val="single" w:sz="4" w:space="0" w:color="auto"/>
              <w:left w:val="nil"/>
              <w:bottom w:val="single" w:sz="4" w:space="0" w:color="auto"/>
              <w:right w:val="nil"/>
            </w:tcBorders>
            <w:shd w:val="clear" w:color="auto" w:fill="auto"/>
            <w:noWrap/>
            <w:vAlign w:val="bottom"/>
            <w:hideMark/>
          </w:tcPr>
          <w:p w14:paraId="20A73EA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w:t>
            </w:r>
          </w:p>
        </w:tc>
        <w:tc>
          <w:tcPr>
            <w:tcW w:w="379" w:type="pct"/>
            <w:tcBorders>
              <w:top w:val="single" w:sz="4" w:space="0" w:color="auto"/>
              <w:left w:val="nil"/>
              <w:bottom w:val="single" w:sz="4" w:space="0" w:color="auto"/>
              <w:right w:val="nil"/>
            </w:tcBorders>
            <w:shd w:val="clear" w:color="auto" w:fill="auto"/>
            <w:noWrap/>
            <w:vAlign w:val="bottom"/>
            <w:hideMark/>
          </w:tcPr>
          <w:p w14:paraId="4B1B0B3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25.8</w:t>
            </w:r>
          </w:p>
        </w:tc>
        <w:tc>
          <w:tcPr>
            <w:tcW w:w="378" w:type="pct"/>
            <w:tcBorders>
              <w:top w:val="single" w:sz="4" w:space="0" w:color="auto"/>
              <w:left w:val="nil"/>
              <w:bottom w:val="single" w:sz="4" w:space="0" w:color="auto"/>
              <w:right w:val="nil"/>
            </w:tcBorders>
            <w:shd w:val="clear" w:color="auto" w:fill="auto"/>
            <w:noWrap/>
            <w:vAlign w:val="bottom"/>
            <w:hideMark/>
          </w:tcPr>
          <w:p w14:paraId="678B38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75.1</w:t>
            </w:r>
          </w:p>
        </w:tc>
        <w:tc>
          <w:tcPr>
            <w:tcW w:w="381" w:type="pct"/>
            <w:tcBorders>
              <w:top w:val="single" w:sz="4" w:space="0" w:color="auto"/>
              <w:left w:val="nil"/>
              <w:bottom w:val="single" w:sz="4" w:space="0" w:color="auto"/>
              <w:right w:val="nil"/>
            </w:tcBorders>
            <w:shd w:val="clear" w:color="auto" w:fill="auto"/>
            <w:noWrap/>
            <w:vAlign w:val="bottom"/>
            <w:hideMark/>
          </w:tcPr>
          <w:p w14:paraId="6300341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w:t>
            </w:r>
          </w:p>
        </w:tc>
        <w:tc>
          <w:tcPr>
            <w:tcW w:w="378" w:type="pct"/>
            <w:tcBorders>
              <w:top w:val="single" w:sz="4" w:space="0" w:color="auto"/>
              <w:left w:val="nil"/>
              <w:bottom w:val="single" w:sz="4" w:space="0" w:color="auto"/>
              <w:right w:val="nil"/>
            </w:tcBorders>
            <w:shd w:val="clear" w:color="auto" w:fill="auto"/>
            <w:noWrap/>
            <w:vAlign w:val="bottom"/>
            <w:hideMark/>
          </w:tcPr>
          <w:p w14:paraId="19DC352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{"citationID":"a11a9713upj","properties":{"formattedCitation":"[159]","plainCitation":"[159]","noteIndex":0},"citationItems":[{"id":491,"uris":["http://zotero.org/users/12909065/items/4CTE2KEH"],"itemData":{"id":491,"type":"article-journal","abstract":"In this report, we demonstrated that the incorporation of 15 wt % two-dimensional transition-metal dichalcogenide materials indium selenide (In2Se3) nanosheets into a polymer (PM6)/small molecule (Y6) active layer not only increased its light absorption but also enhanced the long-term stability of the PM6/Y6/In2Se3 ternary blend organic photovoltaic (OPV) devices. The power conversion efficiency (PCE) of the device was improved from 15.7 to 16.5% for the corresponding PM6/Y6 binary blend device. Moreover, the PM6/Y6/In2Se3 device retained 80% of its initial PCE after thermal treatment at 100 °C for 600 h; in comparison, the binary blend device retained only 62% of its initial value. This relative enhancement of 29% resulted from the In2Se3 nanosheets retarding or facilitating molecule packing in different orientations that stabilizes the morphology of the active layer. We adopted a modified kinetics model to account for the intrinsic degradation of the OPV; the degradation-facilitated energy for the degradation kinetics of the PCE for the ternary blend device was 5.3 kJ/mol, half of that (11.3 kJ/mol) of the binary blend device, indicating a slower degradation rate occurring for the case of incorporating In2Se3 nanosheets. Therefore, the incorporation of transition metal dichalcogenide nanosheets having tunable band gaps and large asymmetric shape appears to be a new way to improve the long-term stability of devices and realize the practical use of OPVs. ©","archive":"Scopus","container-title":"ACS Applied Materials and Interfaces","DOI":"10.1021/acsami.0c14461","ISSN":"1944-8244","issue":"49","language":"English","page":"55023-55032","source":"Scopus","title":"Incorporating Indium Selenide Nanosheets into a Polymer/Small Molecule Binary Blend Active Layer Enhances the Long-Term Stability and Performance of Its Organic Photovoltaics","volume":"12","author":[{"family":"Chang","given":"B."},{"family":"Cheng","given":"H.-W."},{"family":"Lin","given":"Y.-C."},{"family":"Wang","given":"H.-C."},{"family":"Chen","given":"C.-H."},{"family":"Nguyen","given":"V.-T."},{"family":"Yang","given":"Y."},{"family":"Wei","given":"K.-H."}],"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[159]</w:t>
            </w:r>
            <w:r w:rsidRPr="00B55044">
              <w:rPr>
                <w:rFonts w:eastAsia="Times New Roman"/>
                <w:color w:val="0000FF"/>
                <w:sz w:val="16"/>
                <w:szCs w:val="16"/>
              </w:rPr>
              <w:fldChar w:fldCharType="end"/>
            </w:r>
          </w:p>
        </w:tc>
      </w:tr>
      <w:tr w:rsidR="00D47774" w:rsidRPr="00B55044" w14:paraId="399B3D7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CD2FF5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277</w:t>
            </w:r>
          </w:p>
        </w:tc>
        <w:tc>
          <w:tcPr>
            <w:tcW w:w="1525" w:type="pct"/>
            <w:tcBorders>
              <w:top w:val="single" w:sz="4" w:space="0" w:color="auto"/>
              <w:left w:val="nil"/>
              <w:bottom w:val="single" w:sz="4" w:space="0" w:color="auto"/>
              <w:right w:val="nil"/>
            </w:tcBorders>
            <w:shd w:val="clear" w:color="auto" w:fill="auto"/>
            <w:noWrap/>
            <w:vAlign w:val="bottom"/>
            <w:hideMark/>
          </w:tcPr>
          <w:p w14:paraId="05996E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6A3CF7B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PM6:Y6:In2Se3 (25%)</w:t>
            </w:r>
          </w:p>
        </w:tc>
        <w:tc>
          <w:tcPr>
            <w:tcW w:w="379" w:type="pct"/>
            <w:tcBorders>
              <w:top w:val="single" w:sz="4" w:space="0" w:color="auto"/>
              <w:left w:val="nil"/>
              <w:bottom w:val="single" w:sz="4" w:space="0" w:color="auto"/>
              <w:right w:val="nil"/>
            </w:tcBorders>
            <w:shd w:val="clear" w:color="auto" w:fill="auto"/>
            <w:noWrap/>
            <w:vAlign w:val="bottom"/>
            <w:hideMark/>
          </w:tcPr>
          <w:p w14:paraId="3FF8966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3EAFB71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25.6</w:t>
            </w:r>
          </w:p>
        </w:tc>
        <w:tc>
          <w:tcPr>
            <w:tcW w:w="378" w:type="pct"/>
            <w:tcBorders>
              <w:top w:val="single" w:sz="4" w:space="0" w:color="auto"/>
              <w:left w:val="nil"/>
              <w:bottom w:val="single" w:sz="4" w:space="0" w:color="auto"/>
              <w:right w:val="nil"/>
            </w:tcBorders>
            <w:shd w:val="clear" w:color="auto" w:fill="auto"/>
            <w:noWrap/>
            <w:vAlign w:val="bottom"/>
            <w:hideMark/>
          </w:tcPr>
          <w:p w14:paraId="761042A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73.6</w:t>
            </w:r>
          </w:p>
        </w:tc>
        <w:tc>
          <w:tcPr>
            <w:tcW w:w="381" w:type="pct"/>
            <w:tcBorders>
              <w:top w:val="single" w:sz="4" w:space="0" w:color="auto"/>
              <w:left w:val="nil"/>
              <w:bottom w:val="single" w:sz="4" w:space="0" w:color="auto"/>
              <w:right w:val="nil"/>
            </w:tcBorders>
            <w:shd w:val="clear" w:color="auto" w:fill="auto"/>
            <w:noWrap/>
            <w:vAlign w:val="bottom"/>
            <w:hideMark/>
          </w:tcPr>
          <w:p w14:paraId="68DAC5B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15.8</w:t>
            </w:r>
          </w:p>
        </w:tc>
        <w:tc>
          <w:tcPr>
            <w:tcW w:w="378" w:type="pct"/>
            <w:tcBorders>
              <w:top w:val="single" w:sz="4" w:space="0" w:color="auto"/>
              <w:left w:val="nil"/>
              <w:bottom w:val="single" w:sz="4" w:space="0" w:color="auto"/>
              <w:right w:val="nil"/>
            </w:tcBorders>
            <w:shd w:val="clear" w:color="auto" w:fill="auto"/>
            <w:noWrap/>
            <w:vAlign w:val="bottom"/>
            <w:hideMark/>
          </w:tcPr>
          <w:p w14:paraId="2BDF891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{"citationID":"a1006jl8k5k","properties":{"formattedCitation":"[159]","plainCitation":"[159]","noteIndex":0},"citationItems":[{"id":491,"uris":["http://zotero.org/users/12909065/items/4CTE2KEH"],"itemData":{"id":491,"type":"article-journal","abstract":"In this report, we demonstrated that the incorporation of 15 wt % two-dimensional transition-metal dichalcogenide materials indium selenide (In2Se3) nanosheets into a polymer (PM6)/small molecule (Y6) active layer not only increased its light absorption but also enhanced the long-term stability of the PM6/Y6/In2Se3 ternary blend organic photovoltaic (OPV) devices. The power conversion efficiency (PCE) of the device was improved from 15.7 to 16.5% for the corresponding PM6/Y6 binary blend device. Moreover, the PM6/Y6/In2Se3 device retained 80% of its initial PCE after thermal treatment at 100 °C for 600 h; in comparison, the binary blend device retained only 62% of its initial value. This relative enhancement of 29% resulted from the In2Se3 nanosheets retarding or facilitating molecule packing in different orientations that stabilizes the morphology of the active layer. We adopted a modified kinetics model to account for the intrinsic degradation of the OPV; the degradation-facilitated energy for the degradation kinetics of the PCE for the ternary blend device was 5.3 kJ/mol, half of that (11.3 kJ/mol) of the binary blend device, indicating a slower degradation rate occurring for the case of incorporating In2Se3 nanosheets. Therefore, the incorporation of transition metal dichalcogenide nanosheets having tunable band gaps and large asymmetric shape appears to be a new way to improve the long-term stability of devices and realize the practical use of OPVs. ©","archive":"Scopus","container-title":"ACS Applied Materials and Interfaces","DOI":"10.1021/acsami.0c14461","ISSN":"1944-8244","issue":"49","language":"English","page":"55023-55032","source":"Scopus","title":"Incorporating Indium Selenide Nanosheets into a Polymer/Small Molecule Binary Blend Active Layer Enhances the Long-Term Stability and Performance of Its Organic Photovoltaics","volume":"12","author":[{"family":"Chang","given":"B."},{"family":"Cheng","given":"H.-W."},{"family":"Lin","given":"Y.-C."},{"family":"Wang","given":"H.-C."},{"family":"Chen","given":"C.-H."},{"family":"Nguyen","given":"V.-T."},{"family":"Yang","given":"Y."},{"family":"Wei","given":"K.-H."}],"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[159]</w:t>
            </w:r>
            <w:r w:rsidRPr="00B55044">
              <w:rPr>
                <w:rFonts w:eastAsia="Times New Roman"/>
                <w:color w:val="0000FF"/>
                <w:sz w:val="16"/>
                <w:szCs w:val="16"/>
              </w:rPr>
              <w:fldChar w:fldCharType="end"/>
            </w:r>
          </w:p>
        </w:tc>
      </w:tr>
      <w:tr w:rsidR="00D47774" w:rsidRPr="00B55044" w14:paraId="3684B9F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392506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278</w:t>
            </w:r>
          </w:p>
        </w:tc>
        <w:tc>
          <w:tcPr>
            <w:tcW w:w="1525" w:type="pct"/>
            <w:tcBorders>
              <w:top w:val="single" w:sz="4" w:space="0" w:color="auto"/>
              <w:left w:val="nil"/>
              <w:bottom w:val="single" w:sz="4" w:space="0" w:color="auto"/>
              <w:right w:val="nil"/>
            </w:tcBorders>
            <w:shd w:val="clear" w:color="auto" w:fill="auto"/>
            <w:noWrap/>
            <w:vAlign w:val="bottom"/>
            <w:hideMark/>
          </w:tcPr>
          <w:p w14:paraId="6F236C8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3D06C9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PM6:S3(10%):Y6</w:t>
            </w:r>
          </w:p>
        </w:tc>
        <w:tc>
          <w:tcPr>
            <w:tcW w:w="379" w:type="pct"/>
            <w:tcBorders>
              <w:top w:val="single" w:sz="4" w:space="0" w:color="auto"/>
              <w:left w:val="nil"/>
              <w:bottom w:val="single" w:sz="4" w:space="0" w:color="auto"/>
              <w:right w:val="nil"/>
            </w:tcBorders>
            <w:shd w:val="clear" w:color="auto" w:fill="auto"/>
            <w:noWrap/>
            <w:vAlign w:val="bottom"/>
            <w:hideMark/>
          </w:tcPr>
          <w:p w14:paraId="4869A9A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189EEDE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24.68</w:t>
            </w:r>
          </w:p>
        </w:tc>
        <w:tc>
          <w:tcPr>
            <w:tcW w:w="378" w:type="pct"/>
            <w:tcBorders>
              <w:top w:val="single" w:sz="4" w:space="0" w:color="auto"/>
              <w:left w:val="nil"/>
              <w:bottom w:val="single" w:sz="4" w:space="0" w:color="auto"/>
              <w:right w:val="nil"/>
            </w:tcBorders>
            <w:shd w:val="clear" w:color="auto" w:fill="auto"/>
            <w:noWrap/>
            <w:vAlign w:val="bottom"/>
            <w:hideMark/>
          </w:tcPr>
          <w:p w14:paraId="24185B4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78.53</w:t>
            </w:r>
          </w:p>
        </w:tc>
        <w:tc>
          <w:tcPr>
            <w:tcW w:w="381" w:type="pct"/>
            <w:tcBorders>
              <w:top w:val="single" w:sz="4" w:space="0" w:color="auto"/>
              <w:left w:val="nil"/>
              <w:bottom w:val="single" w:sz="4" w:space="0" w:color="auto"/>
              <w:right w:val="nil"/>
            </w:tcBorders>
            <w:shd w:val="clear" w:color="auto" w:fill="auto"/>
            <w:noWrap/>
            <w:vAlign w:val="bottom"/>
            <w:hideMark/>
          </w:tcPr>
          <w:p w14:paraId="55738A4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16.85</w:t>
            </w:r>
          </w:p>
        </w:tc>
        <w:tc>
          <w:tcPr>
            <w:tcW w:w="378" w:type="pct"/>
            <w:tcBorders>
              <w:top w:val="single" w:sz="4" w:space="0" w:color="auto"/>
              <w:left w:val="nil"/>
              <w:bottom w:val="single" w:sz="4" w:space="0" w:color="auto"/>
              <w:right w:val="nil"/>
            </w:tcBorders>
            <w:shd w:val="clear" w:color="auto" w:fill="auto"/>
            <w:noWrap/>
            <w:vAlign w:val="bottom"/>
            <w:hideMark/>
          </w:tcPr>
          <w:p w14:paraId="4C8C1EC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{"citationID":"a7ti8muv2","properties":{"formattedCitation":"[160]","plainCitation":"[160]","noteIndex":0},"citationItems":[{"id":238,"uris":["http://zotero.org/users/12909065/items/6ZKJJJK8"],"itemData":{"id":238,"type":"article-journal","abstract":"A ternary strategy has been demonstrated as a promising method to further boost the performance of organic solar cells (OSCs). Herein, an efficient polymer donor S3 was synthesized and incorporated into a PM6:Y6 system to fabricate ternary OSCs. S3 possesses complementary absorption spectra and good compatibility with PM6, which is beneficial to fine-tune the photon harvesting and morphology of the ternary blend films, resulting in simultaneous enhancement of the short-circuit current density (JSC) and fill factor (FF). In addition, the highest occupied molecular orbital (HOMO) energy level of S3 is slightly lower than that of PM6, which enables lower nonradiative energy loss in ternary OSCs compared with that of PM6-based binary OSCs, leading to higher open-circuit voltage (VOC). The optimized ternary OSCs with 20 wt% S3 in the donors achieve a PCE of 17.53%, which should be among the highest values of ternary OSCs. This work provides an effective approach to fabricate high-performance ternary OSCs by synergizing two well-matched polymer donors. This journal is © The Royal Society of Chemistry.","archive":"Scopus","container-title":"Energy and Environmental Science","DOI":"10.1039/d0ee02516j","ISSN":"1754-5692","issue":"12","language":"English","page":"5039-5047","source":"Scopus","title":"Two compatible polymer donors contribute synergistically for ternary organic solar cells with 17.53% efficiency","volume":"13","author":[{"family":"An","given":"Q."},{"family":"Wang","given":"J."},{"family":"Ma","given":"X."},{"family":"Gao","given":"J."},{"family":"Hu","given":"Z."},{"family":"Liu","given":"B."},{"family":"Sun","given":"H."},{"family":"Guo","given":"X."},{"family":"Zhang","given":"X."},{"family":"Zhang","given":"F."}],"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[160]</w:t>
            </w:r>
            <w:r w:rsidRPr="00B55044">
              <w:rPr>
                <w:rFonts w:eastAsia="Times New Roman"/>
                <w:color w:val="0000FF"/>
                <w:sz w:val="16"/>
                <w:szCs w:val="16"/>
              </w:rPr>
              <w:fldChar w:fldCharType="end"/>
            </w:r>
          </w:p>
        </w:tc>
      </w:tr>
      <w:tr w:rsidR="00D47774" w:rsidRPr="00B55044" w14:paraId="730C679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CDF092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279</w:t>
            </w:r>
          </w:p>
        </w:tc>
        <w:tc>
          <w:tcPr>
            <w:tcW w:w="1525" w:type="pct"/>
            <w:tcBorders>
              <w:top w:val="single" w:sz="4" w:space="0" w:color="auto"/>
              <w:left w:val="nil"/>
              <w:bottom w:val="single" w:sz="4" w:space="0" w:color="auto"/>
              <w:right w:val="nil"/>
            </w:tcBorders>
            <w:shd w:val="clear" w:color="auto" w:fill="auto"/>
            <w:noWrap/>
            <w:vAlign w:val="bottom"/>
            <w:hideMark/>
          </w:tcPr>
          <w:p w14:paraId="336E0D0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1FF5CD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PM6:S3(20%):Y6</w:t>
            </w:r>
          </w:p>
        </w:tc>
        <w:tc>
          <w:tcPr>
            <w:tcW w:w="379" w:type="pct"/>
            <w:tcBorders>
              <w:top w:val="single" w:sz="4" w:space="0" w:color="auto"/>
              <w:left w:val="nil"/>
              <w:bottom w:val="single" w:sz="4" w:space="0" w:color="auto"/>
              <w:right w:val="nil"/>
            </w:tcBorders>
            <w:shd w:val="clear" w:color="auto" w:fill="auto"/>
            <w:noWrap/>
            <w:vAlign w:val="bottom"/>
            <w:hideMark/>
          </w:tcPr>
          <w:p w14:paraId="33D12EE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0.856</w:t>
            </w:r>
          </w:p>
        </w:tc>
        <w:tc>
          <w:tcPr>
            <w:tcW w:w="379" w:type="pct"/>
            <w:tcBorders>
              <w:top w:val="single" w:sz="4" w:space="0" w:color="auto"/>
              <w:left w:val="nil"/>
              <w:bottom w:val="single" w:sz="4" w:space="0" w:color="auto"/>
              <w:right w:val="nil"/>
            </w:tcBorders>
            <w:shd w:val="clear" w:color="auto" w:fill="auto"/>
            <w:noWrap/>
            <w:vAlign w:val="bottom"/>
            <w:hideMark/>
          </w:tcPr>
          <w:p w14:paraId="7B01356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25.09</w:t>
            </w:r>
          </w:p>
        </w:tc>
        <w:tc>
          <w:tcPr>
            <w:tcW w:w="378" w:type="pct"/>
            <w:tcBorders>
              <w:top w:val="single" w:sz="4" w:space="0" w:color="auto"/>
              <w:left w:val="nil"/>
              <w:bottom w:val="single" w:sz="4" w:space="0" w:color="auto"/>
              <w:right w:val="nil"/>
            </w:tcBorders>
            <w:shd w:val="clear" w:color="auto" w:fill="auto"/>
            <w:noWrap/>
            <w:vAlign w:val="bottom"/>
            <w:hideMark/>
          </w:tcPr>
          <w:p w14:paraId="786A6FF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79.17</w:t>
            </w:r>
          </w:p>
        </w:tc>
        <w:tc>
          <w:tcPr>
            <w:tcW w:w="381" w:type="pct"/>
            <w:tcBorders>
              <w:top w:val="single" w:sz="4" w:space="0" w:color="auto"/>
              <w:left w:val="nil"/>
              <w:bottom w:val="single" w:sz="4" w:space="0" w:color="auto"/>
              <w:right w:val="nil"/>
            </w:tcBorders>
            <w:shd w:val="clear" w:color="auto" w:fill="auto"/>
            <w:noWrap/>
            <w:vAlign w:val="bottom"/>
            <w:hideMark/>
          </w:tcPr>
          <w:p w14:paraId="2655E50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17.38</w:t>
            </w:r>
          </w:p>
        </w:tc>
        <w:tc>
          <w:tcPr>
            <w:tcW w:w="378" w:type="pct"/>
            <w:tcBorders>
              <w:top w:val="single" w:sz="4" w:space="0" w:color="auto"/>
              <w:left w:val="nil"/>
              <w:bottom w:val="single" w:sz="4" w:space="0" w:color="auto"/>
              <w:right w:val="nil"/>
            </w:tcBorders>
            <w:shd w:val="clear" w:color="auto" w:fill="auto"/>
            <w:noWrap/>
            <w:vAlign w:val="bottom"/>
            <w:hideMark/>
          </w:tcPr>
          <w:p w14:paraId="4840A52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{"citationID":"a2d4drsis0l","properties":{"formattedCitation":"[160]","plainCitation":"[160]","noteIndex":0},"citationItems":[{"id":238,"uris":["http://zotero.org/users/12909065/items/6ZKJJJK8"],"itemData":{"id":238,"type":"article-journal","abstract":"A ternary strategy has been demonstrated as a promising method to further boost the performance of organic solar cells (OSCs). Herein, an efficient polymer donor S3 was synthesized and incorporated into a PM6:Y6 system to fabricate ternary OSCs. S3 possesses complementary absorption spectra and good compatibility with PM6, which is beneficial to fine-tune the photon harvesting and morphology of the ternary blend films, resulting in simultaneous enhancement of the short-circuit current density (JSC) and fill factor (FF). In addition, the highest occupied molecular orbital (HOMO) energy level of S3 is slightly lower than that of PM6, which enables lower nonradiative energy loss in ternary OSCs compared with that of PM6-based binary OSCs, leading to higher open-circuit voltage (VOC). The optimized ternary OSCs with 20 wt% S3 in the donors achieve a PCE of 17.53%, which should be among the highest values of ternary OSCs. This work provides an effective approach to fabricate high-performance ternary OSCs by synergizing two well-matched polymer donors. This journal is © The Royal Society of Chemistry.","archive":"Scopus","container-title":"Energy and Environmental Science","DOI":"10.1039/d0ee02516j","ISSN":"1754-5692","issue":"12","language":"English","page":"5039-5047","source":"Scopus","title":"Two compatible polymer donors contribute synergistically for ternary organic solar cells with 17.53% efficiency","volume":"13","author":[{"family":"An","given":"Q."},{"family":"Wang","given":"J."},{"family":"Ma","given":"X."},{"family":"Gao","given":"J."},{"family":"Hu","given":"Z."},{"family":"Liu","given":"B."},{"family":"Sun","given":"H."},{"family":"Guo","given":"X."},{"family":"Zhang","given":"X."},{"family":"Zhang","given":"F."}],"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[160]</w:t>
            </w:r>
            <w:r w:rsidRPr="00B55044">
              <w:rPr>
                <w:rFonts w:eastAsia="Times New Roman"/>
                <w:color w:val="0000FF"/>
                <w:sz w:val="16"/>
                <w:szCs w:val="16"/>
              </w:rPr>
              <w:fldChar w:fldCharType="end"/>
            </w:r>
          </w:p>
        </w:tc>
      </w:tr>
      <w:tr w:rsidR="00D47774" w:rsidRPr="00B55044" w14:paraId="47DC649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DEEDBF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280</w:t>
            </w:r>
          </w:p>
        </w:tc>
        <w:tc>
          <w:tcPr>
            <w:tcW w:w="1525" w:type="pct"/>
            <w:tcBorders>
              <w:top w:val="single" w:sz="4" w:space="0" w:color="auto"/>
              <w:left w:val="nil"/>
              <w:bottom w:val="single" w:sz="4" w:space="0" w:color="auto"/>
              <w:right w:val="nil"/>
            </w:tcBorders>
            <w:shd w:val="clear" w:color="auto" w:fill="auto"/>
            <w:noWrap/>
            <w:vAlign w:val="bottom"/>
            <w:hideMark/>
          </w:tcPr>
          <w:p w14:paraId="0F79003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300A69B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PM6:S3(30%):Y6</w:t>
            </w:r>
          </w:p>
        </w:tc>
        <w:tc>
          <w:tcPr>
            <w:tcW w:w="379" w:type="pct"/>
            <w:tcBorders>
              <w:top w:val="single" w:sz="4" w:space="0" w:color="auto"/>
              <w:left w:val="nil"/>
              <w:bottom w:val="single" w:sz="4" w:space="0" w:color="auto"/>
              <w:right w:val="nil"/>
            </w:tcBorders>
            <w:shd w:val="clear" w:color="auto" w:fill="auto"/>
            <w:noWrap/>
            <w:vAlign w:val="bottom"/>
            <w:hideMark/>
          </w:tcPr>
          <w:p w14:paraId="1A86779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0.863</w:t>
            </w:r>
          </w:p>
        </w:tc>
        <w:tc>
          <w:tcPr>
            <w:tcW w:w="379" w:type="pct"/>
            <w:tcBorders>
              <w:top w:val="single" w:sz="4" w:space="0" w:color="auto"/>
              <w:left w:val="nil"/>
              <w:bottom w:val="single" w:sz="4" w:space="0" w:color="auto"/>
              <w:right w:val="nil"/>
            </w:tcBorders>
            <w:shd w:val="clear" w:color="auto" w:fill="auto"/>
            <w:noWrap/>
            <w:vAlign w:val="bottom"/>
            <w:hideMark/>
          </w:tcPr>
          <w:p w14:paraId="33A7654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24.69</w:t>
            </w:r>
          </w:p>
        </w:tc>
        <w:tc>
          <w:tcPr>
            <w:tcW w:w="378" w:type="pct"/>
            <w:tcBorders>
              <w:top w:val="single" w:sz="4" w:space="0" w:color="auto"/>
              <w:left w:val="nil"/>
              <w:bottom w:val="single" w:sz="4" w:space="0" w:color="auto"/>
              <w:right w:val="nil"/>
            </w:tcBorders>
            <w:shd w:val="clear" w:color="auto" w:fill="auto"/>
            <w:noWrap/>
            <w:vAlign w:val="bottom"/>
            <w:hideMark/>
          </w:tcPr>
          <w:p w14:paraId="37E4305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77.8</w:t>
            </w:r>
          </w:p>
        </w:tc>
        <w:tc>
          <w:tcPr>
            <w:tcW w:w="381" w:type="pct"/>
            <w:tcBorders>
              <w:top w:val="single" w:sz="4" w:space="0" w:color="auto"/>
              <w:left w:val="nil"/>
              <w:bottom w:val="single" w:sz="4" w:space="0" w:color="auto"/>
              <w:right w:val="nil"/>
            </w:tcBorders>
            <w:shd w:val="clear" w:color="auto" w:fill="auto"/>
            <w:noWrap/>
            <w:vAlign w:val="bottom"/>
            <w:hideMark/>
          </w:tcPr>
          <w:p w14:paraId="481EC57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16.98</w:t>
            </w:r>
          </w:p>
        </w:tc>
        <w:tc>
          <w:tcPr>
            <w:tcW w:w="378" w:type="pct"/>
            <w:tcBorders>
              <w:top w:val="single" w:sz="4" w:space="0" w:color="auto"/>
              <w:left w:val="nil"/>
              <w:bottom w:val="single" w:sz="4" w:space="0" w:color="auto"/>
              <w:right w:val="nil"/>
            </w:tcBorders>
            <w:shd w:val="clear" w:color="auto" w:fill="auto"/>
            <w:noWrap/>
            <w:vAlign w:val="bottom"/>
            <w:hideMark/>
          </w:tcPr>
          <w:p w14:paraId="5F89E32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{"citationID":"a2j7rid0nb7","properties":{"formattedCitation":"[160]","plainCitation":"[160]","noteIndex":0},"citationItems":[{"id":238,"uris":["http://zotero.org/users/12909065/items/6ZKJJJK8"],"itemData":{"id":238,"type":"article-journal","abstract":"A ternary strategy has been demonstrated as a promising method to further boost the performance of organic solar cells (OSCs). Herein, an efficient polymer donor S3 was synthesized and incorporated into a PM6:Y6 system to fabricate ternary OSCs. S3 possesses complementary absorption spectra and good compatibility with PM6, which is beneficial to fine-tune the photon harvesting and morphology of the ternary blend films, resulting in simultaneous enhancement of the short-circuit current density (JSC) and fill factor (FF). In addition, the highest occupied molecular orbital (HOMO) energy level of S3 is slightly lower than that of PM6, which enables lower nonradiative energy loss in ternary OSCs compared with that of PM6-based binary OSCs, leading to higher open-circuit voltage (VOC). The optimized ternary OSCs with 20 wt% S3 in the donors achieve a PCE of 17.53%, which should be among the highest values of ternary OSCs. This work provides an effective approach to fabricate high-performance ternary OSCs by synergizing two well-matched polymer donors. This journal is © The Royal Society of Chemistry.","archive":"Scopus","container-title":"Energy and Environmental Science","DOI":"10.1039/d0ee02516j","ISSN":"1754-5692","issue":"12","language":"English","page":"5039-5047","source":"Scopus","title":"Two compatible polymer donors contribute synergistically for ternary organic solar cells with 17.53% efficiency","volume":"13","author":[{"family":"An","given":"Q."},{"family":"Wang","given":"J."},{"family":"Ma","given":"X."},{"family":"Gao","given":"J."},{"family":"Hu","given":"Z."},{"family":"Liu","given":"B."},{"family":"Sun","given":"H."},{"family":"Guo","given":"X."},{"family":"Zhang","given":"X."},{"family":"Zhang","given":"F."}],"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[160]</w:t>
            </w:r>
            <w:r w:rsidRPr="00B55044">
              <w:rPr>
                <w:rFonts w:eastAsia="Times New Roman"/>
                <w:color w:val="0000FF"/>
                <w:sz w:val="16"/>
                <w:szCs w:val="16"/>
              </w:rPr>
              <w:fldChar w:fldCharType="end"/>
            </w:r>
          </w:p>
        </w:tc>
      </w:tr>
      <w:tr w:rsidR="00D47774" w:rsidRPr="00B55044" w14:paraId="4F21889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D0B3C9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281</w:t>
            </w:r>
          </w:p>
        </w:tc>
        <w:tc>
          <w:tcPr>
            <w:tcW w:w="1525" w:type="pct"/>
            <w:tcBorders>
              <w:top w:val="single" w:sz="4" w:space="0" w:color="auto"/>
              <w:left w:val="nil"/>
              <w:bottom w:val="single" w:sz="4" w:space="0" w:color="auto"/>
              <w:right w:val="nil"/>
            </w:tcBorders>
            <w:shd w:val="clear" w:color="auto" w:fill="auto"/>
            <w:noWrap/>
            <w:vAlign w:val="bottom"/>
            <w:hideMark/>
          </w:tcPr>
          <w:p w14:paraId="6320108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6026A9D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PM6:S3(50%):Y6</w:t>
            </w:r>
          </w:p>
        </w:tc>
        <w:tc>
          <w:tcPr>
            <w:tcW w:w="379" w:type="pct"/>
            <w:tcBorders>
              <w:top w:val="single" w:sz="4" w:space="0" w:color="auto"/>
              <w:left w:val="nil"/>
              <w:bottom w:val="single" w:sz="4" w:space="0" w:color="auto"/>
              <w:right w:val="nil"/>
            </w:tcBorders>
            <w:shd w:val="clear" w:color="auto" w:fill="auto"/>
            <w:noWrap/>
            <w:vAlign w:val="bottom"/>
            <w:hideMark/>
          </w:tcPr>
          <w:p w14:paraId="464E69A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0.872</w:t>
            </w:r>
          </w:p>
        </w:tc>
        <w:tc>
          <w:tcPr>
            <w:tcW w:w="379" w:type="pct"/>
            <w:tcBorders>
              <w:top w:val="single" w:sz="4" w:space="0" w:color="auto"/>
              <w:left w:val="nil"/>
              <w:bottom w:val="single" w:sz="4" w:space="0" w:color="auto"/>
              <w:right w:val="nil"/>
            </w:tcBorders>
            <w:shd w:val="clear" w:color="auto" w:fill="auto"/>
            <w:noWrap/>
            <w:vAlign w:val="bottom"/>
            <w:hideMark/>
          </w:tcPr>
          <w:p w14:paraId="49392A7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24.51</w:t>
            </w:r>
          </w:p>
        </w:tc>
        <w:tc>
          <w:tcPr>
            <w:tcW w:w="378" w:type="pct"/>
            <w:tcBorders>
              <w:top w:val="single" w:sz="4" w:space="0" w:color="auto"/>
              <w:left w:val="nil"/>
              <w:bottom w:val="single" w:sz="4" w:space="0" w:color="auto"/>
              <w:right w:val="nil"/>
            </w:tcBorders>
            <w:shd w:val="clear" w:color="auto" w:fill="auto"/>
            <w:noWrap/>
            <w:vAlign w:val="bottom"/>
            <w:hideMark/>
          </w:tcPr>
          <w:p w14:paraId="311F64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75.46</w:t>
            </w:r>
          </w:p>
        </w:tc>
        <w:tc>
          <w:tcPr>
            <w:tcW w:w="381" w:type="pct"/>
            <w:tcBorders>
              <w:top w:val="single" w:sz="4" w:space="0" w:color="auto"/>
              <w:left w:val="nil"/>
              <w:bottom w:val="single" w:sz="4" w:space="0" w:color="auto"/>
              <w:right w:val="nil"/>
            </w:tcBorders>
            <w:shd w:val="clear" w:color="auto" w:fill="auto"/>
            <w:noWrap/>
            <w:vAlign w:val="bottom"/>
            <w:hideMark/>
          </w:tcPr>
          <w:p w14:paraId="1C552A7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16.51</w:t>
            </w:r>
          </w:p>
        </w:tc>
        <w:tc>
          <w:tcPr>
            <w:tcW w:w="378" w:type="pct"/>
            <w:tcBorders>
              <w:top w:val="single" w:sz="4" w:space="0" w:color="auto"/>
              <w:left w:val="nil"/>
              <w:bottom w:val="single" w:sz="4" w:space="0" w:color="auto"/>
              <w:right w:val="nil"/>
            </w:tcBorders>
            <w:shd w:val="clear" w:color="auto" w:fill="auto"/>
            <w:noWrap/>
            <w:vAlign w:val="bottom"/>
            <w:hideMark/>
          </w:tcPr>
          <w:p w14:paraId="0A49DFF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{"citationID":"aek53d8hp6","properties":{"formattedCitation":"[160]","plainCitation":"[160]","noteIndex":0},"citationItems":[{"id":238,"uris":["http://zotero.org/users/12909065/items/6ZKJJJK8"],"itemData":{"id":238,"type":"article-journal","abstract":"A ternary strategy has been demonstrated as a promising method to further boost the performance of organic solar cells (OSCs). Herein, an efficient polymer donor S3 was synthesized and incorporated into a PM6:Y6 system to fabricate ternary OSCs. S3 possesses complementary absorption spectra and good compatibility with PM6, which is beneficial to fine-tune the photon harvesting and morphology of the ternary blend films, resulting in simultaneous enhancement of the short-circuit current density (JSC) and fill factor (FF). In addition, the highest occupied molecular orbital (HOMO) energy level of S3 is slightly lower than that of PM6, which enables lower nonradiative energy loss in ternary OSCs compared with that of PM6-based binary OSCs, leading to higher open-circuit voltage (VOC). The optimized ternary OSCs with 20 wt% S3 in the donors achieve a PCE of 17.53%, which should be among the highest values of ternary OSCs. This work provides an effective approach to fabricate high-performance ternary OSCs by synergizing two well-matched polymer donors. This journal is © The Royal Society of Chemistry.","archive":"Scopus","container-title":"Energy and Environmental Science","DOI":"10.1039/d0ee02516j","ISSN":"1754-5692","issue":"12","language":"English","page":"5039-5047","source":"Scopus","title":"Two compatible polymer donors contribute synergistically for ternary organic solar cells with 17.53% efficiency","volume":"13","author":[{"family":"An","given":"Q."},{"family":"Wang","given":"J."},{"family":"Ma","given":"X."},{"family":"Gao","given":"J."},{"family":"Hu","given":"Z."},{"family":"Liu","given":"B."},{"family":"Sun","given":"H."},{"family":"Guo","given":"X."},{"family":"Zhang","given":"X."},{"family":"Zhang","given":"F."}],"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[160]</w:t>
            </w:r>
            <w:r w:rsidRPr="00B55044">
              <w:rPr>
                <w:rFonts w:eastAsia="Times New Roman"/>
                <w:color w:val="0000FF"/>
                <w:sz w:val="16"/>
                <w:szCs w:val="16"/>
              </w:rPr>
              <w:fldChar w:fldCharType="end"/>
            </w:r>
          </w:p>
        </w:tc>
      </w:tr>
      <w:tr w:rsidR="00D47774" w:rsidRPr="00B55044" w14:paraId="513DD22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4826A8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282</w:t>
            </w:r>
          </w:p>
        </w:tc>
        <w:tc>
          <w:tcPr>
            <w:tcW w:w="1525" w:type="pct"/>
            <w:tcBorders>
              <w:top w:val="single" w:sz="4" w:space="0" w:color="auto"/>
              <w:left w:val="nil"/>
              <w:bottom w:val="single" w:sz="4" w:space="0" w:color="auto"/>
              <w:right w:val="nil"/>
            </w:tcBorders>
            <w:shd w:val="clear" w:color="auto" w:fill="auto"/>
            <w:noWrap/>
            <w:vAlign w:val="bottom"/>
            <w:hideMark/>
          </w:tcPr>
          <w:p w14:paraId="2A3E0DD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29A6E06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PM6:Y6:C8-DTC</w:t>
            </w:r>
          </w:p>
        </w:tc>
        <w:tc>
          <w:tcPr>
            <w:tcW w:w="379" w:type="pct"/>
            <w:tcBorders>
              <w:top w:val="single" w:sz="4" w:space="0" w:color="auto"/>
              <w:left w:val="nil"/>
              <w:bottom w:val="single" w:sz="4" w:space="0" w:color="auto"/>
              <w:right w:val="nil"/>
            </w:tcBorders>
            <w:shd w:val="clear" w:color="auto" w:fill="auto"/>
            <w:noWrap/>
            <w:vAlign w:val="bottom"/>
            <w:hideMark/>
          </w:tcPr>
          <w:p w14:paraId="01FBB8B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0.873</w:t>
            </w:r>
          </w:p>
        </w:tc>
        <w:tc>
          <w:tcPr>
            <w:tcW w:w="379" w:type="pct"/>
            <w:tcBorders>
              <w:top w:val="single" w:sz="4" w:space="0" w:color="auto"/>
              <w:left w:val="nil"/>
              <w:bottom w:val="single" w:sz="4" w:space="0" w:color="auto"/>
              <w:right w:val="nil"/>
            </w:tcBorders>
            <w:shd w:val="clear" w:color="auto" w:fill="auto"/>
            <w:noWrap/>
            <w:vAlign w:val="bottom"/>
            <w:hideMark/>
          </w:tcPr>
          <w:p w14:paraId="30E9400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w:t>
            </w:r>
          </w:p>
        </w:tc>
        <w:tc>
          <w:tcPr>
            <w:tcW w:w="378" w:type="pct"/>
            <w:tcBorders>
              <w:top w:val="single" w:sz="4" w:space="0" w:color="auto"/>
              <w:left w:val="nil"/>
              <w:bottom w:val="single" w:sz="4" w:space="0" w:color="auto"/>
              <w:right w:val="nil"/>
            </w:tcBorders>
            <w:shd w:val="clear" w:color="auto" w:fill="auto"/>
            <w:noWrap/>
            <w:vAlign w:val="bottom"/>
            <w:hideMark/>
          </w:tcPr>
          <w:p w14:paraId="7F49612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75.61</w:t>
            </w:r>
          </w:p>
        </w:tc>
        <w:tc>
          <w:tcPr>
            <w:tcW w:w="381" w:type="pct"/>
            <w:tcBorders>
              <w:top w:val="single" w:sz="4" w:space="0" w:color="auto"/>
              <w:left w:val="nil"/>
              <w:bottom w:val="single" w:sz="4" w:space="0" w:color="auto"/>
              <w:right w:val="nil"/>
            </w:tcBorders>
            <w:shd w:val="clear" w:color="auto" w:fill="auto"/>
            <w:noWrap/>
            <w:vAlign w:val="bottom"/>
            <w:hideMark/>
          </w:tcPr>
          <w:p w14:paraId="3D21BAA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17.52</w:t>
            </w:r>
          </w:p>
        </w:tc>
        <w:tc>
          <w:tcPr>
            <w:tcW w:w="378" w:type="pct"/>
            <w:tcBorders>
              <w:top w:val="single" w:sz="4" w:space="0" w:color="auto"/>
              <w:left w:val="nil"/>
              <w:bottom w:val="single" w:sz="4" w:space="0" w:color="auto"/>
              <w:right w:val="nil"/>
            </w:tcBorders>
            <w:shd w:val="clear" w:color="auto" w:fill="auto"/>
            <w:noWrap/>
            <w:vAlign w:val="bottom"/>
            <w:hideMark/>
          </w:tcPr>
          <w:p w14:paraId="5202D1F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{"citationID":"a2pbrqoijs4","properties":{"formattedCitation":"[161]","plainCitation":"[161]","noteIndex":0},"citationItems":[{"id":237,"uris":["http://zotero.org/users/12909065/items/7CNFC5CQ"],"itemData":{"id":237,"type":"article-journal","abstract":"Ternary blend has been an effective strategy for achieving high efficiency in organic solar cells (OSCs). Herein, a non-fullerene small molecule acceptor (C8-DTC) was synthesized and added to the PM6: Y6 system as a third component. By adding 10% of C8-DTC as the second acceptor in the PM6:Y6 system, an impressive power conversion efficiency of 17.52% was achieved with simultaneously increased open-circuit voltage, short-circuit current-density, and fill factor. The reduced voltage loss was due to the lowered non-radiative recombination loss in comparison with the binary device. It was also found that a small amount of C8-DTC in the PM6:Y6 blend resulted in enhanced charge separation and charge transport by providing possible extra channels of hole extraction. And the ternary system formed a good phase separation and favored bi-continuous transport network, which is more conducive to balance the electron and hole transport. The results indicate that the ternary system formed by C8-DTC as the third component is an effective method to improve the performance of the PM6:Y6 based OSCs. © 2020 Elsevier Ltd","archive":"Scopus","container-title":"Nano Energy","DOI":"10.1016/j.nanoen.2020.105272","ISSN":"2211-2855","language":"English","source":"Scopus","title":"Promoting charge separation resulting in ternary organic solar cells efficiency over 17.5%","volume":"78","author":[{"family":"Ma","given":"Q."},{"family":"Jia","given":"Z."},{"family":"Meng","given":"L."},{"family":"Zhang","given":"J."},{"family":"Zhang","given":"H."},{"family":"Huang","given":"W."},{"family":"Yuan","given":"J."},{"family":"Gao","given":"F."},{"family":"Wan","given":"Y."},{"family":"Zhang","given":"Z."},{"family":"Li","given":"Y."}],"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[161]</w:t>
            </w:r>
            <w:r w:rsidRPr="00B55044">
              <w:rPr>
                <w:rFonts w:eastAsia="Times New Roman"/>
                <w:color w:val="0000FF"/>
                <w:sz w:val="16"/>
                <w:szCs w:val="16"/>
              </w:rPr>
              <w:fldChar w:fldCharType="end"/>
            </w:r>
          </w:p>
        </w:tc>
      </w:tr>
      <w:tr w:rsidR="00D47774" w:rsidRPr="00B55044" w14:paraId="531179D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BB367A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283</w:t>
            </w:r>
          </w:p>
        </w:tc>
        <w:tc>
          <w:tcPr>
            <w:tcW w:w="1525" w:type="pct"/>
            <w:tcBorders>
              <w:top w:val="single" w:sz="4" w:space="0" w:color="auto"/>
              <w:left w:val="nil"/>
              <w:bottom w:val="single" w:sz="4" w:space="0" w:color="auto"/>
              <w:right w:val="nil"/>
            </w:tcBorders>
            <w:shd w:val="clear" w:color="auto" w:fill="auto"/>
            <w:noWrap/>
            <w:vAlign w:val="bottom"/>
            <w:hideMark/>
          </w:tcPr>
          <w:p w14:paraId="3C9C2A7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4E15E4E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PM6:Y6:FBTIC</w:t>
            </w:r>
          </w:p>
        </w:tc>
        <w:tc>
          <w:tcPr>
            <w:tcW w:w="379" w:type="pct"/>
            <w:tcBorders>
              <w:top w:val="single" w:sz="4" w:space="0" w:color="auto"/>
              <w:left w:val="nil"/>
              <w:bottom w:val="single" w:sz="4" w:space="0" w:color="auto"/>
              <w:right w:val="nil"/>
            </w:tcBorders>
            <w:shd w:val="clear" w:color="auto" w:fill="auto"/>
            <w:noWrap/>
            <w:vAlign w:val="bottom"/>
            <w:hideMark/>
          </w:tcPr>
          <w:p w14:paraId="38FC662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0.866</w:t>
            </w:r>
          </w:p>
        </w:tc>
        <w:tc>
          <w:tcPr>
            <w:tcW w:w="379" w:type="pct"/>
            <w:tcBorders>
              <w:top w:val="single" w:sz="4" w:space="0" w:color="auto"/>
              <w:left w:val="nil"/>
              <w:bottom w:val="single" w:sz="4" w:space="0" w:color="auto"/>
              <w:right w:val="nil"/>
            </w:tcBorders>
            <w:shd w:val="clear" w:color="auto" w:fill="auto"/>
            <w:noWrap/>
            <w:vAlign w:val="bottom"/>
            <w:hideMark/>
          </w:tcPr>
          <w:p w14:paraId="45E81BB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24.6</w:t>
            </w:r>
          </w:p>
        </w:tc>
        <w:tc>
          <w:tcPr>
            <w:tcW w:w="378" w:type="pct"/>
            <w:tcBorders>
              <w:top w:val="single" w:sz="4" w:space="0" w:color="auto"/>
              <w:left w:val="nil"/>
              <w:bottom w:val="single" w:sz="4" w:space="0" w:color="auto"/>
              <w:right w:val="nil"/>
            </w:tcBorders>
            <w:shd w:val="clear" w:color="auto" w:fill="auto"/>
            <w:noWrap/>
            <w:vAlign w:val="bottom"/>
            <w:hideMark/>
          </w:tcPr>
          <w:p w14:paraId="747C401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77.9</w:t>
            </w:r>
          </w:p>
        </w:tc>
        <w:tc>
          <w:tcPr>
            <w:tcW w:w="381" w:type="pct"/>
            <w:tcBorders>
              <w:top w:val="single" w:sz="4" w:space="0" w:color="auto"/>
              <w:left w:val="nil"/>
              <w:bottom w:val="single" w:sz="4" w:space="0" w:color="auto"/>
              <w:right w:val="nil"/>
            </w:tcBorders>
            <w:shd w:val="clear" w:color="auto" w:fill="auto"/>
            <w:noWrap/>
            <w:vAlign w:val="bottom"/>
            <w:hideMark/>
          </w:tcPr>
          <w:p w14:paraId="5DB4129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16.7</w:t>
            </w:r>
          </w:p>
        </w:tc>
        <w:tc>
          <w:tcPr>
            <w:tcW w:w="378" w:type="pct"/>
            <w:tcBorders>
              <w:top w:val="single" w:sz="4" w:space="0" w:color="auto"/>
              <w:left w:val="nil"/>
              <w:bottom w:val="single" w:sz="4" w:space="0" w:color="auto"/>
              <w:right w:val="nil"/>
            </w:tcBorders>
            <w:shd w:val="clear" w:color="auto" w:fill="auto"/>
            <w:noWrap/>
            <w:vAlign w:val="bottom"/>
            <w:hideMark/>
          </w:tcPr>
          <w:p w14:paraId="603B03E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{"citationID":"a2fk7b9p7i7","properties":{"formattedCitation":"[162]","plainCitation":"[162]","noteIndex":0},"citationItems":[{"id":236,"uris":["http://zotero.org/users/12909065/items/LTEFWNR8"],"itemData":{"id":236,"type":"article-journal","abstract":"The ternary strategy has been widely used in high-efficiency organic solar cells (OSCs). Herein, we successfully incorporated a mid-band-gap star-shaped acceptor, FBTIC, as the third component into the PM6/Y6 binary blend film, which not only achieved a panchromatic absorption but also significantly improved the open-circuit voltage (VOC) of the devices due to the high-lying lowest unoccupied molecular orbital (LUMO) of the FBTIC. Morphology characterizations show that star-shaped FBTIC molecules are amorphously distributed in the ternary system, and the finely tuned ternary film morphology facilitates the exciton dissociation and charge collection in ternary devices. As a result, the best PM6/Y6/FBTIC-based ternary OSCs achieved a power conversion efficiency (PCE) of 16.7% at a weight ratio of 1.0:1.0:0.2. © 2020 American Chemical Society. All rights reserved.","archive":"Scopus","container-title":"ACS Applied Materials and Interfaces","DOI":"10.1021/acsami.0c14612","ISSN":"1944-8244","issue":"45","language":"English","page":"50660-50667","source":"Scopus","title":"Enhancing Open-Circuit Voltage of High-Efficiency Nonfullerene Ternary Solar Cells with a Star-Shaped Acceptor","volume":"12","author":[{"family":"Cai","given":"G."},{"family":"Li","given":"Y."},{"family":"Zhou","given":"J."},{"family":"Xue","given":"P."},{"family":"Liu","given":"K."},{"family":"Wang","given":"J."},{"family":"Xie","given":"Z."},{"family":"Li","given":"G."},{"family":"Zhan","given":"X."},{"family":"Lu","given":"X."}],"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[162]</w:t>
            </w:r>
            <w:r w:rsidRPr="00B55044">
              <w:rPr>
                <w:rFonts w:eastAsia="Times New Roman"/>
                <w:color w:val="0000FF"/>
                <w:sz w:val="16"/>
                <w:szCs w:val="16"/>
              </w:rPr>
              <w:fldChar w:fldCharType="end"/>
            </w:r>
          </w:p>
        </w:tc>
      </w:tr>
      <w:tr w:rsidR="00D47774" w:rsidRPr="00B55044" w14:paraId="7BBE60C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07C7E3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284</w:t>
            </w:r>
          </w:p>
        </w:tc>
        <w:tc>
          <w:tcPr>
            <w:tcW w:w="1525" w:type="pct"/>
            <w:tcBorders>
              <w:top w:val="single" w:sz="4" w:space="0" w:color="auto"/>
              <w:left w:val="nil"/>
              <w:bottom w:val="single" w:sz="4" w:space="0" w:color="auto"/>
              <w:right w:val="nil"/>
            </w:tcBorders>
            <w:shd w:val="clear" w:color="auto" w:fill="auto"/>
            <w:noWrap/>
            <w:vAlign w:val="bottom"/>
            <w:hideMark/>
          </w:tcPr>
          <w:p w14:paraId="230375B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56C72C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PM6:Y6:FBTIC</w:t>
            </w:r>
          </w:p>
        </w:tc>
        <w:tc>
          <w:tcPr>
            <w:tcW w:w="379" w:type="pct"/>
            <w:tcBorders>
              <w:top w:val="single" w:sz="4" w:space="0" w:color="auto"/>
              <w:left w:val="nil"/>
              <w:bottom w:val="single" w:sz="4" w:space="0" w:color="auto"/>
              <w:right w:val="nil"/>
            </w:tcBorders>
            <w:shd w:val="clear" w:color="auto" w:fill="auto"/>
            <w:noWrap/>
            <w:vAlign w:val="bottom"/>
            <w:hideMark/>
          </w:tcPr>
          <w:p w14:paraId="320F312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0.856</w:t>
            </w:r>
          </w:p>
        </w:tc>
        <w:tc>
          <w:tcPr>
            <w:tcW w:w="379" w:type="pct"/>
            <w:tcBorders>
              <w:top w:val="single" w:sz="4" w:space="0" w:color="auto"/>
              <w:left w:val="nil"/>
              <w:bottom w:val="single" w:sz="4" w:space="0" w:color="auto"/>
              <w:right w:val="nil"/>
            </w:tcBorders>
            <w:shd w:val="clear" w:color="auto" w:fill="auto"/>
            <w:noWrap/>
            <w:vAlign w:val="bottom"/>
            <w:hideMark/>
          </w:tcPr>
          <w:p w14:paraId="0BDCABB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23.8</w:t>
            </w:r>
          </w:p>
        </w:tc>
        <w:tc>
          <w:tcPr>
            <w:tcW w:w="378" w:type="pct"/>
            <w:tcBorders>
              <w:top w:val="single" w:sz="4" w:space="0" w:color="auto"/>
              <w:left w:val="nil"/>
              <w:bottom w:val="single" w:sz="4" w:space="0" w:color="auto"/>
              <w:right w:val="nil"/>
            </w:tcBorders>
            <w:shd w:val="clear" w:color="auto" w:fill="auto"/>
            <w:noWrap/>
            <w:vAlign w:val="bottom"/>
            <w:hideMark/>
          </w:tcPr>
          <w:p w14:paraId="2BB42E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71.3</w:t>
            </w:r>
          </w:p>
        </w:tc>
        <w:tc>
          <w:tcPr>
            <w:tcW w:w="381" w:type="pct"/>
            <w:tcBorders>
              <w:top w:val="single" w:sz="4" w:space="0" w:color="auto"/>
              <w:left w:val="nil"/>
              <w:bottom w:val="single" w:sz="4" w:space="0" w:color="auto"/>
              <w:right w:val="nil"/>
            </w:tcBorders>
            <w:shd w:val="clear" w:color="auto" w:fill="auto"/>
            <w:noWrap/>
            <w:vAlign w:val="bottom"/>
            <w:hideMark/>
          </w:tcPr>
          <w:p w14:paraId="3A594BC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14.5</w:t>
            </w:r>
          </w:p>
        </w:tc>
        <w:tc>
          <w:tcPr>
            <w:tcW w:w="378" w:type="pct"/>
            <w:tcBorders>
              <w:top w:val="single" w:sz="4" w:space="0" w:color="auto"/>
              <w:left w:val="nil"/>
              <w:bottom w:val="single" w:sz="4" w:space="0" w:color="auto"/>
              <w:right w:val="nil"/>
            </w:tcBorders>
            <w:shd w:val="clear" w:color="auto" w:fill="auto"/>
            <w:noWrap/>
            <w:vAlign w:val="bottom"/>
            <w:hideMark/>
          </w:tcPr>
          <w:p w14:paraId="0EBCCAD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{"citationID":"a13ssn04co2","properties":{"formattedCitation":"[162]","plainCitation":"[162]","noteIndex":0},"citationItems":[{"id":236,"uris":["http://zotero.org/users/12909065/items/LTEFWNR8"],"itemData":{"id":236,"type":"article-journal","abstract":"The ternary strategy has been widely used in high-efficiency organic solar cells (OSCs). Herein, we successfully incorporated a mid-band-gap star-shaped acceptor, FBTIC, as the third component into the PM6/Y6 binary blend film, which not only achieved a panchromatic absorption but also significantly improved the open-circuit voltage (VOC) of the devices due to the high-lying lowest unoccupied molecular orbital (LUMO) of the FBTIC. Morphology characterizations show that star-shaped FBTIC molecules are amorphously distributed in the ternary system, and the finely tuned ternary film morphology facilitates the exciton dissociation and charge collection in ternary devices. As a result, the best PM6/Y6/FBTIC-based ternary OSCs achieved a power conversion efficiency (PCE) of 16.7% at a weight ratio of 1.0:1.0:0.2. © 2020 American Chemical Society. All rights reserved.","archive":"Scopus","container-title":"ACS Applied Materials and Interfaces","DOI":"10.1021/acsami.0c14612","ISSN":"1944-8244","issue":"45","language":"English","page":"50660-50667","source":"Scopus","title":"Enhancing Open-Circuit Voltage of High-Efficiency Nonfullerene Ternary Solar Cells with a Star-Shaped Acceptor","volume":"12","author":[{"family":"Cai","given":"G."},{"family":"Li","given":"Y."},{"family":"Zhou","given":"J."},{"family":"Xue","given":"P."},{"family":"Liu","given":"K."},{"family":"Wang","given":"J."},{"family":"Xie","given":"Z."},{"family":"Li","given":"G."},{"family":"Zhan","given":"X."},{"family":"Lu","given":"X."}],"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[162]</w:t>
            </w:r>
            <w:r w:rsidRPr="00B55044">
              <w:rPr>
                <w:rFonts w:eastAsia="Times New Roman"/>
                <w:color w:val="0000FF"/>
                <w:sz w:val="16"/>
                <w:szCs w:val="16"/>
              </w:rPr>
              <w:fldChar w:fldCharType="end"/>
            </w:r>
          </w:p>
        </w:tc>
      </w:tr>
      <w:tr w:rsidR="00D47774" w:rsidRPr="00B55044" w14:paraId="3C2D81F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192FDB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285</w:t>
            </w:r>
          </w:p>
        </w:tc>
        <w:tc>
          <w:tcPr>
            <w:tcW w:w="1525" w:type="pct"/>
            <w:tcBorders>
              <w:top w:val="single" w:sz="4" w:space="0" w:color="auto"/>
              <w:left w:val="nil"/>
              <w:bottom w:val="single" w:sz="4" w:space="0" w:color="auto"/>
              <w:right w:val="nil"/>
            </w:tcBorders>
            <w:shd w:val="clear" w:color="auto" w:fill="auto"/>
            <w:noWrap/>
            <w:vAlign w:val="bottom"/>
            <w:hideMark/>
          </w:tcPr>
          <w:p w14:paraId="0F1B5C0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27A61B2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PM6:Y6:IT4F</w:t>
            </w:r>
          </w:p>
        </w:tc>
        <w:tc>
          <w:tcPr>
            <w:tcW w:w="379" w:type="pct"/>
            <w:tcBorders>
              <w:top w:val="single" w:sz="4" w:space="0" w:color="auto"/>
              <w:left w:val="nil"/>
              <w:bottom w:val="single" w:sz="4" w:space="0" w:color="auto"/>
              <w:right w:val="nil"/>
            </w:tcBorders>
            <w:shd w:val="clear" w:color="auto" w:fill="auto"/>
            <w:noWrap/>
            <w:vAlign w:val="bottom"/>
            <w:hideMark/>
          </w:tcPr>
          <w:p w14:paraId="2A6CCA9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w:t>
            </w:r>
          </w:p>
        </w:tc>
        <w:tc>
          <w:tcPr>
            <w:tcW w:w="379" w:type="pct"/>
            <w:tcBorders>
              <w:top w:val="single" w:sz="4" w:space="0" w:color="auto"/>
              <w:left w:val="nil"/>
              <w:bottom w:val="single" w:sz="4" w:space="0" w:color="auto"/>
              <w:right w:val="nil"/>
            </w:tcBorders>
            <w:shd w:val="clear" w:color="auto" w:fill="auto"/>
            <w:noWrap/>
            <w:vAlign w:val="bottom"/>
            <w:hideMark/>
          </w:tcPr>
          <w:p w14:paraId="2AA4BC6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22.1</w:t>
            </w:r>
          </w:p>
        </w:tc>
        <w:tc>
          <w:tcPr>
            <w:tcW w:w="378" w:type="pct"/>
            <w:tcBorders>
              <w:top w:val="single" w:sz="4" w:space="0" w:color="auto"/>
              <w:left w:val="nil"/>
              <w:bottom w:val="single" w:sz="4" w:space="0" w:color="auto"/>
              <w:right w:val="nil"/>
            </w:tcBorders>
            <w:shd w:val="clear" w:color="auto" w:fill="auto"/>
            <w:noWrap/>
            <w:vAlign w:val="bottom"/>
            <w:hideMark/>
          </w:tcPr>
          <w:p w14:paraId="0CDC82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69.8</w:t>
            </w:r>
          </w:p>
        </w:tc>
        <w:tc>
          <w:tcPr>
            <w:tcW w:w="381" w:type="pct"/>
            <w:tcBorders>
              <w:top w:val="single" w:sz="4" w:space="0" w:color="auto"/>
              <w:left w:val="nil"/>
              <w:bottom w:val="single" w:sz="4" w:space="0" w:color="auto"/>
              <w:right w:val="nil"/>
            </w:tcBorders>
            <w:shd w:val="clear" w:color="auto" w:fill="auto"/>
            <w:noWrap/>
            <w:vAlign w:val="bottom"/>
            <w:hideMark/>
          </w:tcPr>
          <w:p w14:paraId="0276F7C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13.6</w:t>
            </w:r>
          </w:p>
        </w:tc>
        <w:tc>
          <w:tcPr>
            <w:tcW w:w="378" w:type="pct"/>
            <w:tcBorders>
              <w:top w:val="single" w:sz="4" w:space="0" w:color="auto"/>
              <w:left w:val="nil"/>
              <w:bottom w:val="single" w:sz="4" w:space="0" w:color="auto"/>
              <w:right w:val="nil"/>
            </w:tcBorders>
            <w:shd w:val="clear" w:color="auto" w:fill="auto"/>
            <w:noWrap/>
            <w:vAlign w:val="bottom"/>
            <w:hideMark/>
          </w:tcPr>
          <w:p w14:paraId="290B93B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{"citationID":"a1mimgi5tdd","properties":{"formattedCitation":"[163]","plainCitation":"[163]","noteIndex":0},"citationItems":[{"id":235,"uris":["http://zotero.org/users/12909065/items/NDSATZS4"],"itemData":{"id":235,"type":"article-journal","abstract":"The recent use of non-fullerene materials has significantly increased the efficiency of organic photovoltaic (OPV), with ternary OPVs providing an effective means of further enhancing the performance. In this study, we evaluated the role played by the small molecule Y6 as the third component in additive-free PM6 (polymer): Y6:IT-4F (small molecule) ternary OPVs. We used UV–Vis spectroscopy, photoluminescence spectroscopy, and tapping-mode atomic force microscopy to study the effects of various blend ratios on the optoelectronic properties of these OPVs. At the optimized PM6:Y6:IT-4F blend ratio (1:0.35:0.75), we observed the presence of Y6:IT-4F intermediates that efficiently suppressed the over-segregation of Y6 and increased the degree of carrier transport. The optimized ternary OPV delivered an average power conversion efficiency (PCE) of 13.6 ± 0.29% and the best PCE of 14.14%, which was 23% enhancement compared with the binary OPV. The findings suggest that dual effects, caused by the use of solvent and optimization of the blending ratio of primary and secondary acceptors, significantly influence the performance of OPVs. © 2020 Elsevier Ltd","archive":"Scopus","container-title":"Dyes and Pigments","DOI":"10.1016/j.dyepig.2020.108613","ISSN":"0143-7208","language":"English","source":"Scopus","title":"The role of Y6 as the third component in fullerene-free ternary organic photovoltaics","volume":"181","author":[{"family":"Jiang","given":"B.-H."},{"family":"Chen","given":"C.-P."},{"family":"Liang","given":"H.-T."},{"family":"Jeng","given":"R.-J."},{"family":"Chien","given":"W.-C."},{"family":"Yu","given":"Y.-Y."}],"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[163]</w:t>
            </w:r>
            <w:r w:rsidRPr="00B55044">
              <w:rPr>
                <w:rFonts w:eastAsia="Times New Roman"/>
                <w:color w:val="0000FF"/>
                <w:sz w:val="16"/>
                <w:szCs w:val="16"/>
              </w:rPr>
              <w:fldChar w:fldCharType="end"/>
            </w:r>
          </w:p>
        </w:tc>
      </w:tr>
      <w:tr w:rsidR="00D47774" w:rsidRPr="00B55044" w14:paraId="20D301A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8E0701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286</w:t>
            </w:r>
          </w:p>
        </w:tc>
        <w:tc>
          <w:tcPr>
            <w:tcW w:w="1525" w:type="pct"/>
            <w:tcBorders>
              <w:top w:val="single" w:sz="4" w:space="0" w:color="auto"/>
              <w:left w:val="nil"/>
              <w:bottom w:val="single" w:sz="4" w:space="0" w:color="auto"/>
              <w:right w:val="nil"/>
            </w:tcBorders>
            <w:shd w:val="clear" w:color="auto" w:fill="auto"/>
            <w:noWrap/>
            <w:vAlign w:val="bottom"/>
            <w:hideMark/>
          </w:tcPr>
          <w:p w14:paraId="153A2B5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ITO/PEDOT:PSS/AL/PFN/Al</w:t>
            </w:r>
          </w:p>
        </w:tc>
        <w:tc>
          <w:tcPr>
            <w:tcW w:w="1288" w:type="pct"/>
            <w:tcBorders>
              <w:top w:val="single" w:sz="4" w:space="0" w:color="auto"/>
              <w:left w:val="nil"/>
              <w:bottom w:val="single" w:sz="4" w:space="0" w:color="auto"/>
              <w:right w:val="nil"/>
            </w:tcBorders>
            <w:shd w:val="clear" w:color="auto" w:fill="auto"/>
            <w:noWrap/>
            <w:vAlign w:val="bottom"/>
            <w:hideMark/>
          </w:tcPr>
          <w:p w14:paraId="739E109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PM6:C1:IT-4F</w:t>
            </w:r>
          </w:p>
        </w:tc>
        <w:tc>
          <w:tcPr>
            <w:tcW w:w="379" w:type="pct"/>
            <w:tcBorders>
              <w:top w:val="single" w:sz="4" w:space="0" w:color="auto"/>
              <w:left w:val="nil"/>
              <w:bottom w:val="single" w:sz="4" w:space="0" w:color="auto"/>
              <w:right w:val="nil"/>
            </w:tcBorders>
            <w:shd w:val="clear" w:color="auto" w:fill="auto"/>
            <w:noWrap/>
            <w:vAlign w:val="bottom"/>
            <w:hideMark/>
          </w:tcPr>
          <w:p w14:paraId="11EF0BC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1.08</w:t>
            </w:r>
          </w:p>
        </w:tc>
        <w:tc>
          <w:tcPr>
            <w:tcW w:w="379" w:type="pct"/>
            <w:tcBorders>
              <w:top w:val="single" w:sz="4" w:space="0" w:color="auto"/>
              <w:left w:val="nil"/>
              <w:bottom w:val="single" w:sz="4" w:space="0" w:color="auto"/>
              <w:right w:val="nil"/>
            </w:tcBorders>
            <w:shd w:val="clear" w:color="auto" w:fill="auto"/>
            <w:noWrap/>
            <w:vAlign w:val="bottom"/>
            <w:hideMark/>
          </w:tcPr>
          <w:p w14:paraId="1AA2CD0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16.42</w:t>
            </w:r>
          </w:p>
        </w:tc>
        <w:tc>
          <w:tcPr>
            <w:tcW w:w="378" w:type="pct"/>
            <w:tcBorders>
              <w:top w:val="single" w:sz="4" w:space="0" w:color="auto"/>
              <w:left w:val="nil"/>
              <w:bottom w:val="single" w:sz="4" w:space="0" w:color="auto"/>
              <w:right w:val="nil"/>
            </w:tcBorders>
            <w:shd w:val="clear" w:color="auto" w:fill="auto"/>
            <w:noWrap/>
            <w:vAlign w:val="bottom"/>
            <w:hideMark/>
          </w:tcPr>
          <w:p w14:paraId="72A1085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69</w:t>
            </w:r>
          </w:p>
        </w:tc>
        <w:tc>
          <w:tcPr>
            <w:tcW w:w="381" w:type="pct"/>
            <w:tcBorders>
              <w:top w:val="single" w:sz="4" w:space="0" w:color="auto"/>
              <w:left w:val="nil"/>
              <w:bottom w:val="single" w:sz="4" w:space="0" w:color="auto"/>
              <w:right w:val="nil"/>
            </w:tcBorders>
            <w:shd w:val="clear" w:color="auto" w:fill="auto"/>
            <w:noWrap/>
            <w:vAlign w:val="bottom"/>
            <w:hideMark/>
          </w:tcPr>
          <w:p w14:paraId="26CA00A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11.56</w:t>
            </w:r>
          </w:p>
        </w:tc>
        <w:tc>
          <w:tcPr>
            <w:tcW w:w="378" w:type="pct"/>
            <w:tcBorders>
              <w:top w:val="single" w:sz="4" w:space="0" w:color="auto"/>
              <w:left w:val="nil"/>
              <w:bottom w:val="single" w:sz="4" w:space="0" w:color="auto"/>
              <w:right w:val="nil"/>
            </w:tcBorders>
            <w:shd w:val="clear" w:color="auto" w:fill="auto"/>
            <w:noWrap/>
            <w:vAlign w:val="bottom"/>
            <w:hideMark/>
          </w:tcPr>
          <w:p w14:paraId="2E878A5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{"citationID":"a2ppc1iph9j","properties":{"formattedCitation":"[164]","plainCitation":"[164]","noteIndex":0},"citationItems":[{"id":234,"uris":["http://zotero.org/users/12909065/items/NSKLGRTW"],"itemData":{"id":234,"type":"article-journal","abstract":"In recent years, tremendous growth has been seen for solution-processed bulk heterojunction solar cells (BHJSCs) using fullerene-free molecular acceptors. Herein, we report the synthesis, characterization of a coumarin-based organic semiconducting molecule C1, and its use in BHJSCs as an electron donor. The compound exhibited an absorption band at 472 nm in chloroform solution with an optical energy gap of 2.33 eV. The HOMO/LUMO energy levels of C1 were found to be ideal for use in BHJSCs. Using PC71BM and a fullerene-free acceptor IT-4F, the device generated power conversion efficiencies (PCEs) of 6.17 and 8.31%, respectively. The success of the device based on a fullerene-free acceptor is a result of complementary absorption and well-matched energy levels, resulting in an improved photocurrent and photovoltage in the device. Moreover, ternary solar cells fabricated by employing C1 (20 wt%) as a secondary donor, i.e., an active layer of C1:PM6:IT-4F (0.2:0.8:1.5), generated an enhanced PCE of 11.56% with a high short-circuit current density (JSC) of 16.42 mA cm-2, an open-circuit voltage (VOC) of 1.02 V, and a fill factor of 0.69 under 1 sun spectral illumination, which is </w:instrText>
            </w:r>
            <w:r w:rsidR="001F36B1" w:rsidRPr="00B55044">
              <w:rPr>
                <w:rFonts w:ascii="Cambria Math" w:eastAsia="Times New Roman" w:hAnsi="Cambria Math" w:cs="Cambria Math"/>
                <w:color w:val="0000FF"/>
                <w:sz w:val="16"/>
                <w:szCs w:val="16"/>
              </w:rPr>
              <w:instrText>∼</w:instrText>
            </w:r>
            <w:r w:rsidR="001F36B1" w:rsidRPr="00B55044">
              <w:rPr>
                <w:rFonts w:eastAsia="Times New Roman"/>
                <w:color w:val="0000FF"/>
                <w:sz w:val="16"/>
                <w:szCs w:val="16"/>
              </w:rPr>
              <w:instrText xml:space="preserve">8% higher than that for the PM6:IT-4F-based binary device (PCE = 10.70%). The increased PCE for the ternary organic solar cell may be related to the efficient exciton generation and its dissociation via Forster resonance energy transfer, which guarantees enough time for an exciton to diffuse toward the D/A interfaces. Copyright © 2020 American Chemical Society.","archive":"Scopus","container-title":"ACS Applied Materials and Interfaces","DOI":"10.1021/acsami.0c12147","ISSN":"1944-8244","issue":"37","language":"English","page":"41869-41876","source":"Scopus","title":"Efficient Fullerene-Free Organic Solar Cells Using a Coumarin-Based Wide-Band-Gap Donor Material","volume":"12","author":[{"family":"Pradhan","given":"R."},{"family":"Malhotra","given":"P."},{"family":"Gupta","given":"G."},{"family":"Singhal","given":"R."},{"family":"Sharma","given":"G.D."},{"family":"Mishra","given":"A."}],"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[164]</w:t>
            </w:r>
            <w:r w:rsidRPr="00B55044">
              <w:rPr>
                <w:rFonts w:eastAsia="Times New Roman"/>
                <w:color w:val="0000FF"/>
                <w:sz w:val="16"/>
                <w:szCs w:val="16"/>
              </w:rPr>
              <w:fldChar w:fldCharType="end"/>
            </w:r>
          </w:p>
        </w:tc>
      </w:tr>
      <w:tr w:rsidR="00D47774" w:rsidRPr="00B55044" w14:paraId="71CD691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9F21EA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287</w:t>
            </w:r>
          </w:p>
        </w:tc>
        <w:tc>
          <w:tcPr>
            <w:tcW w:w="1525" w:type="pct"/>
            <w:tcBorders>
              <w:top w:val="single" w:sz="4" w:space="0" w:color="auto"/>
              <w:left w:val="nil"/>
              <w:bottom w:val="single" w:sz="4" w:space="0" w:color="auto"/>
              <w:right w:val="nil"/>
            </w:tcBorders>
            <w:shd w:val="clear" w:color="auto" w:fill="auto"/>
            <w:noWrap/>
            <w:vAlign w:val="bottom"/>
            <w:hideMark/>
          </w:tcPr>
          <w:p w14:paraId="388FE4F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ITO/AL/PFN-Br/Ag</w:t>
            </w:r>
          </w:p>
        </w:tc>
        <w:tc>
          <w:tcPr>
            <w:tcW w:w="1288" w:type="pct"/>
            <w:tcBorders>
              <w:top w:val="single" w:sz="4" w:space="0" w:color="auto"/>
              <w:left w:val="nil"/>
              <w:bottom w:val="single" w:sz="4" w:space="0" w:color="auto"/>
              <w:right w:val="nil"/>
            </w:tcBorders>
            <w:shd w:val="clear" w:color="auto" w:fill="auto"/>
            <w:noWrap/>
            <w:vAlign w:val="bottom"/>
            <w:hideMark/>
          </w:tcPr>
          <w:p w14:paraId="034F6C7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1901B6F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0.515</w:t>
            </w:r>
          </w:p>
        </w:tc>
        <w:tc>
          <w:tcPr>
            <w:tcW w:w="379" w:type="pct"/>
            <w:tcBorders>
              <w:top w:val="single" w:sz="4" w:space="0" w:color="auto"/>
              <w:left w:val="nil"/>
              <w:bottom w:val="single" w:sz="4" w:space="0" w:color="auto"/>
              <w:right w:val="nil"/>
            </w:tcBorders>
            <w:shd w:val="clear" w:color="auto" w:fill="auto"/>
            <w:noWrap/>
            <w:vAlign w:val="bottom"/>
            <w:hideMark/>
          </w:tcPr>
          <w:p w14:paraId="71D4635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23.32</w:t>
            </w:r>
          </w:p>
        </w:tc>
        <w:tc>
          <w:tcPr>
            <w:tcW w:w="378" w:type="pct"/>
            <w:tcBorders>
              <w:top w:val="single" w:sz="4" w:space="0" w:color="auto"/>
              <w:left w:val="nil"/>
              <w:bottom w:val="single" w:sz="4" w:space="0" w:color="auto"/>
              <w:right w:val="nil"/>
            </w:tcBorders>
            <w:shd w:val="clear" w:color="auto" w:fill="auto"/>
            <w:noWrap/>
            <w:vAlign w:val="bottom"/>
            <w:hideMark/>
          </w:tcPr>
          <w:p w14:paraId="7BF2FF8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53.7</w:t>
            </w:r>
          </w:p>
        </w:tc>
        <w:tc>
          <w:tcPr>
            <w:tcW w:w="381" w:type="pct"/>
            <w:tcBorders>
              <w:top w:val="single" w:sz="4" w:space="0" w:color="auto"/>
              <w:left w:val="nil"/>
              <w:bottom w:val="single" w:sz="4" w:space="0" w:color="auto"/>
              <w:right w:val="nil"/>
            </w:tcBorders>
            <w:shd w:val="clear" w:color="auto" w:fill="auto"/>
            <w:noWrap/>
            <w:vAlign w:val="bottom"/>
            <w:hideMark/>
          </w:tcPr>
          <w:p w14:paraId="3440D30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6.45</w:t>
            </w:r>
          </w:p>
        </w:tc>
        <w:tc>
          <w:tcPr>
            <w:tcW w:w="378" w:type="pct"/>
            <w:tcBorders>
              <w:top w:val="single" w:sz="4" w:space="0" w:color="auto"/>
              <w:left w:val="nil"/>
              <w:bottom w:val="single" w:sz="4" w:space="0" w:color="auto"/>
              <w:right w:val="nil"/>
            </w:tcBorders>
            <w:shd w:val="clear" w:color="auto" w:fill="auto"/>
            <w:noWrap/>
            <w:vAlign w:val="bottom"/>
            <w:hideMark/>
          </w:tcPr>
          <w:p w14:paraId="35ED75C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{"citationID":"a1v216sgsll","properties":{"formattedCitation":"[165]","plainCitation":"[165]","noteIndex":0},"citationItems":[{"id":233,"uris":["http://zotero.org/users/12909065/items/TCB7NKPG"],"itemData":{"id":233,"type":"article-journal","abstract":"We report on bulk-heterojunction (BHJ) organic photovoltaics (OPVs) based on the self-assembled monolayer (SAM) 2PACz as a hole-selective interlayer functionalized directly onto the indium tin oxide (ITO) anode. The 2PACz is found to change the work function of ITO while simultaneously affecting the morphology of the BHJ deposited atop. Cells with PM6:N3 BHJ and ITO-2PACz anode exhibit a power conversion efficiency (PCE) of 16.6%, which is greater than that measured for bare ITO (6.45%) and ITO/PEDOT:PSS (15.94%) based devices. The enhanced performance is attributed to lower contact-resistance, reduced bimolecular recombination losses, and improved charge transport within the BHJ. Importantly, the ITO-2PACz-based OPVs show dramatically improved operational stability when compared with PEDOT:PSS-based cells. When the ITO-2PACz anode is combined with the ternary PM6:BTP-eC9:PC71BM BHJ, the resulting cells exhibit a maximum PCE of 18.03%, highlighting the potential of engineered SAMs for use in hole-selective contacts in high-performance OPVs. Copyright © 2020 American Chemical Society.","archive":"Scopus","container-title":"ACS Energy Letters","DOI":"10.1021/acsenergylett.0c01421","ISSN":"2380-8195","issue":"9","language":"English","page":"2935-2944","source":"Scopus","title":"Self-assembled monolayer enables hole transport layer-free organic solar cells with 18% efficiency and improved operational stability","volume":"5","author":[{"family":"Lin","given":"Y."},{"family":"Firdaus","given":"Y."},{"family":"Isikgor","given":"F.H."},{"family":"Nugraha","given":"M.I."},{"family":"Yengel","given":"E."},{"family":"Harrison","given":"G.T."},{"family":"Hallani","given":"R."},{"family":"El-Labban","given":"A."},{"family":"Faber","given":"H."},{"family":"Ma","given":"C."},{"family":"Zheng","given":"X."},{"family":"Subbiah","given":"A."},{"family":"Howells","given":"C.T."},{"family":"Bakr","given":"O.M."},{"family":"McCulloch","given":"I."},{"family":"Wolf","given":"S.D."},{"family":"Tsetseris","given":"L."},{"family":"Anthopoulos","given":"T.D."}],"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[165]</w:t>
            </w:r>
            <w:r w:rsidRPr="00B55044">
              <w:rPr>
                <w:rFonts w:eastAsia="Times New Roman"/>
                <w:color w:val="0000FF"/>
                <w:sz w:val="16"/>
                <w:szCs w:val="16"/>
              </w:rPr>
              <w:fldChar w:fldCharType="end"/>
            </w:r>
          </w:p>
        </w:tc>
      </w:tr>
      <w:tr w:rsidR="00D47774" w:rsidRPr="00B55044" w14:paraId="4B623C4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04601A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288</w:t>
            </w:r>
          </w:p>
        </w:tc>
        <w:tc>
          <w:tcPr>
            <w:tcW w:w="1525" w:type="pct"/>
            <w:tcBorders>
              <w:top w:val="single" w:sz="4" w:space="0" w:color="auto"/>
              <w:left w:val="nil"/>
              <w:bottom w:val="single" w:sz="4" w:space="0" w:color="auto"/>
              <w:right w:val="nil"/>
            </w:tcBorders>
            <w:shd w:val="clear" w:color="auto" w:fill="auto"/>
            <w:noWrap/>
            <w:vAlign w:val="bottom"/>
            <w:hideMark/>
          </w:tcPr>
          <w:p w14:paraId="48BA63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318AB44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3132D2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0.842</w:t>
            </w:r>
          </w:p>
        </w:tc>
        <w:tc>
          <w:tcPr>
            <w:tcW w:w="379" w:type="pct"/>
            <w:tcBorders>
              <w:top w:val="single" w:sz="4" w:space="0" w:color="auto"/>
              <w:left w:val="nil"/>
              <w:bottom w:val="single" w:sz="4" w:space="0" w:color="auto"/>
              <w:right w:val="nil"/>
            </w:tcBorders>
            <w:shd w:val="clear" w:color="auto" w:fill="auto"/>
            <w:noWrap/>
            <w:vAlign w:val="bottom"/>
            <w:hideMark/>
          </w:tcPr>
          <w:p w14:paraId="05B9900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25.64</w:t>
            </w:r>
          </w:p>
        </w:tc>
        <w:tc>
          <w:tcPr>
            <w:tcW w:w="378" w:type="pct"/>
            <w:tcBorders>
              <w:top w:val="single" w:sz="4" w:space="0" w:color="auto"/>
              <w:left w:val="nil"/>
              <w:bottom w:val="single" w:sz="4" w:space="0" w:color="auto"/>
              <w:right w:val="nil"/>
            </w:tcBorders>
            <w:shd w:val="clear" w:color="auto" w:fill="auto"/>
            <w:noWrap/>
            <w:vAlign w:val="bottom"/>
            <w:hideMark/>
          </w:tcPr>
          <w:p w14:paraId="3AD7837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73.9</w:t>
            </w:r>
          </w:p>
        </w:tc>
        <w:tc>
          <w:tcPr>
            <w:tcW w:w="381" w:type="pct"/>
            <w:tcBorders>
              <w:top w:val="single" w:sz="4" w:space="0" w:color="auto"/>
              <w:left w:val="nil"/>
              <w:bottom w:val="single" w:sz="4" w:space="0" w:color="auto"/>
              <w:right w:val="nil"/>
            </w:tcBorders>
            <w:shd w:val="clear" w:color="auto" w:fill="auto"/>
            <w:noWrap/>
            <w:vAlign w:val="bottom"/>
            <w:hideMark/>
          </w:tcPr>
          <w:p w14:paraId="78DBFA3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15.94</w:t>
            </w:r>
          </w:p>
        </w:tc>
        <w:tc>
          <w:tcPr>
            <w:tcW w:w="378" w:type="pct"/>
            <w:tcBorders>
              <w:top w:val="single" w:sz="4" w:space="0" w:color="auto"/>
              <w:left w:val="nil"/>
              <w:bottom w:val="single" w:sz="4" w:space="0" w:color="auto"/>
              <w:right w:val="nil"/>
            </w:tcBorders>
            <w:shd w:val="clear" w:color="auto" w:fill="auto"/>
            <w:noWrap/>
            <w:vAlign w:val="bottom"/>
            <w:hideMark/>
          </w:tcPr>
          <w:p w14:paraId="2A1A3B5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{"citationID":"a19sv14ipua","properties":{"formattedCitation":"[165]","plainCitation":"[165]","noteIndex":0},"citationItems":[{"id":233,"uris":["http://zotero.org/users/12909065/items/TCB7NKPG"],"itemData":{"id":233,"type":"article-journal","abstract":"We report on bulk-heterojunction (BHJ) organic photovoltaics (OPVs) based on the self-assembled monolayer (SAM) 2PACz as a hole-selective interlayer functionalized directly onto the indium tin oxide (ITO) anode. The 2PACz is found to change the work function of ITO while simultaneously affecting the morphology of the BHJ deposited atop. Cells with PM6:N3 BHJ and ITO-2PACz anode exhibit a power conversion efficiency (PCE) of 16.6%, which is greater than that measured for bare ITO (6.45%) and ITO/PEDOT:PSS (15.94%) based devices. The enhanced performance is attributed to lower contact-resistance, reduced bimolecular recombination losses, and improved charge transport within the BHJ. Importantly, the ITO-2PACz-based OPVs show dramatically improved operational stability when compared with PEDOT:PSS-based cells. When the ITO-2PACz anode is combined with the ternary PM6:BTP-eC9:PC71BM BHJ, the resulting cells exhibit a maximum PCE of 18.03%, highlighting the potential of engineered SAMs for use in hole-selective contacts in high-performance OPVs. Copyright © 2020 American Chemical Society.","archive":"Scopus","container-title":"ACS Energy Letters","DOI":"10.1021/acsenergylett.0c01421","ISSN":"2380-8195","issue":"9","language":"English","page":"2935-2944","source":"Scopus","title":"Self-assembled monolayer enables hole transport layer-free organic solar cells with 18% efficiency and improved operational stability","volume":"5","author":[{"family":"Lin","given":"Y."},{"family":"Firdaus","given":"Y."},{"family":"Isikgor","given":"F.H."},{"family":"Nugraha","given":"M.I."},{"family":"Yengel","given":"E."},{"family":"Harrison","given":"G.T."},{"family":"Hallani","given":"R."},{"family":"El-Labban","given":"A."},{"family":"Faber","given":"H."},{"family":"Ma","given":"C."},{"family":"Zheng","given":"X."},{"family":"Subbiah","given":"A."},{"family":"Howells","given":"C.T."},{"family":"Bakr","given":"O.M."},{"family":"McCulloch","given":"I."},{"family":"Wolf","given":"S.D."},{"family":"Tsetseris","given":"L."},{"family":"Anthopoulos","given":"T.D."}],"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[165]</w:t>
            </w:r>
            <w:r w:rsidRPr="00B55044">
              <w:rPr>
                <w:rFonts w:eastAsia="Times New Roman"/>
                <w:color w:val="0000FF"/>
                <w:sz w:val="16"/>
                <w:szCs w:val="16"/>
              </w:rPr>
              <w:fldChar w:fldCharType="end"/>
            </w:r>
          </w:p>
        </w:tc>
      </w:tr>
      <w:tr w:rsidR="00D47774" w:rsidRPr="00B55044" w14:paraId="45E2619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2B0912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289</w:t>
            </w:r>
          </w:p>
        </w:tc>
        <w:tc>
          <w:tcPr>
            <w:tcW w:w="1525" w:type="pct"/>
            <w:tcBorders>
              <w:top w:val="single" w:sz="4" w:space="0" w:color="auto"/>
              <w:left w:val="nil"/>
              <w:bottom w:val="single" w:sz="4" w:space="0" w:color="auto"/>
              <w:right w:val="nil"/>
            </w:tcBorders>
            <w:shd w:val="clear" w:color="auto" w:fill="auto"/>
            <w:noWrap/>
            <w:vAlign w:val="bottom"/>
            <w:hideMark/>
          </w:tcPr>
          <w:p w14:paraId="1ABD083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ITO-2PACz/AL/PFN-Br/Ag</w:t>
            </w:r>
          </w:p>
        </w:tc>
        <w:tc>
          <w:tcPr>
            <w:tcW w:w="1288" w:type="pct"/>
            <w:tcBorders>
              <w:top w:val="single" w:sz="4" w:space="0" w:color="auto"/>
              <w:left w:val="nil"/>
              <w:bottom w:val="single" w:sz="4" w:space="0" w:color="auto"/>
              <w:right w:val="nil"/>
            </w:tcBorders>
            <w:shd w:val="clear" w:color="auto" w:fill="auto"/>
            <w:noWrap/>
            <w:vAlign w:val="bottom"/>
            <w:hideMark/>
          </w:tcPr>
          <w:p w14:paraId="60F1F72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3DA3A20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498CDBD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26.53</w:t>
            </w:r>
          </w:p>
        </w:tc>
        <w:tc>
          <w:tcPr>
            <w:tcW w:w="378" w:type="pct"/>
            <w:tcBorders>
              <w:top w:val="single" w:sz="4" w:space="0" w:color="auto"/>
              <w:left w:val="nil"/>
              <w:bottom w:val="single" w:sz="4" w:space="0" w:color="auto"/>
              <w:right w:val="nil"/>
            </w:tcBorders>
            <w:shd w:val="clear" w:color="auto" w:fill="auto"/>
            <w:noWrap/>
            <w:vAlign w:val="bottom"/>
            <w:hideMark/>
          </w:tcPr>
          <w:p w14:paraId="3BDA780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74.5</w:t>
            </w:r>
          </w:p>
        </w:tc>
        <w:tc>
          <w:tcPr>
            <w:tcW w:w="381" w:type="pct"/>
            <w:tcBorders>
              <w:top w:val="single" w:sz="4" w:space="0" w:color="auto"/>
              <w:left w:val="nil"/>
              <w:bottom w:val="single" w:sz="4" w:space="0" w:color="auto"/>
              <w:right w:val="nil"/>
            </w:tcBorders>
            <w:shd w:val="clear" w:color="auto" w:fill="auto"/>
            <w:noWrap/>
            <w:vAlign w:val="bottom"/>
            <w:hideMark/>
          </w:tcPr>
          <w:p w14:paraId="473BBC3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w:t>
            </w:r>
          </w:p>
        </w:tc>
        <w:tc>
          <w:tcPr>
            <w:tcW w:w="378" w:type="pct"/>
            <w:tcBorders>
              <w:top w:val="single" w:sz="4" w:space="0" w:color="auto"/>
              <w:left w:val="nil"/>
              <w:bottom w:val="single" w:sz="4" w:space="0" w:color="auto"/>
              <w:right w:val="nil"/>
            </w:tcBorders>
            <w:shd w:val="clear" w:color="auto" w:fill="auto"/>
            <w:noWrap/>
            <w:vAlign w:val="bottom"/>
            <w:hideMark/>
          </w:tcPr>
          <w:p w14:paraId="59AFBC9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{"citationID":"a28e2v86vjt","properties":{"formattedCitation":"[165]","plainCitation":"[165]","noteIndex":0},"citationItems":[{"id":233,"uris":["http://zotero.org/users/12909065/items/TCB7NKPG"],"itemData":{"id":233,"type":"article-journal","abstract":"We report on bulk-heterojunction (BHJ) organic photovoltaics (OPVs) based on the self-assembled monolayer (SAM) 2PACz as a hole-selective interlayer functionalized directly onto the indium tin oxide (ITO) anode. The 2PACz is found to change the work function of ITO while simultaneously affecting the morphology of the BHJ deposited atop. Cells with PM6:N3 BHJ and ITO-2PACz anode exhibit a power conversion efficiency (PCE) of 16.6%, which is greater than that measured for bare ITO (6.45%) and ITO/PEDOT:PSS (15.94%) based devices. The enhanced performance is attributed to lower contact-resistance, reduced bimolecular recombination losses, and improved charge transport within the BHJ. Importantly, the ITO-2PACz-based OPVs show dramatically improved operational stability when compared with PEDOT:PSS-based cells. When the ITO-2PACz anode is combined with the ternary PM6:BTP-eC9:PC71BM BHJ, the resulting cells exhibit a maximum PCE of 18.03%, highlighting the potential of engineered SAMs for use in hole-selective contacts in high-performance OPVs. Copyright © 2020 American Chemical Society.","archive":"Scopus","container-title":"ACS Energy Letters","DOI":"10.1021/acsenergylett.0c01421","ISSN":"2380-8195","issue":"9","language":"English","page":"2935-2944","source":"Scopus","title":"Self-assembled monolayer enables hole transport layer-free organic solar cells with 18% efficiency and improved operational stability","volume":"5","author":[{"family":"Lin","given":"Y."},{"family":"Firdaus","given":"Y."},{"family":"Isikgor","given":"F.H."},{"family":"Nugraha","given":"M.I."},{"family":"Yengel","given":"E."},{"family":"Harrison","given":"G.T."},{"family":"Hallani","given":"R."},{"family":"El-Labban","given":"A."},{"family":"Faber","given":"H."},{"family":"Ma","given":"C."},{"family":"Zheng","given":"X."},{"family":"Subbiah","given":"A."},{"family":"Howells","given":"C.T."},{"family":"Bakr","given":"O.M."},{"family":"McCulloch","given":"I."},{"family":"Wolf","given":"S.D."},{"family":"Tsetseris","given":"L."},{"family":"Anthopoulos","given":"T.D."}],"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[165]</w:t>
            </w:r>
            <w:r w:rsidRPr="00B55044">
              <w:rPr>
                <w:rFonts w:eastAsia="Times New Roman"/>
                <w:color w:val="0000FF"/>
                <w:sz w:val="16"/>
                <w:szCs w:val="16"/>
              </w:rPr>
              <w:fldChar w:fldCharType="end"/>
            </w:r>
          </w:p>
        </w:tc>
      </w:tr>
      <w:tr w:rsidR="00D47774" w:rsidRPr="00B55044" w14:paraId="2FBC8C4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8C7BAC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290</w:t>
            </w:r>
          </w:p>
        </w:tc>
        <w:tc>
          <w:tcPr>
            <w:tcW w:w="1525" w:type="pct"/>
            <w:tcBorders>
              <w:top w:val="single" w:sz="4" w:space="0" w:color="auto"/>
              <w:left w:val="nil"/>
              <w:bottom w:val="single" w:sz="4" w:space="0" w:color="auto"/>
              <w:right w:val="nil"/>
            </w:tcBorders>
            <w:shd w:val="clear" w:color="auto" w:fill="auto"/>
            <w:noWrap/>
            <w:vAlign w:val="bottom"/>
            <w:hideMark/>
          </w:tcPr>
          <w:p w14:paraId="4155FA2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1A698B8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5E1B3F3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0.841</w:t>
            </w:r>
          </w:p>
        </w:tc>
        <w:tc>
          <w:tcPr>
            <w:tcW w:w="379" w:type="pct"/>
            <w:tcBorders>
              <w:top w:val="single" w:sz="4" w:space="0" w:color="auto"/>
              <w:left w:val="nil"/>
              <w:bottom w:val="single" w:sz="4" w:space="0" w:color="auto"/>
              <w:right w:val="nil"/>
            </w:tcBorders>
            <w:shd w:val="clear" w:color="auto" w:fill="auto"/>
            <w:noWrap/>
            <w:vAlign w:val="bottom"/>
            <w:hideMark/>
          </w:tcPr>
          <w:p w14:paraId="56560F0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25.8</w:t>
            </w:r>
          </w:p>
        </w:tc>
        <w:tc>
          <w:tcPr>
            <w:tcW w:w="378" w:type="pct"/>
            <w:tcBorders>
              <w:top w:val="single" w:sz="4" w:space="0" w:color="auto"/>
              <w:left w:val="nil"/>
              <w:bottom w:val="single" w:sz="4" w:space="0" w:color="auto"/>
              <w:right w:val="nil"/>
            </w:tcBorders>
            <w:shd w:val="clear" w:color="auto" w:fill="auto"/>
            <w:noWrap/>
            <w:vAlign w:val="bottom"/>
            <w:hideMark/>
          </w:tcPr>
          <w:p w14:paraId="3E8A7F4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75.7</w:t>
            </w:r>
          </w:p>
        </w:tc>
        <w:tc>
          <w:tcPr>
            <w:tcW w:w="381" w:type="pct"/>
            <w:tcBorders>
              <w:top w:val="single" w:sz="4" w:space="0" w:color="auto"/>
              <w:left w:val="nil"/>
              <w:bottom w:val="single" w:sz="4" w:space="0" w:color="auto"/>
              <w:right w:val="nil"/>
            </w:tcBorders>
            <w:shd w:val="clear" w:color="auto" w:fill="auto"/>
            <w:noWrap/>
            <w:vAlign w:val="bottom"/>
            <w:hideMark/>
          </w:tcPr>
          <w:p w14:paraId="62412EB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16.41</w:t>
            </w:r>
          </w:p>
        </w:tc>
        <w:tc>
          <w:tcPr>
            <w:tcW w:w="378" w:type="pct"/>
            <w:tcBorders>
              <w:top w:val="single" w:sz="4" w:space="0" w:color="auto"/>
              <w:left w:val="nil"/>
              <w:bottom w:val="single" w:sz="4" w:space="0" w:color="auto"/>
              <w:right w:val="nil"/>
            </w:tcBorders>
            <w:shd w:val="clear" w:color="auto" w:fill="auto"/>
            <w:noWrap/>
            <w:vAlign w:val="bottom"/>
            <w:hideMark/>
          </w:tcPr>
          <w:p w14:paraId="79AAFD1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{"citationID":"aolfgrkarp","properties":{"formattedCitation":"[166]","plainCitation":"[166]","noteIndex":0},"citationItems":[{"id":232,"uris":["http://zotero.org/users/12909065/items/KWAPQQ8G"],"itemData":{"id":232,"type":"article-journal","abstract":"Understanding the molecular structure and self-assembly of thiadiazole-derived non-fullerene acceptors (NFAs) is very critical for elucidating the origin of their extraordinary charge generation and transport properties that enable high power conversion efficiencies to be achieved in these systems. A comprehensive crystallographic study on a state-of-the-art NFA, Y6, and its selenium analog, CH1007, has been conducted which revealed that the face-to-face π-core interaction induced by benzo[2,1,3]thiadiazole S-N-containing moieties plays a significant role in governing the molecular geometries and unique packing of Y6 and CH1007 to ensure their superior charge-transport properties. Moreover, benefitting from the red-shifted optical absorption via selenium substitution, photovoltaic devices based on a PM6:CH1007:PC71BM ternary blend delivered an exceptionally high short-circuit current of 27.48 mA/cm2 and a power conversion efficiency of 17.08%. © 2020 American Chemical Society.","archive":"Scopus","container-title":"Journal of the American Chemical Society","DOI":"10.1021/jacs.0c07083","ISSN":"0002-7863","issue":"36","language":"English","page":"15246-15251","source":"Scopus","title":"A Non-fullerene Acceptor with Enhanced Intermolecular π-Core Interaction for High-Performance Organic Solar Cells","volume":"142","author":[{"family":"Lin","given":"F."},{"family":"Jiang","given":"K."},{"family":"Kaminsky","given":"W."},{"family":"Zhu","given":"Z."},{"family":"Jen","given":"A.K.-Y."}],"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[166]</w:t>
            </w:r>
            <w:r w:rsidRPr="00B55044">
              <w:rPr>
                <w:rFonts w:eastAsia="Times New Roman"/>
                <w:color w:val="0000FF"/>
                <w:sz w:val="16"/>
                <w:szCs w:val="16"/>
              </w:rPr>
              <w:fldChar w:fldCharType="end"/>
            </w:r>
          </w:p>
        </w:tc>
      </w:tr>
      <w:tr w:rsidR="00D47774" w:rsidRPr="00B55044" w14:paraId="31B1473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F5DBAA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291</w:t>
            </w:r>
          </w:p>
        </w:tc>
        <w:tc>
          <w:tcPr>
            <w:tcW w:w="1525" w:type="pct"/>
            <w:tcBorders>
              <w:top w:val="single" w:sz="4" w:space="0" w:color="auto"/>
              <w:left w:val="nil"/>
              <w:bottom w:val="single" w:sz="4" w:space="0" w:color="auto"/>
              <w:right w:val="nil"/>
            </w:tcBorders>
            <w:shd w:val="clear" w:color="auto" w:fill="auto"/>
            <w:noWrap/>
            <w:vAlign w:val="bottom"/>
            <w:hideMark/>
          </w:tcPr>
          <w:p w14:paraId="79CDBFF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6549CB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PM6:CH1007:PC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5B00BD9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0.822</w:t>
            </w:r>
          </w:p>
        </w:tc>
        <w:tc>
          <w:tcPr>
            <w:tcW w:w="379" w:type="pct"/>
            <w:tcBorders>
              <w:top w:val="single" w:sz="4" w:space="0" w:color="auto"/>
              <w:left w:val="nil"/>
              <w:bottom w:val="single" w:sz="4" w:space="0" w:color="auto"/>
              <w:right w:val="nil"/>
            </w:tcBorders>
            <w:shd w:val="clear" w:color="auto" w:fill="auto"/>
            <w:noWrap/>
            <w:vAlign w:val="bottom"/>
            <w:hideMark/>
          </w:tcPr>
          <w:p w14:paraId="467554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27.48</w:t>
            </w:r>
          </w:p>
        </w:tc>
        <w:tc>
          <w:tcPr>
            <w:tcW w:w="378" w:type="pct"/>
            <w:tcBorders>
              <w:top w:val="single" w:sz="4" w:space="0" w:color="auto"/>
              <w:left w:val="nil"/>
              <w:bottom w:val="single" w:sz="4" w:space="0" w:color="auto"/>
              <w:right w:val="nil"/>
            </w:tcBorders>
            <w:shd w:val="clear" w:color="auto" w:fill="auto"/>
            <w:noWrap/>
            <w:vAlign w:val="bottom"/>
            <w:hideMark/>
          </w:tcPr>
          <w:p w14:paraId="1E43BA6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75.61</w:t>
            </w:r>
          </w:p>
        </w:tc>
        <w:tc>
          <w:tcPr>
            <w:tcW w:w="381" w:type="pct"/>
            <w:tcBorders>
              <w:top w:val="single" w:sz="4" w:space="0" w:color="auto"/>
              <w:left w:val="nil"/>
              <w:bottom w:val="single" w:sz="4" w:space="0" w:color="auto"/>
              <w:right w:val="nil"/>
            </w:tcBorders>
            <w:shd w:val="clear" w:color="auto" w:fill="auto"/>
            <w:noWrap/>
            <w:vAlign w:val="bottom"/>
            <w:hideMark/>
          </w:tcPr>
          <w:p w14:paraId="2752F18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17.08</w:t>
            </w:r>
          </w:p>
        </w:tc>
        <w:tc>
          <w:tcPr>
            <w:tcW w:w="378" w:type="pct"/>
            <w:tcBorders>
              <w:top w:val="single" w:sz="4" w:space="0" w:color="auto"/>
              <w:left w:val="nil"/>
              <w:bottom w:val="single" w:sz="4" w:space="0" w:color="auto"/>
              <w:right w:val="nil"/>
            </w:tcBorders>
            <w:shd w:val="clear" w:color="auto" w:fill="auto"/>
            <w:noWrap/>
            <w:vAlign w:val="bottom"/>
            <w:hideMark/>
          </w:tcPr>
          <w:p w14:paraId="3407FE3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{"citationID":"aj96td67ln","properties":{"formattedCitation":"[166]","plainCitation":"[166]","noteIndex":0},"citationItems":[{"id":232,"uris":["http://zotero.org/users/12909065/items/KWAPQQ8G"],"itemData":{"id":232,"type":"article-journal","abstract":"Understanding the molecular structure and self-assembly of thiadiazole-derived non-fullerene acceptors (NFAs) is very critical for elucidating the origin of their extraordinary charge generation and transport properties that enable high power conversion efficiencies to be achieved in these systems. A comprehensive crystallographic study on a state-of-the-art NFA, Y6, and its selenium analog, CH1007, has been conducted which revealed that the face-to-face π-core interaction induced by benzo[2,1,3]thiadiazole S-N-containing moieties plays a significant role in governing the molecular geometries and unique packing of Y6 and CH1007 to ensure their superior charge-transport properties. Moreover, benefitting from the red-shifted optical absorption via selenium substitution, photovoltaic devices based on a PM6:CH1007:PC71BM ternary blend delivered an exceptionally high short-circuit current of 27.48 mA/cm2 and a power conversion efficiency of 17.08%. © 2020 American Chemical Society.","archive":"Scopus","container-title":"Journal of the American Chemical Society","DOI":"10.1021/jacs.0c07083","ISSN":"0002-7863","issue":"36","language":"English","page":"15246-15251","source":"Scopus","title":"A Non-fullerene Acceptor with Enhanced Intermolecular π-Core Interaction for High-Performance Organic Solar Cells","volume":"142","author":[{"family":"Lin","given":"F."},{"family":"Jiang","given":"K."},{"family":"Kaminsky","given":"W."},{"family":"Zhu","given":"Z."},{"family":"Jen","given":"A.K.-Y."}],"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[166]</w:t>
            </w:r>
            <w:r w:rsidRPr="00B55044">
              <w:rPr>
                <w:rFonts w:eastAsia="Times New Roman"/>
                <w:color w:val="0000FF"/>
                <w:sz w:val="16"/>
                <w:szCs w:val="16"/>
              </w:rPr>
              <w:fldChar w:fldCharType="end"/>
            </w:r>
          </w:p>
        </w:tc>
      </w:tr>
      <w:tr w:rsidR="00D47774" w:rsidRPr="00B55044" w14:paraId="5AA76DC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906201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292</w:t>
            </w:r>
          </w:p>
        </w:tc>
        <w:tc>
          <w:tcPr>
            <w:tcW w:w="1525" w:type="pct"/>
            <w:tcBorders>
              <w:top w:val="single" w:sz="4" w:space="0" w:color="auto"/>
              <w:left w:val="nil"/>
              <w:bottom w:val="single" w:sz="4" w:space="0" w:color="auto"/>
              <w:right w:val="nil"/>
            </w:tcBorders>
            <w:shd w:val="clear" w:color="auto" w:fill="auto"/>
            <w:noWrap/>
            <w:vAlign w:val="bottom"/>
            <w:hideMark/>
          </w:tcPr>
          <w:p w14:paraId="7B0ABA2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6595085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PM6:ICBA:IT-4F</w:t>
            </w:r>
          </w:p>
        </w:tc>
        <w:tc>
          <w:tcPr>
            <w:tcW w:w="379" w:type="pct"/>
            <w:tcBorders>
              <w:top w:val="single" w:sz="4" w:space="0" w:color="auto"/>
              <w:left w:val="nil"/>
              <w:bottom w:val="single" w:sz="4" w:space="0" w:color="auto"/>
              <w:right w:val="nil"/>
            </w:tcBorders>
            <w:shd w:val="clear" w:color="auto" w:fill="auto"/>
            <w:noWrap/>
            <w:vAlign w:val="bottom"/>
            <w:hideMark/>
          </w:tcPr>
          <w:p w14:paraId="216CFFA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6D9805D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20.96</w:t>
            </w:r>
          </w:p>
        </w:tc>
        <w:tc>
          <w:tcPr>
            <w:tcW w:w="378" w:type="pct"/>
            <w:tcBorders>
              <w:top w:val="single" w:sz="4" w:space="0" w:color="auto"/>
              <w:left w:val="nil"/>
              <w:bottom w:val="single" w:sz="4" w:space="0" w:color="auto"/>
              <w:right w:val="nil"/>
            </w:tcBorders>
            <w:shd w:val="clear" w:color="auto" w:fill="auto"/>
            <w:noWrap/>
            <w:vAlign w:val="bottom"/>
            <w:hideMark/>
          </w:tcPr>
          <w:p w14:paraId="7C255CC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75.45</w:t>
            </w:r>
          </w:p>
        </w:tc>
        <w:tc>
          <w:tcPr>
            <w:tcW w:w="381" w:type="pct"/>
            <w:tcBorders>
              <w:top w:val="single" w:sz="4" w:space="0" w:color="auto"/>
              <w:left w:val="nil"/>
              <w:bottom w:val="single" w:sz="4" w:space="0" w:color="auto"/>
              <w:right w:val="nil"/>
            </w:tcBorders>
            <w:shd w:val="clear" w:color="auto" w:fill="auto"/>
            <w:noWrap/>
            <w:vAlign w:val="bottom"/>
            <w:hideMark/>
          </w:tcPr>
          <w:p w14:paraId="40651D6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13.73</w:t>
            </w:r>
          </w:p>
        </w:tc>
        <w:tc>
          <w:tcPr>
            <w:tcW w:w="378" w:type="pct"/>
            <w:tcBorders>
              <w:top w:val="single" w:sz="4" w:space="0" w:color="auto"/>
              <w:left w:val="nil"/>
              <w:bottom w:val="single" w:sz="4" w:space="0" w:color="auto"/>
              <w:right w:val="nil"/>
            </w:tcBorders>
            <w:shd w:val="clear" w:color="auto" w:fill="auto"/>
            <w:noWrap/>
            <w:vAlign w:val="bottom"/>
            <w:hideMark/>
          </w:tcPr>
          <w:p w14:paraId="0224D90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{"citationID":"a1t1r69s31n","properties":{"formattedCitation":"[167]","plainCitation":"[167]","noteIndex":0},"citationItems":[{"id":230,"uris":["http://zotero.org/users/12909065/items/XY4IR596"],"itemData":{"id":230,"type":"article-journal","abstract":"Bulk heterojunction (BHJ) processing technology has had an irreplaceable role in the development of organic solar cells (OSCs) in the past decades due to the significant advantages in achieving high-power conversion efficiency (PCE). However, the difficulty in exploring and regulating morphology makes it inadequate for upscaling large-area OSCs. In this work, printable high-performance ternary devices are fabricated by a pseudo-planar heterojunction (PPHJ) strategy. The fullerene derivative indene-C60 bisadduct (ICBA) is incorporated into PM6/IT-4F system to expand the vertical phase separation and facilitate an obvious PPHJ structure. After the addition of ICBA, the IT-4F enriches on the surface of active layer, while PM6 is accumulated underneath. Furthermore, it increases the crystallinity of PM6, which facilitates exciton dissociation and charge transfer. Accordingly, 1.05 cm2 devices are fabricated by blade-coating with an enhanced PCE of 14.25% as compared to the BHJ devices (13.73%). The ternary PPHJ strategy provides an effective way to optimize the vertical phase separation of organic semiconductor during scalable printing methods.","container-title":"Advanced Functional Materials","DOI":"10.1002/adfm.202003223","ISSN":"1616-3028","issue":"36","language":"en","note":"_eprint: https://onlinelibrary.wiley.com/doi/pdf/10.1002/adfm.202003223","page":"2003223","source":"Wiley Online Library","title":"Printable and Large-Area Organic Solar Cells Enabled by a Ternary Pseudo-Planar Heterojunction Strategy","volume":"30","author":[{"family":"Liu","given":"Siqi"},{"family":"Chen","given":"Dong"},{"family":"Hu","given":"Xiaotian"},{"family":"Xing","given":"Zhi"},{"family":"Wan","given":"Ji"},{"family":"Zhang","given":"Lin"},{"family":"Tan","given":"Licheng"},{"family":"Zhou","given":"Weihua"},{"family":"Chen","given":"Yiwang"}],"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[167]</w:t>
            </w:r>
            <w:r w:rsidRPr="00B55044">
              <w:rPr>
                <w:rFonts w:eastAsia="Times New Roman"/>
                <w:color w:val="0000FF"/>
                <w:sz w:val="16"/>
                <w:szCs w:val="16"/>
              </w:rPr>
              <w:fldChar w:fldCharType="end"/>
            </w:r>
          </w:p>
        </w:tc>
      </w:tr>
      <w:tr w:rsidR="00D47774" w:rsidRPr="00B55044" w14:paraId="60992AD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42B9C5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293</w:t>
            </w:r>
          </w:p>
        </w:tc>
        <w:tc>
          <w:tcPr>
            <w:tcW w:w="1525" w:type="pct"/>
            <w:tcBorders>
              <w:top w:val="single" w:sz="4" w:space="0" w:color="auto"/>
              <w:left w:val="nil"/>
              <w:bottom w:val="single" w:sz="4" w:space="0" w:color="auto"/>
              <w:right w:val="nil"/>
            </w:tcBorders>
            <w:shd w:val="clear" w:color="auto" w:fill="auto"/>
            <w:noWrap/>
            <w:vAlign w:val="bottom"/>
            <w:hideMark/>
          </w:tcPr>
          <w:p w14:paraId="7819FB7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17D1DF9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697BCDB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0.858</w:t>
            </w:r>
          </w:p>
        </w:tc>
        <w:tc>
          <w:tcPr>
            <w:tcW w:w="379" w:type="pct"/>
            <w:tcBorders>
              <w:top w:val="single" w:sz="4" w:space="0" w:color="auto"/>
              <w:left w:val="nil"/>
              <w:bottom w:val="single" w:sz="4" w:space="0" w:color="auto"/>
              <w:right w:val="nil"/>
            </w:tcBorders>
            <w:shd w:val="clear" w:color="auto" w:fill="auto"/>
            <w:noWrap/>
            <w:vAlign w:val="bottom"/>
            <w:hideMark/>
          </w:tcPr>
          <w:p w14:paraId="4D8FDD3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25.2</w:t>
            </w:r>
          </w:p>
        </w:tc>
        <w:tc>
          <w:tcPr>
            <w:tcW w:w="378" w:type="pct"/>
            <w:tcBorders>
              <w:top w:val="single" w:sz="4" w:space="0" w:color="auto"/>
              <w:left w:val="nil"/>
              <w:bottom w:val="single" w:sz="4" w:space="0" w:color="auto"/>
              <w:right w:val="nil"/>
            </w:tcBorders>
            <w:shd w:val="clear" w:color="auto" w:fill="auto"/>
            <w:noWrap/>
            <w:vAlign w:val="bottom"/>
            <w:hideMark/>
          </w:tcPr>
          <w:p w14:paraId="23266AD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w:t>
            </w:r>
          </w:p>
        </w:tc>
        <w:tc>
          <w:tcPr>
            <w:tcW w:w="381" w:type="pct"/>
            <w:tcBorders>
              <w:top w:val="single" w:sz="4" w:space="0" w:color="auto"/>
              <w:left w:val="nil"/>
              <w:bottom w:val="single" w:sz="4" w:space="0" w:color="auto"/>
              <w:right w:val="nil"/>
            </w:tcBorders>
            <w:shd w:val="clear" w:color="auto" w:fill="auto"/>
            <w:noWrap/>
            <w:vAlign w:val="bottom"/>
            <w:hideMark/>
          </w:tcPr>
          <w:p w14:paraId="13DE58A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w:t>
            </w:r>
          </w:p>
        </w:tc>
        <w:tc>
          <w:tcPr>
            <w:tcW w:w="378" w:type="pct"/>
            <w:tcBorders>
              <w:top w:val="single" w:sz="4" w:space="0" w:color="auto"/>
              <w:left w:val="nil"/>
              <w:bottom w:val="single" w:sz="4" w:space="0" w:color="auto"/>
              <w:right w:val="nil"/>
            </w:tcBorders>
            <w:shd w:val="clear" w:color="auto" w:fill="auto"/>
            <w:noWrap/>
            <w:vAlign w:val="bottom"/>
            <w:hideMark/>
          </w:tcPr>
          <w:p w14:paraId="53FB091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{"citationID":"a168iuphgto","properties":{"formattedCitation":"[168]","plainCitation":"[168]","noteIndex":0},"citationItems":[{"id":229,"uris":["http://zotero.org/users/12909065/items/SWWKCFU6"],"itemData":{"id":229,"type":"article-journal","abstract":"The power conversion efficiencies (PCEs) of organic photovoltaic cells employing donor (polymer):acceptor (small molecule) bulk heterojunction (BHJ) are being rapidly improved. The phase segregation along vertical (film-depth) direction of the active layer, referring to vertical immiscibility between donor and acceptor, leads to vertically varied and nonlinearly distributed composition, optical and electronic properties. However, the correlation between vertical miscibility and photovoltaic performance is still confusing. Here, it is semi-empirically found that such vertical variations induced by vertical immiscibility deteriorate PCE. Subsequently, using PM6:Y6-based binary and ternary BHJ as examples, a combined statistical, experimental, and numerical investigation on the dependence of photovoltaic performance on vertical miscibility is reported. The vertical phase evolution of BHJ significantly depends on solvents and processing methods. As compared with other donor:acceptor systems, polymer:Y6 deposited from appropriate solvents could have the best vertical miscibility which is nearly independent on film-depth, leading to a higher PCE. PM6:Y6:fullerene ternary blends also have a good and uniform vertical miscibility, forming spatially well-mixed ternary BHJ. Consequently, under this design guideline, the optimized film-depth-dependent miscibility contributes to optimized vertical distribution of optical and electronic properties, leading to an optimized PCE 17.1% with a low sensitivity to fluctuation of film thickness. © 2020 WILEY-VCH Verlag GmbH &amp; Co. KGaA, Weinheim","archive":"Scopus","container-title":"Advanced Materials Interfaces","DOI":"10.1002/admi.202000577","ISSN":"2196-7350","issue":"17","language":"English","source":"Scopus","title":"Vertical Miscibility of Bulk Heterojunction Films Contributes to High Photovoltaic Performance","volume":"7","author":[{"family":"He","given":"S."},{"family":"Shen","given":"Z."},{"family":"Yu","given":"J."},{"family":"Guan","given":"H."},{"family":"Lu","given":"G."},{"family":"Xiao","given":"T."},{"family":"Yang","given":"S."},{"family":"Zou","given":"Y."},{"family":"Bu","given":"L."}],"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[168]</w:t>
            </w:r>
            <w:r w:rsidRPr="00B55044">
              <w:rPr>
                <w:rFonts w:eastAsia="Times New Roman"/>
                <w:color w:val="0000FF"/>
                <w:sz w:val="16"/>
                <w:szCs w:val="16"/>
              </w:rPr>
              <w:fldChar w:fldCharType="end"/>
            </w:r>
          </w:p>
        </w:tc>
      </w:tr>
      <w:tr w:rsidR="00D47774" w:rsidRPr="00B55044" w14:paraId="7D72FD0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F0E939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294</w:t>
            </w:r>
          </w:p>
        </w:tc>
        <w:tc>
          <w:tcPr>
            <w:tcW w:w="1525" w:type="pct"/>
            <w:tcBorders>
              <w:top w:val="single" w:sz="4" w:space="0" w:color="auto"/>
              <w:left w:val="nil"/>
              <w:bottom w:val="single" w:sz="4" w:space="0" w:color="auto"/>
              <w:right w:val="nil"/>
            </w:tcBorders>
            <w:shd w:val="clear" w:color="auto" w:fill="auto"/>
            <w:noWrap/>
            <w:vAlign w:val="bottom"/>
            <w:hideMark/>
          </w:tcPr>
          <w:p w14:paraId="1D40D4E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B33B17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PM6:Y6:Y-Th2(15%)</w:t>
            </w:r>
          </w:p>
        </w:tc>
        <w:tc>
          <w:tcPr>
            <w:tcW w:w="379" w:type="pct"/>
            <w:tcBorders>
              <w:top w:val="single" w:sz="4" w:space="0" w:color="auto"/>
              <w:left w:val="nil"/>
              <w:bottom w:val="single" w:sz="4" w:space="0" w:color="auto"/>
              <w:right w:val="nil"/>
            </w:tcBorders>
            <w:shd w:val="clear" w:color="auto" w:fill="auto"/>
            <w:noWrap/>
            <w:vAlign w:val="bottom"/>
            <w:hideMark/>
          </w:tcPr>
          <w:p w14:paraId="692B705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0.851</w:t>
            </w:r>
          </w:p>
        </w:tc>
        <w:tc>
          <w:tcPr>
            <w:tcW w:w="379" w:type="pct"/>
            <w:tcBorders>
              <w:top w:val="single" w:sz="4" w:space="0" w:color="auto"/>
              <w:left w:val="nil"/>
              <w:bottom w:val="single" w:sz="4" w:space="0" w:color="auto"/>
              <w:right w:val="nil"/>
            </w:tcBorders>
            <w:shd w:val="clear" w:color="auto" w:fill="auto"/>
            <w:noWrap/>
            <w:vAlign w:val="bottom"/>
            <w:hideMark/>
          </w:tcPr>
          <w:p w14:paraId="4281216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25.35</w:t>
            </w:r>
          </w:p>
        </w:tc>
        <w:tc>
          <w:tcPr>
            <w:tcW w:w="378" w:type="pct"/>
            <w:tcBorders>
              <w:top w:val="single" w:sz="4" w:space="0" w:color="auto"/>
              <w:left w:val="nil"/>
              <w:bottom w:val="single" w:sz="4" w:space="0" w:color="auto"/>
              <w:right w:val="nil"/>
            </w:tcBorders>
            <w:shd w:val="clear" w:color="auto" w:fill="auto"/>
            <w:noWrap/>
            <w:vAlign w:val="bottom"/>
            <w:hideMark/>
          </w:tcPr>
          <w:p w14:paraId="6EEB52E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71.44</w:t>
            </w:r>
          </w:p>
        </w:tc>
        <w:tc>
          <w:tcPr>
            <w:tcW w:w="381" w:type="pct"/>
            <w:tcBorders>
              <w:top w:val="single" w:sz="4" w:space="0" w:color="auto"/>
              <w:left w:val="nil"/>
              <w:bottom w:val="single" w:sz="4" w:space="0" w:color="auto"/>
              <w:right w:val="nil"/>
            </w:tcBorders>
            <w:shd w:val="clear" w:color="auto" w:fill="auto"/>
            <w:noWrap/>
            <w:vAlign w:val="bottom"/>
            <w:hideMark/>
          </w:tcPr>
          <w:p w14:paraId="54D8EDC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15.7</w:t>
            </w:r>
          </w:p>
        </w:tc>
        <w:tc>
          <w:tcPr>
            <w:tcW w:w="378" w:type="pct"/>
            <w:tcBorders>
              <w:top w:val="single" w:sz="4" w:space="0" w:color="auto"/>
              <w:left w:val="nil"/>
              <w:bottom w:val="single" w:sz="4" w:space="0" w:color="auto"/>
              <w:right w:val="nil"/>
            </w:tcBorders>
            <w:shd w:val="clear" w:color="auto" w:fill="auto"/>
            <w:noWrap/>
            <w:vAlign w:val="bottom"/>
            <w:hideMark/>
          </w:tcPr>
          <w:p w14:paraId="2127584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{"citationID":"abe3civ246","properties":{"formattedCitation":"[169]","plainCitation":"[169]","noteIndex":0},"citationItems":[{"id":228,"uris":["http://zotero.org/users/12909065/items/HBKMCBEA"],"itemData":{"id":228,"type":"article-journal","abstract":"Given that the ring-fusion strategy can effectively tail the electrical, optical, and structural properties of π-conjugated materials, we have herein developed Y-series non-fullerene acceptors with a dual acceptor–donor–dual acceptor-type structure, bearing non-fused bare bithiophene (Y–Th2), hexagonal ring-fused bithiophene (Y-BDT), or pentagonal ring-fused bithiophene (Y-CDT) central donor units. Several characterization techniques were applied to perform a comparative investigation of their optical and physical properties and frontier energy levels with respect to the different ring-fusion of the central units. Moreover, for the cascade energy level alignment, the synthesized acceptors were employed as a third component in the PM6:Y6 that served as a binary host platform. The introduction of the optimal amount of Y–Th2 or Y-BDT into the host system improved the device performance. Specifically, Y–Th2 exhibited the best power conversion efficiency (PCE) (16.01%) along with improved photovoltaic parameters, whereas the addition of Y-CDT impaired the PCE. Moreover, the optimized Y–Th2-based ternary organic solar cell achieved a PCE of 22.72% under indoor illumination at 1000 lux. Thus, the in-depth structural, morphological, and electrical analyses not only established a structure–property correlation, but also provided better design criteria for the guest-oriented non-fullerene acceptors for ternary photovoltaic applications, especially for Y6-containing systems. © 2020 Elsevier Ltd","archive":"Scopus","container-title":"Nano Energy","DOI":"10.1016/j.nanoen.2020.104896","ISSN":"2211-2855","language":"English","source":"Scopus","title":"Guest-oriented non-fullerene acceptors for ternary organic solar cells with over 16.0% and 22.7% efficiencies under one-sun and indoor light","volume":"75","author":[{"family":"Cho","given":"Y."},{"family":"Kumari","given":"T."},{"family":"Jeong","given":"S."},{"family":"Lee","given":"S.M."},{"family":"Jeong","given":"M."},{"family":"Lee","given":"B."},{"family":"Oh","given":"J."},{"family":"Zhang","given":"Y."},{"family":"Huang","given":"B."},{"family":"Chen","given":"L."},{"family":"Yang","given":"C."}],"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[169]</w:t>
            </w:r>
            <w:r w:rsidRPr="00B55044">
              <w:rPr>
                <w:rFonts w:eastAsia="Times New Roman"/>
                <w:color w:val="0000FF"/>
                <w:sz w:val="16"/>
                <w:szCs w:val="16"/>
              </w:rPr>
              <w:fldChar w:fldCharType="end"/>
            </w:r>
          </w:p>
        </w:tc>
      </w:tr>
      <w:tr w:rsidR="00D47774" w:rsidRPr="00B55044" w14:paraId="25D7F0C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F61CFD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295</w:t>
            </w:r>
          </w:p>
        </w:tc>
        <w:tc>
          <w:tcPr>
            <w:tcW w:w="1525" w:type="pct"/>
            <w:tcBorders>
              <w:top w:val="single" w:sz="4" w:space="0" w:color="auto"/>
              <w:left w:val="nil"/>
              <w:bottom w:val="single" w:sz="4" w:space="0" w:color="auto"/>
              <w:right w:val="nil"/>
            </w:tcBorders>
            <w:shd w:val="clear" w:color="auto" w:fill="auto"/>
            <w:noWrap/>
            <w:vAlign w:val="bottom"/>
            <w:hideMark/>
          </w:tcPr>
          <w:p w14:paraId="266EF39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0983160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PM6:Y6:Y-BDT (5%)</w:t>
            </w:r>
          </w:p>
        </w:tc>
        <w:tc>
          <w:tcPr>
            <w:tcW w:w="379" w:type="pct"/>
            <w:tcBorders>
              <w:top w:val="single" w:sz="4" w:space="0" w:color="auto"/>
              <w:left w:val="nil"/>
              <w:bottom w:val="single" w:sz="4" w:space="0" w:color="auto"/>
              <w:right w:val="nil"/>
            </w:tcBorders>
            <w:shd w:val="clear" w:color="auto" w:fill="auto"/>
            <w:noWrap/>
            <w:vAlign w:val="bottom"/>
            <w:hideMark/>
          </w:tcPr>
          <w:p w14:paraId="04F123A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0.851</w:t>
            </w:r>
          </w:p>
        </w:tc>
        <w:tc>
          <w:tcPr>
            <w:tcW w:w="379" w:type="pct"/>
            <w:tcBorders>
              <w:top w:val="single" w:sz="4" w:space="0" w:color="auto"/>
              <w:left w:val="nil"/>
              <w:bottom w:val="single" w:sz="4" w:space="0" w:color="auto"/>
              <w:right w:val="nil"/>
            </w:tcBorders>
            <w:shd w:val="clear" w:color="auto" w:fill="auto"/>
            <w:noWrap/>
            <w:vAlign w:val="bottom"/>
            <w:hideMark/>
          </w:tcPr>
          <w:p w14:paraId="31F0682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25.03</w:t>
            </w:r>
          </w:p>
        </w:tc>
        <w:tc>
          <w:tcPr>
            <w:tcW w:w="378" w:type="pct"/>
            <w:tcBorders>
              <w:top w:val="single" w:sz="4" w:space="0" w:color="auto"/>
              <w:left w:val="nil"/>
              <w:bottom w:val="single" w:sz="4" w:space="0" w:color="auto"/>
              <w:right w:val="nil"/>
            </w:tcBorders>
            <w:shd w:val="clear" w:color="auto" w:fill="auto"/>
            <w:noWrap/>
            <w:vAlign w:val="bottom"/>
            <w:hideMark/>
          </w:tcPr>
          <w:p w14:paraId="6ED7538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70.04</w:t>
            </w:r>
          </w:p>
        </w:tc>
        <w:tc>
          <w:tcPr>
            <w:tcW w:w="381" w:type="pct"/>
            <w:tcBorders>
              <w:top w:val="single" w:sz="4" w:space="0" w:color="auto"/>
              <w:left w:val="nil"/>
              <w:bottom w:val="single" w:sz="4" w:space="0" w:color="auto"/>
              <w:right w:val="nil"/>
            </w:tcBorders>
            <w:shd w:val="clear" w:color="auto" w:fill="auto"/>
            <w:noWrap/>
            <w:vAlign w:val="bottom"/>
            <w:hideMark/>
          </w:tcPr>
          <w:p w14:paraId="55ACACA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14.85</w:t>
            </w:r>
          </w:p>
        </w:tc>
        <w:tc>
          <w:tcPr>
            <w:tcW w:w="378" w:type="pct"/>
            <w:tcBorders>
              <w:top w:val="single" w:sz="4" w:space="0" w:color="auto"/>
              <w:left w:val="nil"/>
              <w:bottom w:val="single" w:sz="4" w:space="0" w:color="auto"/>
              <w:right w:val="nil"/>
            </w:tcBorders>
            <w:shd w:val="clear" w:color="auto" w:fill="auto"/>
            <w:noWrap/>
            <w:vAlign w:val="bottom"/>
            <w:hideMark/>
          </w:tcPr>
          <w:p w14:paraId="5C683C2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{"citationID":"a2g1j999lul","properties":{"formattedCitation":"[169]","plainCitation":"[169]","noteIndex":0},"citationItems":[{"id":228,"uris":["http://zotero.org/users/12909065/items/HBKMCBEA"],"itemData":{"id":228,"type":"article-journal","abstract":"Given that the ring-fusion strategy can effectively tail the electrical, optical, and structural properties of π-conjugated materials, we have herein developed Y-series non-fullerene acceptors with a dual acceptor–donor–dual acceptor-type structure, bearing non-fused bare bithiophene (Y–Th2), hexagonal ring-fused bithiophene (Y-BDT), or pentagonal ring-fused bithiophene (Y-CDT) central donor units. Several characterization techniques were applied to perform a comparative investigation of their optical and physical properties and frontier energy levels with respect to the different ring-fusion of the central units. Moreover, for the cascade energy level alignment, the synthesized acceptors were employed as a third component in the PM6:Y6 that served as a binary host platform. The introduction of the optimal amount of Y–Th2 or Y-BDT into the host system improved the device performance. Specifically, Y–Th2 exhibited the best power conversion efficiency (PCE) (16.01%) along with improved photovoltaic parameters, whereas the addition of Y-CDT impaired the PCE. Moreover, the optimized Y–Th2-based ternary organic solar cell achieved a PCE of 22.72% under indoor illumination at 1000 lux. Thus, the in-depth structural, morphological, and electrical analyses not only established a structure–property correlation, but also provided better design criteria for the guest-oriented non-fullerene acceptors for ternary photovoltaic applications, especially for Y6-containing systems. © 2020 Elsevier Ltd","archive":"Scopus","container-title":"Nano Energy","DOI":"10.1016/j.nanoen.2020.104896","ISSN":"2211-2855","language":"English","source":"Scopus","title":"Guest-oriented non-fullerene acceptors for ternary organic solar cells with over 16.0% and 22.7% efficiencies under one-sun and indoor light","volume":"75","author":[{"family":"Cho","given":"Y."},{"family":"Kumari","given":"T."},{"family":"Jeong","given":"S."},{"family":"Lee","given":"S.M."},{"family":"Jeong","given":"M."},{"family":"Lee","given":"B."},{"family":"Oh","given":"J."},{"family":"Zhang","given":"Y."},{"family":"Huang","given":"B."},{"family":"Chen","given":"L."},{"family":"Yang","given":"C."}],"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[169]</w:t>
            </w:r>
            <w:r w:rsidRPr="00B55044">
              <w:rPr>
                <w:rFonts w:eastAsia="Times New Roman"/>
                <w:color w:val="0000FF"/>
                <w:sz w:val="16"/>
                <w:szCs w:val="16"/>
              </w:rPr>
              <w:fldChar w:fldCharType="end"/>
            </w:r>
          </w:p>
        </w:tc>
      </w:tr>
      <w:tr w:rsidR="00D47774" w:rsidRPr="00B55044" w14:paraId="3E79FC2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83C782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296</w:t>
            </w:r>
          </w:p>
        </w:tc>
        <w:tc>
          <w:tcPr>
            <w:tcW w:w="1525" w:type="pct"/>
            <w:tcBorders>
              <w:top w:val="single" w:sz="4" w:space="0" w:color="auto"/>
              <w:left w:val="nil"/>
              <w:bottom w:val="single" w:sz="4" w:space="0" w:color="auto"/>
              <w:right w:val="nil"/>
            </w:tcBorders>
            <w:shd w:val="clear" w:color="auto" w:fill="auto"/>
            <w:noWrap/>
            <w:vAlign w:val="bottom"/>
            <w:hideMark/>
          </w:tcPr>
          <w:p w14:paraId="72DB428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6094B36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PM6:Y6:Y-CDT (5%)</w:t>
            </w:r>
          </w:p>
        </w:tc>
        <w:tc>
          <w:tcPr>
            <w:tcW w:w="379" w:type="pct"/>
            <w:tcBorders>
              <w:top w:val="single" w:sz="4" w:space="0" w:color="auto"/>
              <w:left w:val="nil"/>
              <w:bottom w:val="single" w:sz="4" w:space="0" w:color="auto"/>
              <w:right w:val="nil"/>
            </w:tcBorders>
            <w:shd w:val="clear" w:color="auto" w:fill="auto"/>
            <w:noWrap/>
            <w:vAlign w:val="bottom"/>
            <w:hideMark/>
          </w:tcPr>
          <w:p w14:paraId="43B429D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0.833</w:t>
            </w:r>
          </w:p>
        </w:tc>
        <w:tc>
          <w:tcPr>
            <w:tcW w:w="379" w:type="pct"/>
            <w:tcBorders>
              <w:top w:val="single" w:sz="4" w:space="0" w:color="auto"/>
              <w:left w:val="nil"/>
              <w:bottom w:val="single" w:sz="4" w:space="0" w:color="auto"/>
              <w:right w:val="nil"/>
            </w:tcBorders>
            <w:shd w:val="clear" w:color="auto" w:fill="auto"/>
            <w:noWrap/>
            <w:vAlign w:val="bottom"/>
            <w:hideMark/>
          </w:tcPr>
          <w:p w14:paraId="71B64E1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24.68</w:t>
            </w:r>
          </w:p>
        </w:tc>
        <w:tc>
          <w:tcPr>
            <w:tcW w:w="378" w:type="pct"/>
            <w:tcBorders>
              <w:top w:val="single" w:sz="4" w:space="0" w:color="auto"/>
              <w:left w:val="nil"/>
              <w:bottom w:val="single" w:sz="4" w:space="0" w:color="auto"/>
              <w:right w:val="nil"/>
            </w:tcBorders>
            <w:shd w:val="clear" w:color="auto" w:fill="auto"/>
            <w:noWrap/>
            <w:vAlign w:val="bottom"/>
            <w:hideMark/>
          </w:tcPr>
          <w:p w14:paraId="79DE7D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68.81</w:t>
            </w:r>
          </w:p>
        </w:tc>
        <w:tc>
          <w:tcPr>
            <w:tcW w:w="381" w:type="pct"/>
            <w:tcBorders>
              <w:top w:val="single" w:sz="4" w:space="0" w:color="auto"/>
              <w:left w:val="nil"/>
              <w:bottom w:val="single" w:sz="4" w:space="0" w:color="auto"/>
              <w:right w:val="nil"/>
            </w:tcBorders>
            <w:shd w:val="clear" w:color="auto" w:fill="auto"/>
            <w:noWrap/>
            <w:vAlign w:val="bottom"/>
            <w:hideMark/>
          </w:tcPr>
          <w:p w14:paraId="677529C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14.11</w:t>
            </w:r>
          </w:p>
        </w:tc>
        <w:tc>
          <w:tcPr>
            <w:tcW w:w="378" w:type="pct"/>
            <w:tcBorders>
              <w:top w:val="single" w:sz="4" w:space="0" w:color="auto"/>
              <w:left w:val="nil"/>
              <w:bottom w:val="single" w:sz="4" w:space="0" w:color="auto"/>
              <w:right w:val="nil"/>
            </w:tcBorders>
            <w:shd w:val="clear" w:color="auto" w:fill="auto"/>
            <w:noWrap/>
            <w:vAlign w:val="bottom"/>
            <w:hideMark/>
          </w:tcPr>
          <w:p w14:paraId="14D15A1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{"citationID":"abi19bnt5i","properties":{"formattedCitation":"[169]","plainCitation":"[169]","noteIndex":0},"citationItems":[{"id":228,"uris":["http://zotero.org/users/12909065/items/HBKMCBEA"],"itemData":{"id":228,"type":"article-journal","abstract":"Given that the ring-fusion strategy can effectively tail the electrical, optical, and structural properties of π-conjugated materials, we have herein developed Y-series non-fullerene acceptors with a dual acceptor–donor–dual acceptor-type structure, bearing non-fused bare bithiophene (Y–Th2), hexagonal ring-fused bithiophene (Y-BDT), or pentagonal ring-fused bithiophene (Y-CDT) central donor units. Several characterization techniques were applied to perform a comparative investigation of their optical and physical properties and frontier energy levels with respect to the different ring-fusion of the central units. Moreover, for the cascade energy level alignment, the synthesized acceptors were employed as a third component in the PM6:Y6 that served as a binary host platform. The introduction of the optimal amount of Y–Th2 or Y-BDT into the host system improved the device performance. Specifically, Y–Th2 exhibited the best power conversion efficiency (PCE) (16.01%) along with improved photovoltaic parameters, whereas the addition of Y-CDT impaired the PCE. Moreover, the optimized Y–Th2-based ternary organic solar cell achieved a PCE of 22.72% under indoor illumination at 1000 lux. Thus, the in-depth structural, morphological, and electrical analyses not only established a structure–property correlation, but also provided better design criteria for the guest-oriented non-fullerene acceptors for ternary photovoltaic applications, especially for Y6-containing systems. © 2020 Elsevier Ltd","archive":"Scopus","container-title":"Nano Energy","DOI":"10.1016/j.nanoen.2020.104896","ISSN":"2211-2855","language":"English","source":"Scopus","title":"Guest-oriented non-fullerene acceptors for ternary organic solar cells with over 16.0% and 22.7% efficiencies under one-sun and indoor light","volume":"75","author":[{"family":"Cho","given":"Y."},{"family":"Kumari","given":"T."},{"family":"Jeong","given":"S."},{"family":"Lee","given":"S.M."},{"family":"Jeong","given":"M."},{"family":"Lee","given":"B."},{"family":"Oh","given":"J."},{"family":"Zhang","given":"Y."},{"family":"Huang","given":"B."},{"family":"Chen","given":"L."},{"family":"Yang","given":"C."}],"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[169]</w:t>
            </w:r>
            <w:r w:rsidRPr="00B55044">
              <w:rPr>
                <w:rFonts w:eastAsia="Times New Roman"/>
                <w:color w:val="0000FF"/>
                <w:sz w:val="16"/>
                <w:szCs w:val="16"/>
              </w:rPr>
              <w:fldChar w:fldCharType="end"/>
            </w:r>
          </w:p>
        </w:tc>
      </w:tr>
      <w:tr w:rsidR="00D47774" w:rsidRPr="00B55044" w14:paraId="527AD52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8CBF95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297</w:t>
            </w:r>
          </w:p>
        </w:tc>
        <w:tc>
          <w:tcPr>
            <w:tcW w:w="1525" w:type="pct"/>
            <w:tcBorders>
              <w:top w:val="single" w:sz="4" w:space="0" w:color="auto"/>
              <w:left w:val="nil"/>
              <w:bottom w:val="single" w:sz="4" w:space="0" w:color="auto"/>
              <w:right w:val="nil"/>
            </w:tcBorders>
            <w:shd w:val="clear" w:color="auto" w:fill="auto"/>
            <w:noWrap/>
            <w:vAlign w:val="bottom"/>
            <w:hideMark/>
          </w:tcPr>
          <w:p w14:paraId="7428E11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5F4FCD1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PM6:PTQ10:N3</w:t>
            </w:r>
          </w:p>
        </w:tc>
        <w:tc>
          <w:tcPr>
            <w:tcW w:w="379" w:type="pct"/>
            <w:tcBorders>
              <w:top w:val="single" w:sz="4" w:space="0" w:color="auto"/>
              <w:left w:val="nil"/>
              <w:bottom w:val="single" w:sz="4" w:space="0" w:color="auto"/>
              <w:right w:val="nil"/>
            </w:tcBorders>
            <w:shd w:val="clear" w:color="auto" w:fill="auto"/>
            <w:noWrap/>
            <w:vAlign w:val="bottom"/>
            <w:hideMark/>
          </w:tcPr>
          <w:p w14:paraId="137C3CA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0.849</w:t>
            </w:r>
          </w:p>
        </w:tc>
        <w:tc>
          <w:tcPr>
            <w:tcW w:w="379" w:type="pct"/>
            <w:tcBorders>
              <w:top w:val="single" w:sz="4" w:space="0" w:color="auto"/>
              <w:left w:val="nil"/>
              <w:bottom w:val="single" w:sz="4" w:space="0" w:color="auto"/>
              <w:right w:val="nil"/>
            </w:tcBorders>
            <w:shd w:val="clear" w:color="auto" w:fill="auto"/>
            <w:noWrap/>
            <w:vAlign w:val="bottom"/>
            <w:hideMark/>
          </w:tcPr>
          <w:p w14:paraId="202ED2B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26.34</w:t>
            </w:r>
          </w:p>
        </w:tc>
        <w:tc>
          <w:tcPr>
            <w:tcW w:w="378" w:type="pct"/>
            <w:tcBorders>
              <w:top w:val="single" w:sz="4" w:space="0" w:color="auto"/>
              <w:left w:val="nil"/>
              <w:bottom w:val="single" w:sz="4" w:space="0" w:color="auto"/>
              <w:right w:val="nil"/>
            </w:tcBorders>
            <w:shd w:val="clear" w:color="auto" w:fill="auto"/>
            <w:noWrap/>
            <w:vAlign w:val="bottom"/>
            <w:hideMark/>
          </w:tcPr>
          <w:p w14:paraId="3F55A0D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76.6</w:t>
            </w:r>
          </w:p>
        </w:tc>
        <w:tc>
          <w:tcPr>
            <w:tcW w:w="381" w:type="pct"/>
            <w:tcBorders>
              <w:top w:val="single" w:sz="4" w:space="0" w:color="auto"/>
              <w:left w:val="nil"/>
              <w:bottom w:val="single" w:sz="4" w:space="0" w:color="auto"/>
              <w:right w:val="nil"/>
            </w:tcBorders>
            <w:shd w:val="clear" w:color="auto" w:fill="auto"/>
            <w:noWrap/>
            <w:vAlign w:val="bottom"/>
            <w:hideMark/>
          </w:tcPr>
          <w:p w14:paraId="530888C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17.13</w:t>
            </w:r>
          </w:p>
        </w:tc>
        <w:tc>
          <w:tcPr>
            <w:tcW w:w="378" w:type="pct"/>
            <w:tcBorders>
              <w:top w:val="single" w:sz="4" w:space="0" w:color="auto"/>
              <w:left w:val="nil"/>
              <w:bottom w:val="single" w:sz="4" w:space="0" w:color="auto"/>
              <w:right w:val="nil"/>
            </w:tcBorders>
            <w:shd w:val="clear" w:color="auto" w:fill="auto"/>
            <w:noWrap/>
            <w:vAlign w:val="bottom"/>
            <w:hideMark/>
          </w:tcPr>
          <w:p w14:paraId="09746CB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{"citationID":"a2f754svutt","properties":{"formattedCitation":"[170]","plainCitation":"[170]","noteIndex":0},"citationItems":[{"id":227,"uris":["http://zotero.org/users/12909065/items/UMDFF7WY"],"itemData":{"id":227,"type":"article-journal","abstract":"Quaternary organic solar cells (q-OSCs) achieve a power conversion efficiency (PCE) of 17.73%, which is by far the highest reported PCE to date for q-OSCs. The quaternary devices significantly outperform the corresponding binary and ternary devices with various material combinations displaying the enormous potential of the quaternary blend system through rational design. We demonstrated a new type of “rivers and streams” hierarchical morphology that allows for the achievement of highly efficient quaternary devices that were considered extremely challenging in the past. © 2020 Elsevier Inc.\nMulti-component organic solar cells (OSCs) comprising more than two donor and acceptor materials have attracted significant research attention, as they can offer broader and better absorption, hence increasing solar cell performance. However, the morphology of multi-component OSCs is exceptionally complicated and challenging to control. Here, we develop a highly efficient (near 17.7%) quaternary OSC (q-OSC) using two polymer donors (namely PM6 and PTQ10) along with a fullerene (PC71BM) and a non-fullerene acceptor (N3). Our quaternary system demonstrates a new type of “rivers and streams” functional hierarchical (multi-length scale) morphology, where small domains of PTQ10 and PC71BM act as separators that spatially separate PM6 and N3, which effectively suppressed charge recombination, enhanced hole transport, and balanced charge transportation. These improvements in the quaternary system contribute to the increased internal quantum efficiency (IQE) and, thus, lead to an excellent JSC and device performance, which surpass their respective binary and ternary OSCs. © 2020 Elsevier Inc.\nOne important strategy to further enhance the efficiency of organic solar cells (OSCs) is to incorporate three or even four complementary organic materials in one cell. Such OSCs (often referred to as ternary or quaternary OSCs) can offer much broader absorption, thus better performance because one single organic material typically has a narrow absorption band. Despite the benefits, material selection and morphology control are extremely challenging for ternary OSCs already, while quaternary OSCs are not even considered feasible practically. In this manuscript, we have successfully developed a new type of quaternary blend system, which exhibits a unique “rivers and streams”-type hierarchical morphology that allows it to operate exceptionally efficiently, reaching a high PCE of 17.73%, significantly outperforming the corresponding binary and ternary devices. This type of “rivers and streams” morphology can offer unprecedented opportunities for organic solar cells with better efficiency. © 2020 Elsevier Inc.","archive":"Scopus","container-title":"Joule","DOI":"10.1016/j.joule.2020.06.014","ISSN":"2542-4351","issue":"8","language":"English","page":"1790-1805","source":"Scopus","title":"Selective Hole and Electron Transport in Efficient Quaternary Blend Organic Solar Cells","volume":"4","author":[{"family":"Arunagiri","given":"L."},{"family":"Peng","given":"Z."},{"family":"Zou","given":"X."},{"family":"Yu","given":"H."},{"family":"Zhang","given":"G."},{"family":"Wang","given":"Z."},{"family":"Lin Lai","given":"J.Y."},{"family":"Zhang","given":"J."},{"family":"Zheng","given":"Y."},{"family":"Cui","given":"C."},{"family":"Huang","given":"F."},{"family":"Zou","given":"Y."},{"family":"Wong","given":"K.S."},{"family":"Chow","given":"P.C.Y."},{"family":"Ade","given":"H."},{"family":"Yan","given":"H."}],"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[170]</w:t>
            </w:r>
            <w:r w:rsidRPr="00B55044">
              <w:rPr>
                <w:rFonts w:eastAsia="Times New Roman"/>
                <w:color w:val="0000FF"/>
                <w:sz w:val="16"/>
                <w:szCs w:val="16"/>
              </w:rPr>
              <w:fldChar w:fldCharType="end"/>
            </w:r>
          </w:p>
        </w:tc>
      </w:tr>
      <w:tr w:rsidR="00D47774" w:rsidRPr="00B55044" w14:paraId="30ED185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D50605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lastRenderedPageBreak/>
              <w:t>298</w:t>
            </w:r>
          </w:p>
        </w:tc>
        <w:tc>
          <w:tcPr>
            <w:tcW w:w="1525" w:type="pct"/>
            <w:tcBorders>
              <w:top w:val="single" w:sz="4" w:space="0" w:color="auto"/>
              <w:left w:val="nil"/>
              <w:bottom w:val="single" w:sz="4" w:space="0" w:color="auto"/>
              <w:right w:val="nil"/>
            </w:tcBorders>
            <w:shd w:val="clear" w:color="auto" w:fill="auto"/>
            <w:noWrap/>
            <w:vAlign w:val="bottom"/>
            <w:hideMark/>
          </w:tcPr>
          <w:p w14:paraId="1F8C7FF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6C14D29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PM6:Y6:ITCPTC</w:t>
            </w:r>
          </w:p>
        </w:tc>
        <w:tc>
          <w:tcPr>
            <w:tcW w:w="379" w:type="pct"/>
            <w:tcBorders>
              <w:top w:val="single" w:sz="4" w:space="0" w:color="auto"/>
              <w:left w:val="nil"/>
              <w:bottom w:val="single" w:sz="4" w:space="0" w:color="auto"/>
              <w:right w:val="nil"/>
            </w:tcBorders>
            <w:shd w:val="clear" w:color="auto" w:fill="auto"/>
            <w:noWrap/>
            <w:vAlign w:val="bottom"/>
            <w:hideMark/>
          </w:tcPr>
          <w:p w14:paraId="75E07BE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0.861</w:t>
            </w:r>
          </w:p>
        </w:tc>
        <w:tc>
          <w:tcPr>
            <w:tcW w:w="379" w:type="pct"/>
            <w:tcBorders>
              <w:top w:val="single" w:sz="4" w:space="0" w:color="auto"/>
              <w:left w:val="nil"/>
              <w:bottom w:val="single" w:sz="4" w:space="0" w:color="auto"/>
              <w:right w:val="nil"/>
            </w:tcBorders>
            <w:shd w:val="clear" w:color="auto" w:fill="auto"/>
            <w:noWrap/>
            <w:vAlign w:val="bottom"/>
            <w:hideMark/>
          </w:tcPr>
          <w:p w14:paraId="3FFDD62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25.67</w:t>
            </w:r>
          </w:p>
        </w:tc>
        <w:tc>
          <w:tcPr>
            <w:tcW w:w="378" w:type="pct"/>
            <w:tcBorders>
              <w:top w:val="single" w:sz="4" w:space="0" w:color="auto"/>
              <w:left w:val="nil"/>
              <w:bottom w:val="single" w:sz="4" w:space="0" w:color="auto"/>
              <w:right w:val="nil"/>
            </w:tcBorders>
            <w:shd w:val="clear" w:color="auto" w:fill="auto"/>
            <w:noWrap/>
            <w:vAlign w:val="bottom"/>
            <w:hideMark/>
          </w:tcPr>
          <w:p w14:paraId="080CBD6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78.8</w:t>
            </w:r>
          </w:p>
        </w:tc>
        <w:tc>
          <w:tcPr>
            <w:tcW w:w="381" w:type="pct"/>
            <w:tcBorders>
              <w:top w:val="single" w:sz="4" w:space="0" w:color="auto"/>
              <w:left w:val="nil"/>
              <w:bottom w:val="single" w:sz="4" w:space="0" w:color="auto"/>
              <w:right w:val="nil"/>
            </w:tcBorders>
            <w:shd w:val="clear" w:color="auto" w:fill="auto"/>
            <w:noWrap/>
            <w:vAlign w:val="bottom"/>
            <w:hideMark/>
          </w:tcPr>
          <w:p w14:paraId="6BCA02B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17.42</w:t>
            </w:r>
          </w:p>
        </w:tc>
        <w:tc>
          <w:tcPr>
            <w:tcW w:w="378" w:type="pct"/>
            <w:tcBorders>
              <w:top w:val="single" w:sz="4" w:space="0" w:color="auto"/>
              <w:left w:val="nil"/>
              <w:bottom w:val="single" w:sz="4" w:space="0" w:color="auto"/>
              <w:right w:val="nil"/>
            </w:tcBorders>
            <w:shd w:val="clear" w:color="auto" w:fill="auto"/>
            <w:noWrap/>
            <w:vAlign w:val="bottom"/>
            <w:hideMark/>
          </w:tcPr>
          <w:p w14:paraId="3FD6DD1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{"citationID":"a1ni68gv2pu","properties":{"formattedCitation":"[171]","plainCitation":"[171]","noteIndex":0},"citationItems":[{"id":226,"uris":["http://zotero.org/users/12909065/items/S5KXC4JG"],"itemData":{"id":226,"type":"article-journal","abstract":"It is widely known that the miscibility between donor and acceptor is a crucial factor that affects the morphology and thus device performance of nonfullerene organic solar cells (OSCs). In this Letter, we show that incorporating a third component with lower miscibility and higher lowest unoccupied molecular orbital (LUMO) level into the state-of-the-art PM6:Y6 system can significantly enhance the performance of devices. The best results of the ternary devices are achieved by adding a small molecular acceptor named ITCPTC (</w:instrText>
            </w:r>
            <w:r w:rsidR="001F36B1" w:rsidRPr="00B55044">
              <w:rPr>
                <w:rFonts w:ascii="Cambria Math" w:eastAsia="Times New Roman" w:hAnsi="Cambria Math" w:cs="Cambria Math"/>
                <w:color w:val="0000FF"/>
                <w:sz w:val="16"/>
                <w:szCs w:val="16"/>
              </w:rPr>
              <w:instrText>∼</w:instrText>
            </w:r>
            <w:r w:rsidR="001F36B1" w:rsidRPr="00B55044">
              <w:rPr>
                <w:rFonts w:eastAsia="Times New Roman"/>
                <w:color w:val="0000FF"/>
                <w:sz w:val="16"/>
                <w:szCs w:val="16"/>
              </w:rPr>
              <w:instrText xml:space="preserve">5% w/w), which significantly improves the power conversion efficiency (PCE) of the host system from 16.44% to 17.42%. The higher LUMO of the third component increases the open-circuit voltage (VOC), while the low miscibility enlarges the domains and leads to improved short-circuit current density (JSC) and fill factor (FF). The efficacy of this strategy is supported by using other nonfullerene third components including an asymmetric small molecule (N7IT) and a polymer acceptor (PF2-DTC), which play the same role as ITCPTC and boost the PCEs to 16.96% and 17.04%, respectively. Our approach can be potentially applied to a wide range of OSC material systems and should facilitate the development of the OSC field. © 2020 American Chemical Society.","archive":"Scopus","container-title":"ACS Energy Letters","DOI":"10.1021/acsenergylett.0c01364","ISSN":"2380-8195","issue":"8","language":"English","page":"2711-2720","source":"Scopus","title":"Adding a Third Component with Reduced Miscibility and Higher LUMO Level Enables Efficient Ternary Organic Solar Cells","volume":"5","author":[{"family":"Ma","given":"R."},{"family":"Liu","given":"T."},{"family":"Luo","given":"Z."},{"family":"Gao","given":"K."},{"family":"Chen","given":"K."},{"family":"Zhang","given":"G."},{"family":"Gao","given":"W."},{"family":"Xiao","given":"Y."},{"family":"Lau","given":"T.-K."},{"family":"Fan","given":"Q."},{"family":"Chen","given":"Y."},{"family":"Ma","given":"L.-K."},{"family":"Sun","given":"H."},{"family":"Cai","given":"G."},{"family":"Yang","given":"T."},{"family":"Lu","given":"X."},{"family":"Wang","given":"E."},{"family":"Yang","given":"C."},{"family":"Jen","given":"A.K.-Y."},{"family":"Yan","given":"H."}],"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[171]</w:t>
            </w:r>
            <w:r w:rsidRPr="00B55044">
              <w:rPr>
                <w:rFonts w:eastAsia="Times New Roman"/>
                <w:color w:val="0000FF"/>
                <w:sz w:val="16"/>
                <w:szCs w:val="16"/>
              </w:rPr>
              <w:fldChar w:fldCharType="end"/>
            </w:r>
          </w:p>
        </w:tc>
      </w:tr>
      <w:tr w:rsidR="00D47774" w:rsidRPr="00B55044" w14:paraId="56D6E86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2CACE8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299</w:t>
            </w:r>
          </w:p>
        </w:tc>
        <w:tc>
          <w:tcPr>
            <w:tcW w:w="1525" w:type="pct"/>
            <w:tcBorders>
              <w:top w:val="single" w:sz="4" w:space="0" w:color="auto"/>
              <w:left w:val="nil"/>
              <w:bottom w:val="single" w:sz="4" w:space="0" w:color="auto"/>
              <w:right w:val="nil"/>
            </w:tcBorders>
            <w:shd w:val="clear" w:color="auto" w:fill="auto"/>
            <w:noWrap/>
            <w:vAlign w:val="bottom"/>
            <w:hideMark/>
          </w:tcPr>
          <w:p w14:paraId="096177C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7B3D78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PM6:DRTB-T-C4(10%):Y6</w:t>
            </w:r>
          </w:p>
        </w:tc>
        <w:tc>
          <w:tcPr>
            <w:tcW w:w="379" w:type="pct"/>
            <w:tcBorders>
              <w:top w:val="single" w:sz="4" w:space="0" w:color="auto"/>
              <w:left w:val="nil"/>
              <w:bottom w:val="single" w:sz="4" w:space="0" w:color="auto"/>
              <w:right w:val="nil"/>
            </w:tcBorders>
            <w:shd w:val="clear" w:color="auto" w:fill="auto"/>
            <w:noWrap/>
            <w:vAlign w:val="bottom"/>
            <w:hideMark/>
          </w:tcPr>
          <w:p w14:paraId="00417A4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6AFC2AA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24.79</w:t>
            </w:r>
          </w:p>
        </w:tc>
        <w:tc>
          <w:tcPr>
            <w:tcW w:w="378" w:type="pct"/>
            <w:tcBorders>
              <w:top w:val="single" w:sz="4" w:space="0" w:color="auto"/>
              <w:left w:val="nil"/>
              <w:bottom w:val="single" w:sz="4" w:space="0" w:color="auto"/>
              <w:right w:val="nil"/>
            </w:tcBorders>
            <w:shd w:val="clear" w:color="auto" w:fill="auto"/>
            <w:noWrap/>
            <w:vAlign w:val="bottom"/>
            <w:hideMark/>
          </w:tcPr>
          <w:p w14:paraId="66FCA84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81.3</w:t>
            </w:r>
          </w:p>
        </w:tc>
        <w:tc>
          <w:tcPr>
            <w:tcW w:w="381" w:type="pct"/>
            <w:tcBorders>
              <w:top w:val="single" w:sz="4" w:space="0" w:color="auto"/>
              <w:left w:val="nil"/>
              <w:bottom w:val="single" w:sz="4" w:space="0" w:color="auto"/>
              <w:right w:val="nil"/>
            </w:tcBorders>
            <w:shd w:val="clear" w:color="auto" w:fill="auto"/>
            <w:noWrap/>
            <w:vAlign w:val="bottom"/>
            <w:hideMark/>
          </w:tcPr>
          <w:p w14:paraId="05D1683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17.13</w:t>
            </w:r>
          </w:p>
        </w:tc>
        <w:tc>
          <w:tcPr>
            <w:tcW w:w="378" w:type="pct"/>
            <w:tcBorders>
              <w:top w:val="single" w:sz="4" w:space="0" w:color="auto"/>
              <w:left w:val="nil"/>
              <w:bottom w:val="single" w:sz="4" w:space="0" w:color="auto"/>
              <w:right w:val="nil"/>
            </w:tcBorders>
            <w:shd w:val="clear" w:color="auto" w:fill="auto"/>
            <w:noWrap/>
            <w:vAlign w:val="bottom"/>
            <w:hideMark/>
          </w:tcPr>
          <w:p w14:paraId="4D97E27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{"citationID":"a47c7ghr91","properties":{"formattedCitation":"[172]","plainCitation":"[172]","noteIndex":0},"citationItems":[{"id":225,"uris":["http://zotero.org/users/12909065/items/6WY2FRBG"],"itemData":{"id":225,"type":"article-journal","abstract":"Ternary architecture is one of the most effective strategies to boost the power conversion efficiency (PCE) of organic solar cells (OSCs). Here, an OSC with a ternary architecture featuring a highly crystalline molecular donor DRTB-T-C4 as a third component to the host binary system consisting of a polymer donor PM6 and a nonfullerene acceptor Y6 is reported. The third component is used to achieve enhanced and balanced charge transport, contributing to an improved fill factor (FF) of 0.813 and yielding an impressive PCE of 17.13%. The heterojunctions are designed using so-called pinning energies to promote exciton separation and reduce recombination loss. In addition, the preferential location of DRTB-T-C4 at the interface between PM6 and Y6 plays an important role in optimizing the morphology of the active layer. © 2020 WILEY-VCH Verlag GmbH &amp; Co. KGaA, Weinheim","archive":"Scopus","container-title":"Advanced Materials","DOI":"10.1002/adma.202002344","ISSN":"0935-9648","issue":"34","language":"English","source":"Scopus","title":"Enhanced and Balanced Charge Transport Boosting Ternary Solar Cells Over 17% Efficiency","volume":"32","author":[{"family":"Li","given":"D."},{"family":"Zhu","given":"L."},{"family":"Liu","given":"X."},{"family":"Xiao","given":"W."},{"family":"Yang","given":"J."},{"family":"Ma","given":"R."},{"family":"Ding","given":"L."},{"family":"Liu","given":"F."},{"family":"Duan","given":"C."},{"family":"Fahlman","given":"M."},{"family":"Bao","given":"Q."}],"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[172]</w:t>
            </w:r>
            <w:r w:rsidRPr="00B55044">
              <w:rPr>
                <w:rFonts w:eastAsia="Times New Roman"/>
                <w:color w:val="0000FF"/>
                <w:sz w:val="16"/>
                <w:szCs w:val="16"/>
              </w:rPr>
              <w:fldChar w:fldCharType="end"/>
            </w:r>
          </w:p>
        </w:tc>
      </w:tr>
      <w:tr w:rsidR="00D47774" w:rsidRPr="00B55044" w14:paraId="3817994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D9FCCE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300</w:t>
            </w:r>
          </w:p>
        </w:tc>
        <w:tc>
          <w:tcPr>
            <w:tcW w:w="1525" w:type="pct"/>
            <w:tcBorders>
              <w:top w:val="single" w:sz="4" w:space="0" w:color="auto"/>
              <w:left w:val="nil"/>
              <w:bottom w:val="single" w:sz="4" w:space="0" w:color="auto"/>
              <w:right w:val="nil"/>
            </w:tcBorders>
            <w:shd w:val="clear" w:color="auto" w:fill="auto"/>
            <w:noWrap/>
            <w:vAlign w:val="bottom"/>
            <w:hideMark/>
          </w:tcPr>
          <w:p w14:paraId="4685A1C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0F9CF91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PM6:DRTB-T-C4(20%):Y6</w:t>
            </w:r>
          </w:p>
        </w:tc>
        <w:tc>
          <w:tcPr>
            <w:tcW w:w="379" w:type="pct"/>
            <w:tcBorders>
              <w:top w:val="single" w:sz="4" w:space="0" w:color="auto"/>
              <w:left w:val="nil"/>
              <w:bottom w:val="single" w:sz="4" w:space="0" w:color="auto"/>
              <w:right w:val="nil"/>
            </w:tcBorders>
            <w:shd w:val="clear" w:color="auto" w:fill="auto"/>
            <w:noWrap/>
            <w:vAlign w:val="bottom"/>
            <w:hideMark/>
          </w:tcPr>
          <w:p w14:paraId="140B882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1972C92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24.71</w:t>
            </w:r>
          </w:p>
        </w:tc>
        <w:tc>
          <w:tcPr>
            <w:tcW w:w="378" w:type="pct"/>
            <w:tcBorders>
              <w:top w:val="single" w:sz="4" w:space="0" w:color="auto"/>
              <w:left w:val="nil"/>
              <w:bottom w:val="single" w:sz="4" w:space="0" w:color="auto"/>
              <w:right w:val="nil"/>
            </w:tcBorders>
            <w:shd w:val="clear" w:color="auto" w:fill="auto"/>
            <w:noWrap/>
            <w:vAlign w:val="bottom"/>
            <w:hideMark/>
          </w:tcPr>
          <w:p w14:paraId="639BFBF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80.2</w:t>
            </w:r>
          </w:p>
        </w:tc>
        <w:tc>
          <w:tcPr>
            <w:tcW w:w="381" w:type="pct"/>
            <w:tcBorders>
              <w:top w:val="single" w:sz="4" w:space="0" w:color="auto"/>
              <w:left w:val="nil"/>
              <w:bottom w:val="single" w:sz="4" w:space="0" w:color="auto"/>
              <w:right w:val="nil"/>
            </w:tcBorders>
            <w:shd w:val="clear" w:color="auto" w:fill="auto"/>
            <w:noWrap/>
            <w:vAlign w:val="bottom"/>
            <w:hideMark/>
          </w:tcPr>
          <w:p w14:paraId="721D22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16.84</w:t>
            </w:r>
          </w:p>
        </w:tc>
        <w:tc>
          <w:tcPr>
            <w:tcW w:w="378" w:type="pct"/>
            <w:tcBorders>
              <w:top w:val="single" w:sz="4" w:space="0" w:color="auto"/>
              <w:left w:val="nil"/>
              <w:bottom w:val="single" w:sz="4" w:space="0" w:color="auto"/>
              <w:right w:val="nil"/>
            </w:tcBorders>
            <w:shd w:val="clear" w:color="auto" w:fill="auto"/>
            <w:noWrap/>
            <w:vAlign w:val="bottom"/>
            <w:hideMark/>
          </w:tcPr>
          <w:p w14:paraId="62BE42D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{"citationID":"a17u2irl8e7","properties":{"formattedCitation":"[172]","plainCitation":"[172]","noteIndex":0},"citationItems":[{"id":225,"uris":["http://zotero.org/users/12909065/items/6WY2FRBG"],"itemData":{"id":225,"type":"article-journal","abstract":"Ternary architecture is one of the most effective strategies to boost the power conversion efficiency (PCE) of organic solar cells (OSCs). Here, an OSC with a ternary architecture featuring a highly crystalline molecular donor DRTB-T-C4 as a third component to the host binary system consisting of a polymer donor PM6 and a nonfullerene acceptor Y6 is reported. The third component is used to achieve enhanced and balanced charge transport, contributing to an improved fill factor (FF) of 0.813 and yielding an impressive PCE of 17.13%. The heterojunctions are designed using so-called pinning energies to promote exciton separation and reduce recombination loss. In addition, the preferential location of DRTB-T-C4 at the interface between PM6 and Y6 plays an important role in optimizing the morphology of the active layer. © 2020 WILEY-VCH Verlag GmbH &amp; Co. KGaA, Weinheim","archive":"Scopus","container-title":"Advanced Materials","DOI":"10.1002/adma.202002344","ISSN":"0935-9648","issue":"34","language":"English","source":"Scopus","title":"Enhanced and Balanced Charge Transport Boosting Ternary Solar Cells Over 17% Efficiency","volume":"32","author":[{"family":"Li","given":"D."},{"family":"Zhu","given":"L."},{"family":"Liu","given":"X."},{"family":"Xiao","given":"W."},{"family":"Yang","given":"J."},{"family":"Ma","given":"R."},{"family":"Ding","given":"L."},{"family":"Liu","given":"F."},{"family":"Duan","given":"C."},{"family":"Fahlman","given":"M."},{"family":"Bao","given":"Q."}],"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[172]</w:t>
            </w:r>
            <w:r w:rsidRPr="00B55044">
              <w:rPr>
                <w:rFonts w:eastAsia="Times New Roman"/>
                <w:color w:val="0000FF"/>
                <w:sz w:val="16"/>
                <w:szCs w:val="16"/>
              </w:rPr>
              <w:fldChar w:fldCharType="end"/>
            </w:r>
          </w:p>
        </w:tc>
      </w:tr>
      <w:tr w:rsidR="00D47774" w:rsidRPr="00B55044" w14:paraId="12C51CE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C5F60A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301</w:t>
            </w:r>
          </w:p>
        </w:tc>
        <w:tc>
          <w:tcPr>
            <w:tcW w:w="1525" w:type="pct"/>
            <w:tcBorders>
              <w:top w:val="single" w:sz="4" w:space="0" w:color="auto"/>
              <w:left w:val="nil"/>
              <w:bottom w:val="single" w:sz="4" w:space="0" w:color="auto"/>
              <w:right w:val="nil"/>
            </w:tcBorders>
            <w:shd w:val="clear" w:color="auto" w:fill="auto"/>
            <w:noWrap/>
            <w:vAlign w:val="bottom"/>
            <w:hideMark/>
          </w:tcPr>
          <w:p w14:paraId="720CB5A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6CA265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PM6:DRTB-T-C4(30%):Y6</w:t>
            </w:r>
          </w:p>
        </w:tc>
        <w:tc>
          <w:tcPr>
            <w:tcW w:w="379" w:type="pct"/>
            <w:tcBorders>
              <w:top w:val="single" w:sz="4" w:space="0" w:color="auto"/>
              <w:left w:val="nil"/>
              <w:bottom w:val="single" w:sz="4" w:space="0" w:color="auto"/>
              <w:right w:val="nil"/>
            </w:tcBorders>
            <w:shd w:val="clear" w:color="auto" w:fill="auto"/>
            <w:noWrap/>
            <w:vAlign w:val="bottom"/>
            <w:hideMark/>
          </w:tcPr>
          <w:p w14:paraId="2D28F72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179DEF6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24.42</w:t>
            </w:r>
          </w:p>
        </w:tc>
        <w:tc>
          <w:tcPr>
            <w:tcW w:w="378" w:type="pct"/>
            <w:tcBorders>
              <w:top w:val="single" w:sz="4" w:space="0" w:color="auto"/>
              <w:left w:val="nil"/>
              <w:bottom w:val="single" w:sz="4" w:space="0" w:color="auto"/>
              <w:right w:val="nil"/>
            </w:tcBorders>
            <w:shd w:val="clear" w:color="auto" w:fill="auto"/>
            <w:noWrap/>
            <w:vAlign w:val="bottom"/>
            <w:hideMark/>
          </w:tcPr>
          <w:p w14:paraId="20F7102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79.4</w:t>
            </w:r>
          </w:p>
        </w:tc>
        <w:tc>
          <w:tcPr>
            <w:tcW w:w="381" w:type="pct"/>
            <w:tcBorders>
              <w:top w:val="single" w:sz="4" w:space="0" w:color="auto"/>
              <w:left w:val="nil"/>
              <w:bottom w:val="single" w:sz="4" w:space="0" w:color="auto"/>
              <w:right w:val="nil"/>
            </w:tcBorders>
            <w:shd w:val="clear" w:color="auto" w:fill="auto"/>
            <w:noWrap/>
            <w:vAlign w:val="bottom"/>
            <w:hideMark/>
          </w:tcPr>
          <w:p w14:paraId="41335CB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16.48</w:t>
            </w:r>
          </w:p>
        </w:tc>
        <w:tc>
          <w:tcPr>
            <w:tcW w:w="378" w:type="pct"/>
            <w:tcBorders>
              <w:top w:val="single" w:sz="4" w:space="0" w:color="auto"/>
              <w:left w:val="nil"/>
              <w:bottom w:val="single" w:sz="4" w:space="0" w:color="auto"/>
              <w:right w:val="nil"/>
            </w:tcBorders>
            <w:shd w:val="clear" w:color="auto" w:fill="auto"/>
            <w:noWrap/>
            <w:vAlign w:val="bottom"/>
            <w:hideMark/>
          </w:tcPr>
          <w:p w14:paraId="6A77D8C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{"citationID":"as289stip9","properties":{"formattedCitation":"[172]","plainCitation":"[172]","noteIndex":0},"citationItems":[{"id":225,"uris":["http://zotero.org/users/12909065/items/6WY2FRBG"],"itemData":{"id":225,"type":"article-journal","abstract":"Ternary architecture is one of the most effective strategies to boost the power conversion efficiency (PCE) of organic solar cells (OSCs). Here, an OSC with a ternary architecture featuring a highly crystalline molecular donor DRTB-T-C4 as a third component to the host binary system consisting of a polymer donor PM6 and a nonfullerene acceptor Y6 is reported. The third component is used to achieve enhanced and balanced charge transport, contributing to an improved fill factor (FF) of 0.813 and yielding an impressive PCE of 17.13%. The heterojunctions are designed using so-called pinning energies to promote exciton separation and reduce recombination loss. In addition, the preferential location of DRTB-T-C4 at the interface between PM6 and Y6 plays an important role in optimizing the morphology of the active layer. © 2020 WILEY-VCH Verlag GmbH &amp; Co. KGaA, Weinheim","archive":"Scopus","container-title":"Advanced Materials","DOI":"10.1002/adma.202002344","ISSN":"0935-9648","issue":"34","language":"English","source":"Scopus","title":"Enhanced and Balanced Charge Transport Boosting Ternary Solar Cells Over 17% Efficiency","volume":"32","author":[{"family":"Li","given":"D."},{"family":"Zhu","given":"L."},{"family":"Liu","given":"X."},{"family":"Xiao","given":"W."},{"family":"Yang","given":"J."},{"family":"Ma","given":"R."},{"family":"Ding","given":"L."},{"family":"Liu","given":"F."},{"family":"Duan","given":"C."},{"family":"Fahlman","given":"M."},{"family":"Bao","given":"Q."}],"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[172]</w:t>
            </w:r>
            <w:r w:rsidRPr="00B55044">
              <w:rPr>
                <w:rFonts w:eastAsia="Times New Roman"/>
                <w:color w:val="0000FF"/>
                <w:sz w:val="16"/>
                <w:szCs w:val="16"/>
              </w:rPr>
              <w:fldChar w:fldCharType="end"/>
            </w:r>
          </w:p>
        </w:tc>
      </w:tr>
      <w:tr w:rsidR="00D47774" w:rsidRPr="00B55044" w14:paraId="10D1F3A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EF250A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302</w:t>
            </w:r>
          </w:p>
        </w:tc>
        <w:tc>
          <w:tcPr>
            <w:tcW w:w="1525" w:type="pct"/>
            <w:tcBorders>
              <w:top w:val="single" w:sz="4" w:space="0" w:color="auto"/>
              <w:left w:val="nil"/>
              <w:bottom w:val="single" w:sz="4" w:space="0" w:color="auto"/>
              <w:right w:val="nil"/>
            </w:tcBorders>
            <w:shd w:val="clear" w:color="auto" w:fill="auto"/>
            <w:noWrap/>
            <w:vAlign w:val="bottom"/>
            <w:hideMark/>
          </w:tcPr>
          <w:p w14:paraId="210D4A9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15F2A17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PM6:DRTB-T-C4(50%):Y6</w:t>
            </w:r>
          </w:p>
        </w:tc>
        <w:tc>
          <w:tcPr>
            <w:tcW w:w="379" w:type="pct"/>
            <w:tcBorders>
              <w:top w:val="single" w:sz="4" w:space="0" w:color="auto"/>
              <w:left w:val="nil"/>
              <w:bottom w:val="single" w:sz="4" w:space="0" w:color="auto"/>
              <w:right w:val="nil"/>
            </w:tcBorders>
            <w:shd w:val="clear" w:color="auto" w:fill="auto"/>
            <w:noWrap/>
            <w:vAlign w:val="bottom"/>
            <w:hideMark/>
          </w:tcPr>
          <w:p w14:paraId="18288D8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66CA11D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22.57</w:t>
            </w:r>
          </w:p>
        </w:tc>
        <w:tc>
          <w:tcPr>
            <w:tcW w:w="378" w:type="pct"/>
            <w:tcBorders>
              <w:top w:val="single" w:sz="4" w:space="0" w:color="auto"/>
              <w:left w:val="nil"/>
              <w:bottom w:val="single" w:sz="4" w:space="0" w:color="auto"/>
              <w:right w:val="nil"/>
            </w:tcBorders>
            <w:shd w:val="clear" w:color="auto" w:fill="auto"/>
            <w:noWrap/>
            <w:vAlign w:val="bottom"/>
            <w:hideMark/>
          </w:tcPr>
          <w:p w14:paraId="711C305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76.7</w:t>
            </w:r>
          </w:p>
        </w:tc>
        <w:tc>
          <w:tcPr>
            <w:tcW w:w="381" w:type="pct"/>
            <w:tcBorders>
              <w:top w:val="single" w:sz="4" w:space="0" w:color="auto"/>
              <w:left w:val="nil"/>
              <w:bottom w:val="single" w:sz="4" w:space="0" w:color="auto"/>
              <w:right w:val="nil"/>
            </w:tcBorders>
            <w:shd w:val="clear" w:color="auto" w:fill="auto"/>
            <w:noWrap/>
            <w:vAlign w:val="bottom"/>
            <w:hideMark/>
          </w:tcPr>
          <w:p w14:paraId="61783AE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14.88</w:t>
            </w:r>
          </w:p>
        </w:tc>
        <w:tc>
          <w:tcPr>
            <w:tcW w:w="378" w:type="pct"/>
            <w:tcBorders>
              <w:top w:val="single" w:sz="4" w:space="0" w:color="auto"/>
              <w:left w:val="nil"/>
              <w:bottom w:val="single" w:sz="4" w:space="0" w:color="auto"/>
              <w:right w:val="nil"/>
            </w:tcBorders>
            <w:shd w:val="clear" w:color="auto" w:fill="auto"/>
            <w:noWrap/>
            <w:vAlign w:val="bottom"/>
            <w:hideMark/>
          </w:tcPr>
          <w:p w14:paraId="5C785E9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{"citationID":"a1sshdtrha9","properties":{"formattedCitation":"[172]","plainCitation":"[172]","noteIndex":0},"citationItems":[{"id":225,"uris":["http://zotero.org/users/12909065/items/6WY2FRBG"],"itemData":{"id":225,"type":"article-journal","abstract":"Ternary architecture is one of the most effective strategies to boost the power conversion efficiency (PCE) of organic solar cells (OSCs). Here, an OSC with a ternary architecture featuring a highly crystalline molecular donor DRTB-T-C4 as a third component to the host binary system consisting of a polymer donor PM6 and a nonfullerene acceptor Y6 is reported. The third component is used to achieve enhanced and balanced charge transport, contributing to an improved fill factor (FF) of 0.813 and yielding an impressive PCE of 17.13%. The heterojunctions are designed using so-called pinning energies to promote exciton separation and reduce recombination loss. In addition, the preferential location of DRTB-T-C4 at the interface between PM6 and Y6 plays an important role in optimizing the morphology of the active layer. © 2020 WILEY-VCH Verlag GmbH &amp; Co. KGaA, Weinheim","archive":"Scopus","container-title":"Advanced Materials","DOI":"10.1002/adma.202002344","ISSN":"0935-9648","issue":"34","language":"English","source":"Scopus","title":"Enhanced and Balanced Charge Transport Boosting Ternary Solar Cells Over 17% Efficiency","volume":"32","author":[{"family":"Li","given":"D."},{"family":"Zhu","given":"L."},{"family":"Liu","given":"X."},{"family":"Xiao","given":"W."},{"family":"Yang","given":"J."},{"family":"Ma","given":"R."},{"family":"Ding","given":"L."},{"family":"Liu","given":"F."},{"family":"Duan","given":"C."},{"family":"Fahlman","given":"M."},{"family":"Bao","given":"Q."}],"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[172]</w:t>
            </w:r>
            <w:r w:rsidRPr="00B55044">
              <w:rPr>
                <w:rFonts w:eastAsia="Times New Roman"/>
                <w:color w:val="0000FF"/>
                <w:sz w:val="16"/>
                <w:szCs w:val="16"/>
              </w:rPr>
              <w:fldChar w:fldCharType="end"/>
            </w:r>
          </w:p>
        </w:tc>
      </w:tr>
      <w:tr w:rsidR="00D47774" w:rsidRPr="00B55044" w14:paraId="0B0CACD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17CAF2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303</w:t>
            </w:r>
          </w:p>
        </w:tc>
        <w:tc>
          <w:tcPr>
            <w:tcW w:w="1525" w:type="pct"/>
            <w:tcBorders>
              <w:top w:val="single" w:sz="4" w:space="0" w:color="auto"/>
              <w:left w:val="nil"/>
              <w:bottom w:val="single" w:sz="4" w:space="0" w:color="auto"/>
              <w:right w:val="nil"/>
            </w:tcBorders>
            <w:shd w:val="clear" w:color="auto" w:fill="auto"/>
            <w:noWrap/>
            <w:vAlign w:val="bottom"/>
            <w:hideMark/>
          </w:tcPr>
          <w:p w14:paraId="0759079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7D853F8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PM6:DRTB-T-C4(80%):Y6</w:t>
            </w:r>
          </w:p>
        </w:tc>
        <w:tc>
          <w:tcPr>
            <w:tcW w:w="379" w:type="pct"/>
            <w:tcBorders>
              <w:top w:val="single" w:sz="4" w:space="0" w:color="auto"/>
              <w:left w:val="nil"/>
              <w:bottom w:val="single" w:sz="4" w:space="0" w:color="auto"/>
              <w:right w:val="nil"/>
            </w:tcBorders>
            <w:shd w:val="clear" w:color="auto" w:fill="auto"/>
            <w:noWrap/>
            <w:vAlign w:val="bottom"/>
            <w:hideMark/>
          </w:tcPr>
          <w:p w14:paraId="7BE36B7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w:t>
            </w:r>
          </w:p>
        </w:tc>
        <w:tc>
          <w:tcPr>
            <w:tcW w:w="379" w:type="pct"/>
            <w:tcBorders>
              <w:top w:val="single" w:sz="4" w:space="0" w:color="auto"/>
              <w:left w:val="nil"/>
              <w:bottom w:val="single" w:sz="4" w:space="0" w:color="auto"/>
              <w:right w:val="nil"/>
            </w:tcBorders>
            <w:shd w:val="clear" w:color="auto" w:fill="auto"/>
            <w:noWrap/>
            <w:vAlign w:val="bottom"/>
            <w:hideMark/>
          </w:tcPr>
          <w:p w14:paraId="5E9FC35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17.55</w:t>
            </w:r>
          </w:p>
        </w:tc>
        <w:tc>
          <w:tcPr>
            <w:tcW w:w="378" w:type="pct"/>
            <w:tcBorders>
              <w:top w:val="single" w:sz="4" w:space="0" w:color="auto"/>
              <w:left w:val="nil"/>
              <w:bottom w:val="single" w:sz="4" w:space="0" w:color="auto"/>
              <w:right w:val="nil"/>
            </w:tcBorders>
            <w:shd w:val="clear" w:color="auto" w:fill="auto"/>
            <w:noWrap/>
            <w:vAlign w:val="bottom"/>
            <w:hideMark/>
          </w:tcPr>
          <w:p w14:paraId="3217046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67.2</w:t>
            </w:r>
          </w:p>
        </w:tc>
        <w:tc>
          <w:tcPr>
            <w:tcW w:w="381" w:type="pct"/>
            <w:tcBorders>
              <w:top w:val="single" w:sz="4" w:space="0" w:color="auto"/>
              <w:left w:val="nil"/>
              <w:bottom w:val="single" w:sz="4" w:space="0" w:color="auto"/>
              <w:right w:val="nil"/>
            </w:tcBorders>
            <w:shd w:val="clear" w:color="auto" w:fill="auto"/>
            <w:noWrap/>
            <w:vAlign w:val="bottom"/>
            <w:hideMark/>
          </w:tcPr>
          <w:p w14:paraId="3811BF8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10.38</w:t>
            </w:r>
          </w:p>
        </w:tc>
        <w:tc>
          <w:tcPr>
            <w:tcW w:w="378" w:type="pct"/>
            <w:tcBorders>
              <w:top w:val="single" w:sz="4" w:space="0" w:color="auto"/>
              <w:left w:val="nil"/>
              <w:bottom w:val="single" w:sz="4" w:space="0" w:color="auto"/>
              <w:right w:val="nil"/>
            </w:tcBorders>
            <w:shd w:val="clear" w:color="auto" w:fill="auto"/>
            <w:noWrap/>
            <w:vAlign w:val="bottom"/>
            <w:hideMark/>
          </w:tcPr>
          <w:p w14:paraId="1BEDC0D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{"citationID":"afvvcfq5oq","properties":{"formattedCitation":"[172]","plainCitation":"[172]","noteIndex":0},"citationItems":[{"id":225,"uris":["http://zotero.org/users/12909065/items/6WY2FRBG"],"itemData":{"id":225,"type":"article-journal","abstract":"Ternary architecture is one of the most effective strategies to boost the power conversion efficiency (PCE) of organic solar cells (OSCs). Here, an OSC with a ternary architecture featuring a highly crystalline molecular donor DRTB-T-C4 as a third component to the host binary system consisting of a polymer donor PM6 and a nonfullerene acceptor Y6 is reported. The third component is used to achieve enhanced and balanced charge transport, contributing to an improved fill factor (FF) of 0.813 and yielding an impressive PCE of 17.13%. The heterojunctions are designed using so-called pinning energies to promote exciton separation and reduce recombination loss. In addition, the preferential location of DRTB-T-C4 at the interface between PM6 and Y6 plays an important role in optimizing the morphology of the active layer. © 2020 WILEY-VCH Verlag GmbH &amp; Co. KGaA, Weinheim","archive":"Scopus","container-title":"Advanced Materials","DOI":"10.1002/adma.202002344","ISSN":"0935-9648","issue":"34","language":"English","source":"Scopus","title":"Enhanced and Balanced Charge Transport Boosting Ternary Solar Cells Over 17% Efficiency","volume":"32","author":[{"family":"Li","given":"D."},{"family":"Zhu","given":"L."},{"family":"Liu","given":"X."},{"family":"Xiao","given":"W."},{"family":"Yang","given":"J."},{"family":"Ma","given":"R."},{"family":"Ding","given":"L."},{"family":"Liu","given":"F."},{"family":"Duan","given":"C."},{"family":"Fahlman","given":"M."},{"family":"Bao","given":"Q."}],"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[172]</w:t>
            </w:r>
            <w:r w:rsidRPr="00B55044">
              <w:rPr>
                <w:rFonts w:eastAsia="Times New Roman"/>
                <w:color w:val="0000FF"/>
                <w:sz w:val="16"/>
                <w:szCs w:val="16"/>
              </w:rPr>
              <w:fldChar w:fldCharType="end"/>
            </w:r>
          </w:p>
        </w:tc>
      </w:tr>
      <w:tr w:rsidR="00D47774" w:rsidRPr="00B55044" w14:paraId="6ED2970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04E68D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304</w:t>
            </w:r>
          </w:p>
        </w:tc>
        <w:tc>
          <w:tcPr>
            <w:tcW w:w="1525" w:type="pct"/>
            <w:tcBorders>
              <w:top w:val="single" w:sz="4" w:space="0" w:color="auto"/>
              <w:left w:val="nil"/>
              <w:bottom w:val="single" w:sz="4" w:space="0" w:color="auto"/>
              <w:right w:val="nil"/>
            </w:tcBorders>
            <w:shd w:val="clear" w:color="auto" w:fill="auto"/>
            <w:noWrap/>
            <w:vAlign w:val="bottom"/>
            <w:hideMark/>
          </w:tcPr>
          <w:p w14:paraId="5B18488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4DA2859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PM6:BTR:Y6</w:t>
            </w:r>
          </w:p>
        </w:tc>
        <w:tc>
          <w:tcPr>
            <w:tcW w:w="379" w:type="pct"/>
            <w:tcBorders>
              <w:top w:val="single" w:sz="4" w:space="0" w:color="auto"/>
              <w:left w:val="nil"/>
              <w:bottom w:val="single" w:sz="4" w:space="0" w:color="auto"/>
              <w:right w:val="nil"/>
            </w:tcBorders>
            <w:shd w:val="clear" w:color="auto" w:fill="auto"/>
            <w:noWrap/>
            <w:vAlign w:val="bottom"/>
            <w:hideMark/>
          </w:tcPr>
          <w:p w14:paraId="6EEC867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0.839</w:t>
            </w:r>
          </w:p>
        </w:tc>
        <w:tc>
          <w:tcPr>
            <w:tcW w:w="379" w:type="pct"/>
            <w:tcBorders>
              <w:top w:val="single" w:sz="4" w:space="0" w:color="auto"/>
              <w:left w:val="nil"/>
              <w:bottom w:val="single" w:sz="4" w:space="0" w:color="auto"/>
              <w:right w:val="nil"/>
            </w:tcBorders>
            <w:shd w:val="clear" w:color="auto" w:fill="auto"/>
            <w:noWrap/>
            <w:vAlign w:val="bottom"/>
            <w:hideMark/>
          </w:tcPr>
          <w:p w14:paraId="02F05AE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25.8</w:t>
            </w:r>
          </w:p>
        </w:tc>
        <w:tc>
          <w:tcPr>
            <w:tcW w:w="378" w:type="pct"/>
            <w:tcBorders>
              <w:top w:val="single" w:sz="4" w:space="0" w:color="auto"/>
              <w:left w:val="nil"/>
              <w:bottom w:val="single" w:sz="4" w:space="0" w:color="auto"/>
              <w:right w:val="nil"/>
            </w:tcBorders>
            <w:shd w:val="clear" w:color="auto" w:fill="auto"/>
            <w:noWrap/>
            <w:vAlign w:val="bottom"/>
            <w:hideMark/>
          </w:tcPr>
          <w:p w14:paraId="59DD172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76.7</w:t>
            </w:r>
          </w:p>
        </w:tc>
        <w:tc>
          <w:tcPr>
            <w:tcW w:w="381" w:type="pct"/>
            <w:tcBorders>
              <w:top w:val="single" w:sz="4" w:space="0" w:color="auto"/>
              <w:left w:val="nil"/>
              <w:bottom w:val="single" w:sz="4" w:space="0" w:color="auto"/>
              <w:right w:val="nil"/>
            </w:tcBorders>
            <w:shd w:val="clear" w:color="auto" w:fill="auto"/>
            <w:noWrap/>
            <w:vAlign w:val="bottom"/>
            <w:hideMark/>
          </w:tcPr>
          <w:p w14:paraId="11CD2F7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w:t>
            </w:r>
          </w:p>
        </w:tc>
        <w:tc>
          <w:tcPr>
            <w:tcW w:w="378" w:type="pct"/>
            <w:tcBorders>
              <w:top w:val="single" w:sz="4" w:space="0" w:color="auto"/>
              <w:left w:val="nil"/>
              <w:bottom w:val="single" w:sz="4" w:space="0" w:color="auto"/>
              <w:right w:val="nil"/>
            </w:tcBorders>
            <w:shd w:val="clear" w:color="auto" w:fill="auto"/>
            <w:noWrap/>
            <w:vAlign w:val="bottom"/>
            <w:hideMark/>
          </w:tcPr>
          <w:p w14:paraId="07A20CD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{"citationID":"a1ls0g3h04q","properties":{"formattedCitation":"[173]","plainCitation":"[173]","noteIndex":0},"citationItems":[{"id":224,"uris":["http://zotero.org/users/12909065/items/Q6YCTQVH"],"itemData":{"id":224,"type":"article-journal","abstract":"Achieving an ideal morphology is an imperative avenue for enhancing key parameters toward high-performing organic solar cells (OSCs). Among a myriad of morphological-control methods, the strategy of incorporating a third component with structural similarity and crystallinity difference to construct ternary OSCs has emerged as an effective approach to regulate morphology. A nematic liquid-crystalline benzodithiophene terthiophene rhodamine (BTR) molecule, which possesses the same alkylthio-thienyl-substituted benzo moiety but obviously stronger crystallinity compared to classical medium-bandgap polymeric donor PM6, is employed as a third component to construct ternary OSCs based on a PM6:BTR:Y6 system. The doping of BTR (5 wt%) is found to be enough to improve the OSC morphology—significantly enhancing the crystallinity of the photoactive layer while slightly reducing the donor/acceptor phase separation scale simultaneously. Rarely is such a morphology evolution reported. It positively affects the electronic properties of the device—prolongs the carrier lifetime, shortens the photocurrent decay time, facilitates exciton dissociation, charge transport, and collection, and ultimately boosts the power conversion efficiency from 15.7% to 16.6%. This result demonstrates that the successful synergy of liquid-crystalline small-molecule and polymeric donors delicately adjusts the active-layer morphology and refines device performance, which brings vibrancy to the OSC research field. © 2020 The Authors. Published by WILEY-VCH Verlag GmbH &amp; Co. KGaA, Weinheim","archive":"Scopus","container-title":"Advanced Science","DOI":"10.1002/advs.202000149","ISSN":"2198-3844","issue":"15","language":"English","source":"Scopus","title":"Synergy of Liquid-Crystalline Small-Molecule and Polymeric Donors Delivers Uncommon Morphology Evolution and 16.6% Efficiency Organic Photovoltaics","volume":"7","author":[{"family":"Yan","given":"C."},{"family":"Tang","given":"H."},{"family":"Ma","given":"R."},{"family":"Zhang","given":"M."},{"family":"Liu","given":"T."},{"family":"Lv","given":"J."},{"family":"Huang","given":"J."},{"family":"Yang","given":"Y."},{"family":"Xu","given":"T."},{"family":"Kan","given":"Z."},{"family":"Yan","given":"H."},{"family":"Liu","given":"F."},{"family":"Lu","given":"S."},{"family":"Li","given":"G."}],"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[173]</w:t>
            </w:r>
            <w:r w:rsidRPr="00B55044">
              <w:rPr>
                <w:rFonts w:eastAsia="Times New Roman"/>
                <w:color w:val="0000FF"/>
                <w:sz w:val="16"/>
                <w:szCs w:val="16"/>
              </w:rPr>
              <w:fldChar w:fldCharType="end"/>
            </w:r>
          </w:p>
        </w:tc>
      </w:tr>
      <w:tr w:rsidR="00D47774" w:rsidRPr="00B55044" w14:paraId="41394A3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FF9A17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305</w:t>
            </w:r>
          </w:p>
        </w:tc>
        <w:tc>
          <w:tcPr>
            <w:tcW w:w="1525" w:type="pct"/>
            <w:tcBorders>
              <w:top w:val="single" w:sz="4" w:space="0" w:color="auto"/>
              <w:left w:val="nil"/>
              <w:bottom w:val="single" w:sz="4" w:space="0" w:color="auto"/>
              <w:right w:val="nil"/>
            </w:tcBorders>
            <w:shd w:val="clear" w:color="auto" w:fill="auto"/>
            <w:noWrap/>
            <w:vAlign w:val="bottom"/>
            <w:hideMark/>
          </w:tcPr>
          <w:p w14:paraId="46B53B9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ITO/PEDOT:PSS/AL/Zracac/Al</w:t>
            </w:r>
          </w:p>
        </w:tc>
        <w:tc>
          <w:tcPr>
            <w:tcW w:w="1288" w:type="pct"/>
            <w:tcBorders>
              <w:top w:val="single" w:sz="4" w:space="0" w:color="auto"/>
              <w:left w:val="nil"/>
              <w:bottom w:val="single" w:sz="4" w:space="0" w:color="auto"/>
              <w:right w:val="nil"/>
            </w:tcBorders>
            <w:shd w:val="clear" w:color="auto" w:fill="auto"/>
            <w:noWrap/>
            <w:vAlign w:val="bottom"/>
            <w:hideMark/>
          </w:tcPr>
          <w:p w14:paraId="31BCAB8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PM6:IT-4F:N7IT</w:t>
            </w:r>
          </w:p>
        </w:tc>
        <w:tc>
          <w:tcPr>
            <w:tcW w:w="379" w:type="pct"/>
            <w:tcBorders>
              <w:top w:val="single" w:sz="4" w:space="0" w:color="auto"/>
              <w:left w:val="nil"/>
              <w:bottom w:val="single" w:sz="4" w:space="0" w:color="auto"/>
              <w:right w:val="nil"/>
            </w:tcBorders>
            <w:shd w:val="clear" w:color="auto" w:fill="auto"/>
            <w:noWrap/>
            <w:vAlign w:val="bottom"/>
            <w:hideMark/>
          </w:tcPr>
          <w:p w14:paraId="2E0D74C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w:t>
            </w:r>
          </w:p>
        </w:tc>
        <w:tc>
          <w:tcPr>
            <w:tcW w:w="379" w:type="pct"/>
            <w:tcBorders>
              <w:top w:val="single" w:sz="4" w:space="0" w:color="auto"/>
              <w:left w:val="nil"/>
              <w:bottom w:val="single" w:sz="4" w:space="0" w:color="auto"/>
              <w:right w:val="nil"/>
            </w:tcBorders>
            <w:shd w:val="clear" w:color="auto" w:fill="auto"/>
            <w:noWrap/>
            <w:vAlign w:val="bottom"/>
            <w:hideMark/>
          </w:tcPr>
          <w:p w14:paraId="554586C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22.54</w:t>
            </w:r>
          </w:p>
        </w:tc>
        <w:tc>
          <w:tcPr>
            <w:tcW w:w="378" w:type="pct"/>
            <w:tcBorders>
              <w:top w:val="single" w:sz="4" w:space="0" w:color="auto"/>
              <w:left w:val="nil"/>
              <w:bottom w:val="single" w:sz="4" w:space="0" w:color="auto"/>
              <w:right w:val="nil"/>
            </w:tcBorders>
            <w:shd w:val="clear" w:color="auto" w:fill="auto"/>
            <w:noWrap/>
            <w:vAlign w:val="bottom"/>
            <w:hideMark/>
          </w:tcPr>
          <w:p w14:paraId="675058A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74.8</w:t>
            </w:r>
          </w:p>
        </w:tc>
        <w:tc>
          <w:tcPr>
            <w:tcW w:w="381" w:type="pct"/>
            <w:tcBorders>
              <w:top w:val="single" w:sz="4" w:space="0" w:color="auto"/>
              <w:left w:val="nil"/>
              <w:bottom w:val="single" w:sz="4" w:space="0" w:color="auto"/>
              <w:right w:val="nil"/>
            </w:tcBorders>
            <w:shd w:val="clear" w:color="auto" w:fill="auto"/>
            <w:noWrap/>
            <w:vAlign w:val="bottom"/>
            <w:hideMark/>
          </w:tcPr>
          <w:p w14:paraId="10651E9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15.02</w:t>
            </w:r>
          </w:p>
        </w:tc>
        <w:tc>
          <w:tcPr>
            <w:tcW w:w="378" w:type="pct"/>
            <w:tcBorders>
              <w:top w:val="single" w:sz="4" w:space="0" w:color="auto"/>
              <w:left w:val="nil"/>
              <w:bottom w:val="single" w:sz="4" w:space="0" w:color="auto"/>
              <w:right w:val="nil"/>
            </w:tcBorders>
            <w:shd w:val="clear" w:color="auto" w:fill="auto"/>
            <w:noWrap/>
            <w:vAlign w:val="bottom"/>
            <w:hideMark/>
          </w:tcPr>
          <w:p w14:paraId="125425C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{"citationID":"a901er6ctd","properties":{"formattedCitation":"[174]","plainCitation":"[174]","noteIndex":0},"citationItems":[{"id":223,"uris":["http://zotero.org/users/12909065/items/L3Q2QAVP"],"itemData":{"id":223,"type":"article-journal","abstract":"Ternary organic solar cells (OSCs) have demonstrated great potential in promoting the power conversion efficiency (PCE) of single-junction OSCs. Generally, the introduction of a third component with redshifted absorption spectra can broaden the absorption spectra and thereby potentially enhances short-circuit current density (JSC), but reduces open circuit voltage (VOC). Herein, a small-molecule acceptor (SMA) named N7IT with a high LUMO energy level and a redshifted absorption spectrum, is employed as the third component in the PM6:IT-4F-based binary host. Unlike previous results, the introduction of N71T enhances both the VOC and the JSC relative to the PM6:IT-4F host binary system. The champion ternary device (PM6 : IT-4F : N7IT = 1 : 0.7 : 0.3) demonstrates an outstanding PCE of 15.02%, significantly higher than its binary counterparts. This strategy is further validated in PM6:Y6 blends, where the addition of SY3 featuring near-infrared absorption and high LUMO effectively boosts the PCE from 16.49% to 17.07%. Our result proves the effectiveness of an appropriate third component and demonstrates the potential of red-absorbing, high-LUMO SMAs in further promoting the efficiency of single-junction binary OSCs. © 2020 The Royal Society of Chemistry.","archive":"Scopus","container-title":"Energy and Environmental Science","DOI":"10.1039/d0ee00662a","ISSN":"1754-5692","issue":"7","language":"English","page":"2115-2123","source":"Scopus","title":"Concurrent improvement in: J SCand v OCin high-efficiency ternary organic solar cells enabled by a red-absorbing small-molecule acceptor with a high LUMO level","title-short":"Concurrent improvement in","volume":"13","author":[{"family":"Liu","given":"T."},{"family":"Ma","given":"R."},{"family":"Luo","given":"Z."},{"family":"Guo","given":"Y."},{"family":"Zhang","given":"G."},{"family":"Xiao","given":"Y."},{"family":"Yang","given":"T."},{"family":"Chen","given":"Y."},{"family":"Li","given":"G."},{"family":"Yi","given":"Y."},{"family":"Lu","given":"X."},{"family":"Yan","given":"H."},{"family":"Tang","given":"B."}],"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[174]</w:t>
            </w:r>
            <w:r w:rsidRPr="00B55044">
              <w:rPr>
                <w:rFonts w:eastAsia="Times New Roman"/>
                <w:color w:val="0000FF"/>
                <w:sz w:val="16"/>
                <w:szCs w:val="16"/>
              </w:rPr>
              <w:fldChar w:fldCharType="end"/>
            </w:r>
          </w:p>
        </w:tc>
      </w:tr>
      <w:tr w:rsidR="00D47774" w:rsidRPr="00B55044" w14:paraId="66D34FF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DE0BF1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306</w:t>
            </w:r>
          </w:p>
        </w:tc>
        <w:tc>
          <w:tcPr>
            <w:tcW w:w="1525" w:type="pct"/>
            <w:tcBorders>
              <w:top w:val="single" w:sz="4" w:space="0" w:color="auto"/>
              <w:left w:val="nil"/>
              <w:bottom w:val="single" w:sz="4" w:space="0" w:color="auto"/>
              <w:right w:val="nil"/>
            </w:tcBorders>
            <w:shd w:val="clear" w:color="auto" w:fill="auto"/>
            <w:noWrap/>
            <w:vAlign w:val="bottom"/>
            <w:hideMark/>
          </w:tcPr>
          <w:p w14:paraId="420F24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9F2727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PM6:ECTBD:Y6 (10%)</w:t>
            </w:r>
          </w:p>
        </w:tc>
        <w:tc>
          <w:tcPr>
            <w:tcW w:w="379" w:type="pct"/>
            <w:tcBorders>
              <w:top w:val="single" w:sz="4" w:space="0" w:color="auto"/>
              <w:left w:val="nil"/>
              <w:bottom w:val="single" w:sz="4" w:space="0" w:color="auto"/>
              <w:right w:val="nil"/>
            </w:tcBorders>
            <w:shd w:val="clear" w:color="auto" w:fill="auto"/>
            <w:noWrap/>
            <w:vAlign w:val="bottom"/>
            <w:hideMark/>
          </w:tcPr>
          <w:p w14:paraId="451E8DB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0.846</w:t>
            </w:r>
          </w:p>
        </w:tc>
        <w:tc>
          <w:tcPr>
            <w:tcW w:w="379" w:type="pct"/>
            <w:tcBorders>
              <w:top w:val="single" w:sz="4" w:space="0" w:color="auto"/>
              <w:left w:val="nil"/>
              <w:bottom w:val="single" w:sz="4" w:space="0" w:color="auto"/>
              <w:right w:val="nil"/>
            </w:tcBorders>
            <w:shd w:val="clear" w:color="auto" w:fill="auto"/>
            <w:noWrap/>
            <w:vAlign w:val="bottom"/>
            <w:hideMark/>
          </w:tcPr>
          <w:p w14:paraId="40302FD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25.01</w:t>
            </w:r>
          </w:p>
        </w:tc>
        <w:tc>
          <w:tcPr>
            <w:tcW w:w="378" w:type="pct"/>
            <w:tcBorders>
              <w:top w:val="single" w:sz="4" w:space="0" w:color="auto"/>
              <w:left w:val="nil"/>
              <w:bottom w:val="single" w:sz="4" w:space="0" w:color="auto"/>
              <w:right w:val="nil"/>
            </w:tcBorders>
            <w:shd w:val="clear" w:color="auto" w:fill="auto"/>
            <w:noWrap/>
            <w:vAlign w:val="bottom"/>
            <w:hideMark/>
          </w:tcPr>
          <w:p w14:paraId="13A88DC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w:t>
            </w:r>
          </w:p>
        </w:tc>
        <w:tc>
          <w:tcPr>
            <w:tcW w:w="381" w:type="pct"/>
            <w:tcBorders>
              <w:top w:val="single" w:sz="4" w:space="0" w:color="auto"/>
              <w:left w:val="nil"/>
              <w:bottom w:val="single" w:sz="4" w:space="0" w:color="auto"/>
              <w:right w:val="nil"/>
            </w:tcBorders>
            <w:shd w:val="clear" w:color="auto" w:fill="auto"/>
            <w:noWrap/>
            <w:vAlign w:val="bottom"/>
            <w:hideMark/>
          </w:tcPr>
          <w:p w14:paraId="445394A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15.86</w:t>
            </w:r>
          </w:p>
        </w:tc>
        <w:tc>
          <w:tcPr>
            <w:tcW w:w="378" w:type="pct"/>
            <w:tcBorders>
              <w:top w:val="single" w:sz="4" w:space="0" w:color="auto"/>
              <w:left w:val="nil"/>
              <w:bottom w:val="single" w:sz="4" w:space="0" w:color="auto"/>
              <w:right w:val="nil"/>
            </w:tcBorders>
            <w:shd w:val="clear" w:color="auto" w:fill="auto"/>
            <w:noWrap/>
            <w:vAlign w:val="bottom"/>
            <w:hideMark/>
          </w:tcPr>
          <w:p w14:paraId="557AE5E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{"citationID":"a1hgpannoi8","properties":{"formattedCitation":"[175]","plainCitation":"[175]","noteIndex":0},"citationItems":[{"id":222,"uris":["http://zotero.org/users/12909065/items/83XIVHYZ"],"itemData":{"id":222,"type":"article-journal","abstract":"Ternary organic solar cells (OSCs) have received extensive attention for improving the power conversion efficiency (PCE) of organic photovoltaics (OPVs). In this work, a novel donor material (ECTBD) consisting of benzodithiophene (BDT) central electron donor unit was developed and synthesized. The small molecular donor has the same central unit as PM6. The addition of ECTBD into PM6:Y6 system could improve the morphology of active blend layer. In addition, ECTBD showed good morphologically compatibility when blending with PM6:Y6 host, resulting in the improvement of fill factor and current density. As a result, the ternary devices based on PM6:ECTBD:Y6 ternary system achieved a highest PCE of 16.51% with fill factor of 76.24%, which was much higher than that of the binary devices (15.7%). Overall, this work provided an effective strategy to fabricate highly efficient ternary organic solar cells through design of the novel small molecular donor as the third component. © 2020, Science China Press and Springer-Verlag GmbH Germany, part of Springer Nature.","archive":"Scopus","container-title":"Science China Chemistry","DOI":"10.1007/s11426-020-9736-6","ISSN":"1674-7291","issue":"7","language":"English","page":"917-923","source":"Scopus","title":"High efficiency ternary organic solar cells enabled by compatible dual-donor strategy with planar conjugated structures","volume":"63","author":[{"family":"Chen","given":"S."},{"family":"Yan","given":"T."},{"family":"Fanady","given":"B."},{"family":"Song","given":"W."},{"family":"Ge","given":"J."},{"family":"Wei","given":"Q."},{"family":"Peng","given":"R."},{"family":"Chen","given":"G."},{"family":"Zou","given":"Y."},{"family":"Ge","given":"Z."}],"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[175]</w:t>
            </w:r>
            <w:r w:rsidRPr="00B55044">
              <w:rPr>
                <w:rFonts w:eastAsia="Times New Roman"/>
                <w:color w:val="0000FF"/>
                <w:sz w:val="16"/>
                <w:szCs w:val="16"/>
              </w:rPr>
              <w:fldChar w:fldCharType="end"/>
            </w:r>
          </w:p>
        </w:tc>
      </w:tr>
      <w:tr w:rsidR="00D47774" w:rsidRPr="00B55044" w14:paraId="0DA91A6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3B0CB7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307</w:t>
            </w:r>
          </w:p>
        </w:tc>
        <w:tc>
          <w:tcPr>
            <w:tcW w:w="1525" w:type="pct"/>
            <w:tcBorders>
              <w:top w:val="single" w:sz="4" w:space="0" w:color="auto"/>
              <w:left w:val="nil"/>
              <w:bottom w:val="single" w:sz="4" w:space="0" w:color="auto"/>
              <w:right w:val="nil"/>
            </w:tcBorders>
            <w:shd w:val="clear" w:color="auto" w:fill="auto"/>
            <w:noWrap/>
            <w:vAlign w:val="bottom"/>
            <w:hideMark/>
          </w:tcPr>
          <w:p w14:paraId="407B832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D635BF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PM6:ECTBD:Y6 (15%)</w:t>
            </w:r>
          </w:p>
        </w:tc>
        <w:tc>
          <w:tcPr>
            <w:tcW w:w="379" w:type="pct"/>
            <w:tcBorders>
              <w:top w:val="single" w:sz="4" w:space="0" w:color="auto"/>
              <w:left w:val="nil"/>
              <w:bottom w:val="single" w:sz="4" w:space="0" w:color="auto"/>
              <w:right w:val="nil"/>
            </w:tcBorders>
            <w:shd w:val="clear" w:color="auto" w:fill="auto"/>
            <w:noWrap/>
            <w:vAlign w:val="bottom"/>
            <w:hideMark/>
          </w:tcPr>
          <w:p w14:paraId="47CBE2A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0.848</w:t>
            </w:r>
          </w:p>
        </w:tc>
        <w:tc>
          <w:tcPr>
            <w:tcW w:w="379" w:type="pct"/>
            <w:tcBorders>
              <w:top w:val="single" w:sz="4" w:space="0" w:color="auto"/>
              <w:left w:val="nil"/>
              <w:bottom w:val="single" w:sz="4" w:space="0" w:color="auto"/>
              <w:right w:val="nil"/>
            </w:tcBorders>
            <w:shd w:val="clear" w:color="auto" w:fill="auto"/>
            <w:noWrap/>
            <w:vAlign w:val="bottom"/>
            <w:hideMark/>
          </w:tcPr>
          <w:p w14:paraId="73C3FFC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25.54</w:t>
            </w:r>
          </w:p>
        </w:tc>
        <w:tc>
          <w:tcPr>
            <w:tcW w:w="378" w:type="pct"/>
            <w:tcBorders>
              <w:top w:val="single" w:sz="4" w:space="0" w:color="auto"/>
              <w:left w:val="nil"/>
              <w:bottom w:val="single" w:sz="4" w:space="0" w:color="auto"/>
              <w:right w:val="nil"/>
            </w:tcBorders>
            <w:shd w:val="clear" w:color="auto" w:fill="auto"/>
            <w:noWrap/>
            <w:vAlign w:val="bottom"/>
            <w:hideMark/>
          </w:tcPr>
          <w:p w14:paraId="41387BF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76.24</w:t>
            </w:r>
          </w:p>
        </w:tc>
        <w:tc>
          <w:tcPr>
            <w:tcW w:w="381" w:type="pct"/>
            <w:tcBorders>
              <w:top w:val="single" w:sz="4" w:space="0" w:color="auto"/>
              <w:left w:val="nil"/>
              <w:bottom w:val="single" w:sz="4" w:space="0" w:color="auto"/>
              <w:right w:val="nil"/>
            </w:tcBorders>
            <w:shd w:val="clear" w:color="auto" w:fill="auto"/>
            <w:noWrap/>
            <w:vAlign w:val="bottom"/>
            <w:hideMark/>
          </w:tcPr>
          <w:p w14:paraId="2EF78FC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16.51</w:t>
            </w:r>
          </w:p>
        </w:tc>
        <w:tc>
          <w:tcPr>
            <w:tcW w:w="378" w:type="pct"/>
            <w:tcBorders>
              <w:top w:val="single" w:sz="4" w:space="0" w:color="auto"/>
              <w:left w:val="nil"/>
              <w:bottom w:val="single" w:sz="4" w:space="0" w:color="auto"/>
              <w:right w:val="nil"/>
            </w:tcBorders>
            <w:shd w:val="clear" w:color="auto" w:fill="auto"/>
            <w:noWrap/>
            <w:vAlign w:val="bottom"/>
            <w:hideMark/>
          </w:tcPr>
          <w:p w14:paraId="6A53030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{"citationID":"asl7flagpq","properties":{"formattedCitation":"[175]","plainCitation":"[175]","noteIndex":0},"citationItems":[{"id":222,"uris":["http://zotero.org/users/12909065/items/83XIVHYZ"],"itemData":{"id":222,"type":"article-journal","abstract":"Ternary organic solar cells (OSCs) have received extensive attention for improving the power conversion efficiency (PCE) of organic photovoltaics (OPVs). In this work, a novel donor material (ECTBD) consisting of benzodithiophene (BDT) central electron donor unit was developed and synthesized. The small molecular donor has the same central unit as PM6. The addition of ECTBD into PM6:Y6 system could improve the morphology of active blend layer. In addition, ECTBD showed good morphologically compatibility when blending with PM6:Y6 host, resulting in the improvement of fill factor and current density. As a result, the ternary devices based on PM6:ECTBD:Y6 ternary system achieved a highest PCE of 16.51% with fill factor of 76.24%, which was much higher than that of the binary devices (15.7%). Overall, this work provided an effective strategy to fabricate highly efficient ternary organic solar cells through design of the novel small molecular donor as the third component. © 2020, Science China Press and Springer-Verlag GmbH Germany, part of Springer Nature.","archive":"Scopus","container-title":"Science China Chemistry","DOI":"10.1007/s11426-020-9736-6","ISSN":"1674-7291","issue":"7","language":"English","page":"917-923","source":"Scopus","title":"High efficiency ternary organic solar cells enabled by compatible dual-donor strategy with planar conjugated structures","volume":"63","author":[{"family":"Chen","given":"S."},{"family":"Yan","given":"T."},{"family":"Fanady","given":"B."},{"family":"Song","given":"W."},{"family":"Ge","given":"J."},{"family":"Wei","given":"Q."},{"family":"Peng","given":"R."},{"family":"Chen","given":"G."},{"family":"Zou","given":"Y."},{"family":"Ge","given":"Z."}],"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[175]</w:t>
            </w:r>
            <w:r w:rsidRPr="00B55044">
              <w:rPr>
                <w:rFonts w:eastAsia="Times New Roman"/>
                <w:color w:val="0000FF"/>
                <w:sz w:val="16"/>
                <w:szCs w:val="16"/>
              </w:rPr>
              <w:fldChar w:fldCharType="end"/>
            </w:r>
          </w:p>
        </w:tc>
      </w:tr>
      <w:tr w:rsidR="00D47774" w:rsidRPr="00B55044" w14:paraId="2C5F9DF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B66FE5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308</w:t>
            </w:r>
          </w:p>
        </w:tc>
        <w:tc>
          <w:tcPr>
            <w:tcW w:w="1525" w:type="pct"/>
            <w:tcBorders>
              <w:top w:val="single" w:sz="4" w:space="0" w:color="auto"/>
              <w:left w:val="nil"/>
              <w:bottom w:val="single" w:sz="4" w:space="0" w:color="auto"/>
              <w:right w:val="nil"/>
            </w:tcBorders>
            <w:shd w:val="clear" w:color="auto" w:fill="auto"/>
            <w:noWrap/>
            <w:vAlign w:val="bottom"/>
            <w:hideMark/>
          </w:tcPr>
          <w:p w14:paraId="293750E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4A2781D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PM6:ECTBD:Y6 (20%)</w:t>
            </w:r>
          </w:p>
        </w:tc>
        <w:tc>
          <w:tcPr>
            <w:tcW w:w="379" w:type="pct"/>
            <w:tcBorders>
              <w:top w:val="single" w:sz="4" w:space="0" w:color="auto"/>
              <w:left w:val="nil"/>
              <w:bottom w:val="single" w:sz="4" w:space="0" w:color="auto"/>
              <w:right w:val="nil"/>
            </w:tcBorders>
            <w:shd w:val="clear" w:color="auto" w:fill="auto"/>
            <w:noWrap/>
            <w:vAlign w:val="bottom"/>
            <w:hideMark/>
          </w:tcPr>
          <w:p w14:paraId="68ACD95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0.847</w:t>
            </w:r>
          </w:p>
        </w:tc>
        <w:tc>
          <w:tcPr>
            <w:tcW w:w="379" w:type="pct"/>
            <w:tcBorders>
              <w:top w:val="single" w:sz="4" w:space="0" w:color="auto"/>
              <w:left w:val="nil"/>
              <w:bottom w:val="single" w:sz="4" w:space="0" w:color="auto"/>
              <w:right w:val="nil"/>
            </w:tcBorders>
            <w:shd w:val="clear" w:color="auto" w:fill="auto"/>
            <w:noWrap/>
            <w:vAlign w:val="bottom"/>
            <w:hideMark/>
          </w:tcPr>
          <w:p w14:paraId="4A1BB0D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24.78</w:t>
            </w:r>
          </w:p>
        </w:tc>
        <w:tc>
          <w:tcPr>
            <w:tcW w:w="378" w:type="pct"/>
            <w:tcBorders>
              <w:top w:val="single" w:sz="4" w:space="0" w:color="auto"/>
              <w:left w:val="nil"/>
              <w:bottom w:val="single" w:sz="4" w:space="0" w:color="auto"/>
              <w:right w:val="nil"/>
            </w:tcBorders>
            <w:shd w:val="clear" w:color="auto" w:fill="auto"/>
            <w:noWrap/>
            <w:vAlign w:val="bottom"/>
            <w:hideMark/>
          </w:tcPr>
          <w:p w14:paraId="235BB25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75.42</w:t>
            </w:r>
          </w:p>
        </w:tc>
        <w:tc>
          <w:tcPr>
            <w:tcW w:w="381" w:type="pct"/>
            <w:tcBorders>
              <w:top w:val="single" w:sz="4" w:space="0" w:color="auto"/>
              <w:left w:val="nil"/>
              <w:bottom w:val="single" w:sz="4" w:space="0" w:color="auto"/>
              <w:right w:val="nil"/>
            </w:tcBorders>
            <w:shd w:val="clear" w:color="auto" w:fill="auto"/>
            <w:noWrap/>
            <w:vAlign w:val="bottom"/>
            <w:hideMark/>
          </w:tcPr>
          <w:p w14:paraId="0FD6BBE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15.83</w:t>
            </w:r>
          </w:p>
        </w:tc>
        <w:tc>
          <w:tcPr>
            <w:tcW w:w="378" w:type="pct"/>
            <w:tcBorders>
              <w:top w:val="single" w:sz="4" w:space="0" w:color="auto"/>
              <w:left w:val="nil"/>
              <w:bottom w:val="single" w:sz="4" w:space="0" w:color="auto"/>
              <w:right w:val="nil"/>
            </w:tcBorders>
            <w:shd w:val="clear" w:color="auto" w:fill="auto"/>
            <w:noWrap/>
            <w:vAlign w:val="bottom"/>
            <w:hideMark/>
          </w:tcPr>
          <w:p w14:paraId="3BF475F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{"citationID":"a1kbjeiub5j","properties":{"formattedCitation":"[175]","plainCitation":"[175]","noteIndex":0},"citationItems":[{"id":222,"uris":["http://zotero.org/users/12909065/items/83XIVHYZ"],"itemData":{"id":222,"type":"article-journal","abstract":"Ternary organic solar cells (OSCs) have received extensive attention for improving the power conversion efficiency (PCE) of organic photovoltaics (OPVs). In this work, a novel donor material (ECTBD) consisting of benzodithiophene (BDT) central electron donor unit was developed and synthesized. The small molecular donor has the same central unit as PM6. The addition of ECTBD into PM6:Y6 system could improve the morphology of active blend layer. In addition, ECTBD showed good morphologically compatibility when blending with PM6:Y6 host, resulting in the improvement of fill factor and current density. As a result, the ternary devices based on PM6:ECTBD:Y6 ternary system achieved a highest PCE of 16.51% with fill factor of 76.24%, which was much higher than that of the binary devices (15.7%). Overall, this work provided an effective strategy to fabricate highly efficient ternary organic solar cells through design of the novel small molecular donor as the third component. © 2020, Science China Press and Springer-Verlag GmbH Germany, part of Springer Nature.","archive":"Scopus","container-title":"Science China Chemistry","DOI":"10.1007/s11426-020-9736-6","ISSN":"1674-7291","issue":"7","language":"English","page":"917-923","source":"Scopus","title":"High efficiency ternary organic solar cells enabled by compatible dual-donor strategy with planar conjugated structures","volume":"63","author":[{"family":"Chen","given":"S."},{"family":"Yan","given":"T."},{"family":"Fanady","given":"B."},{"family":"Song","given":"W."},{"family":"Ge","given":"J."},{"family":"Wei","given":"Q."},{"family":"Peng","given":"R."},{"family":"Chen","given":"G."},{"family":"Zou","given":"Y."},{"family":"Ge","given":"Z."}],"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[175]</w:t>
            </w:r>
            <w:r w:rsidRPr="00B55044">
              <w:rPr>
                <w:rFonts w:eastAsia="Times New Roman"/>
                <w:color w:val="0000FF"/>
                <w:sz w:val="16"/>
                <w:szCs w:val="16"/>
              </w:rPr>
              <w:fldChar w:fldCharType="end"/>
            </w:r>
          </w:p>
        </w:tc>
      </w:tr>
      <w:tr w:rsidR="00D47774" w:rsidRPr="00B55044" w14:paraId="049580D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B3CD16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309</w:t>
            </w:r>
          </w:p>
        </w:tc>
        <w:tc>
          <w:tcPr>
            <w:tcW w:w="1525" w:type="pct"/>
            <w:tcBorders>
              <w:top w:val="single" w:sz="4" w:space="0" w:color="auto"/>
              <w:left w:val="nil"/>
              <w:bottom w:val="single" w:sz="4" w:space="0" w:color="auto"/>
              <w:right w:val="nil"/>
            </w:tcBorders>
            <w:shd w:val="clear" w:color="auto" w:fill="auto"/>
            <w:noWrap/>
            <w:vAlign w:val="bottom"/>
            <w:hideMark/>
          </w:tcPr>
          <w:p w14:paraId="1739EB6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2408B4D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PM6:ECTBD:Y6 (40%)</w:t>
            </w:r>
          </w:p>
        </w:tc>
        <w:tc>
          <w:tcPr>
            <w:tcW w:w="379" w:type="pct"/>
            <w:tcBorders>
              <w:top w:val="single" w:sz="4" w:space="0" w:color="auto"/>
              <w:left w:val="nil"/>
              <w:bottom w:val="single" w:sz="4" w:space="0" w:color="auto"/>
              <w:right w:val="nil"/>
            </w:tcBorders>
            <w:shd w:val="clear" w:color="auto" w:fill="auto"/>
            <w:noWrap/>
            <w:vAlign w:val="bottom"/>
            <w:hideMark/>
          </w:tcPr>
          <w:p w14:paraId="7D0EA7E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0.845</w:t>
            </w:r>
          </w:p>
        </w:tc>
        <w:tc>
          <w:tcPr>
            <w:tcW w:w="379" w:type="pct"/>
            <w:tcBorders>
              <w:top w:val="single" w:sz="4" w:space="0" w:color="auto"/>
              <w:left w:val="nil"/>
              <w:bottom w:val="single" w:sz="4" w:space="0" w:color="auto"/>
              <w:right w:val="nil"/>
            </w:tcBorders>
            <w:shd w:val="clear" w:color="auto" w:fill="auto"/>
            <w:noWrap/>
            <w:vAlign w:val="bottom"/>
            <w:hideMark/>
          </w:tcPr>
          <w:p w14:paraId="364CE05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22.27</w:t>
            </w:r>
          </w:p>
        </w:tc>
        <w:tc>
          <w:tcPr>
            <w:tcW w:w="378" w:type="pct"/>
            <w:tcBorders>
              <w:top w:val="single" w:sz="4" w:space="0" w:color="auto"/>
              <w:left w:val="nil"/>
              <w:bottom w:val="single" w:sz="4" w:space="0" w:color="auto"/>
              <w:right w:val="nil"/>
            </w:tcBorders>
            <w:shd w:val="clear" w:color="auto" w:fill="auto"/>
            <w:noWrap/>
            <w:vAlign w:val="bottom"/>
            <w:hideMark/>
          </w:tcPr>
          <w:p w14:paraId="3E46B70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59.02</w:t>
            </w:r>
          </w:p>
        </w:tc>
        <w:tc>
          <w:tcPr>
            <w:tcW w:w="381" w:type="pct"/>
            <w:tcBorders>
              <w:top w:val="single" w:sz="4" w:space="0" w:color="auto"/>
              <w:left w:val="nil"/>
              <w:bottom w:val="single" w:sz="4" w:space="0" w:color="auto"/>
              <w:right w:val="nil"/>
            </w:tcBorders>
            <w:shd w:val="clear" w:color="auto" w:fill="auto"/>
            <w:noWrap/>
            <w:vAlign w:val="bottom"/>
            <w:hideMark/>
          </w:tcPr>
          <w:p w14:paraId="39E8707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11.11</w:t>
            </w:r>
          </w:p>
        </w:tc>
        <w:tc>
          <w:tcPr>
            <w:tcW w:w="378" w:type="pct"/>
            <w:tcBorders>
              <w:top w:val="single" w:sz="4" w:space="0" w:color="auto"/>
              <w:left w:val="nil"/>
              <w:bottom w:val="single" w:sz="4" w:space="0" w:color="auto"/>
              <w:right w:val="nil"/>
            </w:tcBorders>
            <w:shd w:val="clear" w:color="auto" w:fill="auto"/>
            <w:noWrap/>
            <w:vAlign w:val="bottom"/>
            <w:hideMark/>
          </w:tcPr>
          <w:p w14:paraId="252E844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{"citationID":"a28q3as1lpd","properties":{"formattedCitation":"[175]","plainCitation":"[175]","noteIndex":0},"citationItems":[{"id":222,"uris":["http://zotero.org/users/12909065/items/83XIVHYZ"],"itemData":{"id":222,"type":"article-journal","abstract":"Ternary organic solar cells (OSCs) have received extensive attention for improving the power conversion efficiency (PCE) of organic photovoltaics (OPVs). In this work, a novel donor material (ECTBD) consisting of benzodithiophene (BDT) central electron donor unit was developed and synthesized. The small molecular donor has the same central unit as PM6. The addition of ECTBD into PM6:Y6 system could improve the morphology of active blend layer. In addition, ECTBD showed good morphologically compatibility when blending with PM6:Y6 host, resulting in the improvement of fill factor and current density. As a result, the ternary devices based on PM6:ECTBD:Y6 ternary system achieved a highest PCE of 16.51% with fill factor of 76.24%, which was much higher than that of the binary devices (15.7%). Overall, this work provided an effective strategy to fabricate highly efficient ternary organic solar cells through design of the novel small molecular donor as the third component. © 2020, Science China Press and Springer-Verlag GmbH Germany, part of Springer Nature.","archive":"Scopus","container-title":"Science China Chemistry","DOI":"10.1007/s11426-020-9736-6","ISSN":"1674-7291","issue":"7","language":"English","page":"917-923","source":"Scopus","title":"High efficiency ternary organic solar cells enabled by compatible dual-donor strategy with planar conjugated structures","volume":"63","author":[{"family":"Chen","given":"S."},{"family":"Yan","given":"T."},{"family":"Fanady","given":"B."},{"family":"Song","given":"W."},{"family":"Ge","given":"J."},{"family":"Wei","given":"Q."},{"family":"Peng","given":"R."},{"family":"Chen","given":"G."},{"family":"Zou","given":"Y."},{"family":"Ge","given":"Z."}],"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[175]</w:t>
            </w:r>
            <w:r w:rsidRPr="00B55044">
              <w:rPr>
                <w:rFonts w:eastAsia="Times New Roman"/>
                <w:color w:val="0000FF"/>
                <w:sz w:val="16"/>
                <w:szCs w:val="16"/>
              </w:rPr>
              <w:fldChar w:fldCharType="end"/>
            </w:r>
          </w:p>
        </w:tc>
      </w:tr>
      <w:tr w:rsidR="00D47774" w:rsidRPr="00B55044" w14:paraId="469C757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67CAB4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310</w:t>
            </w:r>
          </w:p>
        </w:tc>
        <w:tc>
          <w:tcPr>
            <w:tcW w:w="1525" w:type="pct"/>
            <w:tcBorders>
              <w:top w:val="single" w:sz="4" w:space="0" w:color="auto"/>
              <w:left w:val="nil"/>
              <w:bottom w:val="single" w:sz="4" w:space="0" w:color="auto"/>
              <w:right w:val="nil"/>
            </w:tcBorders>
            <w:shd w:val="clear" w:color="auto" w:fill="auto"/>
            <w:noWrap/>
            <w:vAlign w:val="bottom"/>
            <w:hideMark/>
          </w:tcPr>
          <w:p w14:paraId="27C356E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0BE89CE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PM6:ECTBD:Y6 (80%)</w:t>
            </w:r>
          </w:p>
        </w:tc>
        <w:tc>
          <w:tcPr>
            <w:tcW w:w="379" w:type="pct"/>
            <w:tcBorders>
              <w:top w:val="single" w:sz="4" w:space="0" w:color="auto"/>
              <w:left w:val="nil"/>
              <w:bottom w:val="single" w:sz="4" w:space="0" w:color="auto"/>
              <w:right w:val="nil"/>
            </w:tcBorders>
            <w:shd w:val="clear" w:color="auto" w:fill="auto"/>
            <w:noWrap/>
            <w:vAlign w:val="bottom"/>
            <w:hideMark/>
          </w:tcPr>
          <w:p w14:paraId="75D909D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225C2D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21.17</w:t>
            </w:r>
          </w:p>
        </w:tc>
        <w:tc>
          <w:tcPr>
            <w:tcW w:w="378" w:type="pct"/>
            <w:tcBorders>
              <w:top w:val="single" w:sz="4" w:space="0" w:color="auto"/>
              <w:left w:val="nil"/>
              <w:bottom w:val="single" w:sz="4" w:space="0" w:color="auto"/>
              <w:right w:val="nil"/>
            </w:tcBorders>
            <w:shd w:val="clear" w:color="auto" w:fill="auto"/>
            <w:noWrap/>
            <w:vAlign w:val="bottom"/>
            <w:hideMark/>
          </w:tcPr>
          <w:p w14:paraId="455D20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52.23</w:t>
            </w:r>
          </w:p>
        </w:tc>
        <w:tc>
          <w:tcPr>
            <w:tcW w:w="381" w:type="pct"/>
            <w:tcBorders>
              <w:top w:val="single" w:sz="4" w:space="0" w:color="auto"/>
              <w:left w:val="nil"/>
              <w:bottom w:val="single" w:sz="4" w:space="0" w:color="auto"/>
              <w:right w:val="nil"/>
            </w:tcBorders>
            <w:shd w:val="clear" w:color="auto" w:fill="auto"/>
            <w:noWrap/>
            <w:vAlign w:val="bottom"/>
            <w:hideMark/>
          </w:tcPr>
          <w:p w14:paraId="20B47CF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9.29</w:t>
            </w:r>
          </w:p>
        </w:tc>
        <w:tc>
          <w:tcPr>
            <w:tcW w:w="378" w:type="pct"/>
            <w:tcBorders>
              <w:top w:val="single" w:sz="4" w:space="0" w:color="auto"/>
              <w:left w:val="nil"/>
              <w:bottom w:val="single" w:sz="4" w:space="0" w:color="auto"/>
              <w:right w:val="nil"/>
            </w:tcBorders>
            <w:shd w:val="clear" w:color="auto" w:fill="auto"/>
            <w:noWrap/>
            <w:vAlign w:val="bottom"/>
            <w:hideMark/>
          </w:tcPr>
          <w:p w14:paraId="472A8E2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{"citationID":"a1q1hp6sgtp","properties":{"formattedCitation":"[175]","plainCitation":"[175]","noteIndex":0},"citationItems":[{"id":222,"uris":["http://zotero.org/users/12909065/items/83XIVHYZ"],"itemData":{"id":222,"type":"article-journal","abstract":"Ternary organic solar cells (OSCs) have received extensive attention for improving the power conversion efficiency (PCE) of organic photovoltaics (OPVs). In this work, a novel donor material (ECTBD) consisting of benzodithiophene (BDT) central electron donor unit was developed and synthesized. The small molecular donor has the same central unit as PM6. The addition of ECTBD into PM6:Y6 system could improve the morphology of active blend layer. In addition, ECTBD showed good morphologically compatibility when blending with PM6:Y6 host, resulting in the improvement of fill factor and current density. As a result, the ternary devices based on PM6:ECTBD:Y6 ternary system achieved a highest PCE of 16.51% with fill factor of 76.24%, which was much higher than that of the binary devices (15.7%). Overall, this work provided an effective strategy to fabricate highly efficient ternary organic solar cells through design of the novel small molecular donor as the third component. © 2020, Science China Press and Springer-Verlag GmbH Germany, part of Springer Nature.","archive":"Scopus","container-title":"Science China Chemistry","DOI":"10.1007/s11426-020-9736-6","ISSN":"1674-7291","issue":"7","language":"English","page":"917-923","source":"Scopus","title":"High efficiency ternary organic solar cells enabled by compatible dual-donor strategy with planar conjugated structures","volume":"63","author":[{"family":"Chen","given":"S."},{"family":"Yan","given":"T."},{"family":"Fanady","given":"B."},{"family":"Song","given":"W."},{"family":"Ge","given":"J."},{"family":"Wei","given":"Q."},{"family":"Peng","given":"R."},{"family":"Chen","given":"G."},{"family":"Zou","given":"Y."},{"family":"Ge","given":"Z."}],"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[175]</w:t>
            </w:r>
            <w:r w:rsidRPr="00B55044">
              <w:rPr>
                <w:rFonts w:eastAsia="Times New Roman"/>
                <w:color w:val="0000FF"/>
                <w:sz w:val="16"/>
                <w:szCs w:val="16"/>
              </w:rPr>
              <w:fldChar w:fldCharType="end"/>
            </w:r>
          </w:p>
        </w:tc>
      </w:tr>
      <w:tr w:rsidR="00D47774" w:rsidRPr="00B55044" w14:paraId="04EE823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B5417E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311</w:t>
            </w:r>
          </w:p>
        </w:tc>
        <w:tc>
          <w:tcPr>
            <w:tcW w:w="1525" w:type="pct"/>
            <w:tcBorders>
              <w:top w:val="single" w:sz="4" w:space="0" w:color="auto"/>
              <w:left w:val="nil"/>
              <w:bottom w:val="single" w:sz="4" w:space="0" w:color="auto"/>
              <w:right w:val="nil"/>
            </w:tcBorders>
            <w:shd w:val="clear" w:color="auto" w:fill="auto"/>
            <w:noWrap/>
            <w:vAlign w:val="bottom"/>
            <w:hideMark/>
          </w:tcPr>
          <w:p w14:paraId="6425A41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13145EB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PM6:BTP-4Cl:ICBA</w:t>
            </w:r>
          </w:p>
        </w:tc>
        <w:tc>
          <w:tcPr>
            <w:tcW w:w="379" w:type="pct"/>
            <w:tcBorders>
              <w:top w:val="single" w:sz="4" w:space="0" w:color="auto"/>
              <w:left w:val="nil"/>
              <w:bottom w:val="single" w:sz="4" w:space="0" w:color="auto"/>
              <w:right w:val="nil"/>
            </w:tcBorders>
            <w:shd w:val="clear" w:color="auto" w:fill="auto"/>
            <w:noWrap/>
            <w:vAlign w:val="bottom"/>
            <w:hideMark/>
          </w:tcPr>
          <w:p w14:paraId="0F828F5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0.874</w:t>
            </w:r>
          </w:p>
        </w:tc>
        <w:tc>
          <w:tcPr>
            <w:tcW w:w="379" w:type="pct"/>
            <w:tcBorders>
              <w:top w:val="single" w:sz="4" w:space="0" w:color="auto"/>
              <w:left w:val="nil"/>
              <w:bottom w:val="single" w:sz="4" w:space="0" w:color="auto"/>
              <w:right w:val="nil"/>
            </w:tcBorders>
            <w:shd w:val="clear" w:color="auto" w:fill="auto"/>
            <w:noWrap/>
            <w:vAlign w:val="bottom"/>
            <w:hideMark/>
          </w:tcPr>
          <w:p w14:paraId="1EC0BB1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25.55</w:t>
            </w:r>
          </w:p>
        </w:tc>
        <w:tc>
          <w:tcPr>
            <w:tcW w:w="378" w:type="pct"/>
            <w:tcBorders>
              <w:top w:val="single" w:sz="4" w:space="0" w:color="auto"/>
              <w:left w:val="nil"/>
              <w:bottom w:val="single" w:sz="4" w:space="0" w:color="auto"/>
              <w:right w:val="nil"/>
            </w:tcBorders>
            <w:shd w:val="clear" w:color="auto" w:fill="auto"/>
            <w:noWrap/>
            <w:vAlign w:val="bottom"/>
            <w:hideMark/>
          </w:tcPr>
          <w:p w14:paraId="62D54E3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72.69</w:t>
            </w:r>
          </w:p>
        </w:tc>
        <w:tc>
          <w:tcPr>
            <w:tcW w:w="381" w:type="pct"/>
            <w:tcBorders>
              <w:top w:val="single" w:sz="4" w:space="0" w:color="auto"/>
              <w:left w:val="nil"/>
              <w:bottom w:val="single" w:sz="4" w:space="0" w:color="auto"/>
              <w:right w:val="nil"/>
            </w:tcBorders>
            <w:shd w:val="clear" w:color="auto" w:fill="auto"/>
            <w:noWrap/>
            <w:vAlign w:val="bottom"/>
            <w:hideMark/>
          </w:tcPr>
          <w:p w14:paraId="2C25B7E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16.23</w:t>
            </w:r>
          </w:p>
        </w:tc>
        <w:tc>
          <w:tcPr>
            <w:tcW w:w="378" w:type="pct"/>
            <w:tcBorders>
              <w:top w:val="single" w:sz="4" w:space="0" w:color="auto"/>
              <w:left w:val="nil"/>
              <w:bottom w:val="single" w:sz="4" w:space="0" w:color="auto"/>
              <w:right w:val="nil"/>
            </w:tcBorders>
            <w:shd w:val="clear" w:color="auto" w:fill="auto"/>
            <w:noWrap/>
            <w:vAlign w:val="bottom"/>
            <w:hideMark/>
          </w:tcPr>
          <w:p w14:paraId="3E0C9CF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{"citationID":"apofsvc786","properties":{"formattedCitation":"[176]","plainCitation":"[176]","noteIndex":0},"citationItems":[{"id":220,"uris":["http://zotero.org/users/12909065/items/6DVCQUPM"],"itemData":{"id":220,"type":"article-journal","abstract":"A ternary bulk-heterojunction (BHJ) strategy that synergistically combines the merits of fullerene and nonfullerene acceptors has been regarded as a promising approach to enhance the power conversion efficiencies (PCEs) of organic solar cells (OSCs). Herein, the fullerene derivative ICBA as the morphology regulator is incorporated into a nonfullerene-based PBDB-T-2F:BTP-4Cl (PM6:BTP-4Cl) system to fabricate the high-performance ternary OSCs. The amorphous ICBA prefers to homogeneously distribute in the BTP-4Cl phase to form the well-mixed acceptor domains due to their better miscibility, which distinctly reduces the exciton decay loss driven by the unfavorable phase separation and enhances BHJ morphology stability of ternary blends. The appropriate addition of ICBA induces the efficient long-range Förster resonance energy transfer to BTP-4Cl and facilitates the ultrafast hole transfer process from BTP-4Cl to PM6, thereby contributing to charge carrier generation in the actual devices. Ultimately, the optimal ternary OSCs not only yield an average PCE higher than 16.5% but also show the superior ultraviolet photostability relative to binary control devices due to the increased harvesting of ultraviolet photons, boosted charge transfer, more balanced charge transport, and more stable nanostructural morphology. The results provide new insights to enable the simultaneously improved device performance and ultraviolet durability in state-of-the-art ternary OSCs.","container-title":"Solar RRL","DOI":"10.1002/solr.202000165","ISSN":"2367-198X","issue":"7","language":"en","note":"_eprint: https://onlinelibrary.wiley.com/doi/pdf/10.1002/solr.202000165","page":"2000165","source":"Wiley Online Library","title":"High-Performance Ternary Organic Solar Cells with Morphology-Modulated Hole Transfer and Improved Ultraviolet Photostability","volume":"4","author":[{"family":"Zhang","given":"Kang-Ning"},{"family":"Jiang","given":"Zhi-Nan"},{"family":"Wang","given":"Tong"},{"family":"Niu","given":"Meng-Si"},{"family":"Feng","given":"Lin"},{"family":"Qin","given":"Chao-Chao"},{"family":"So","given":"Shu-Kong"},{"family":"Hao","given":"Xiao-Tao"}],"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[176]</w:t>
            </w:r>
            <w:r w:rsidRPr="00B55044">
              <w:rPr>
                <w:rFonts w:eastAsia="Times New Roman"/>
                <w:color w:val="0000FF"/>
                <w:sz w:val="16"/>
                <w:szCs w:val="16"/>
              </w:rPr>
              <w:fldChar w:fldCharType="end"/>
            </w:r>
          </w:p>
        </w:tc>
      </w:tr>
      <w:tr w:rsidR="00D47774" w:rsidRPr="00B55044" w14:paraId="052E544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D06C46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312</w:t>
            </w:r>
          </w:p>
        </w:tc>
        <w:tc>
          <w:tcPr>
            <w:tcW w:w="1525" w:type="pct"/>
            <w:tcBorders>
              <w:top w:val="single" w:sz="4" w:space="0" w:color="auto"/>
              <w:left w:val="nil"/>
              <w:bottom w:val="single" w:sz="4" w:space="0" w:color="auto"/>
              <w:right w:val="nil"/>
            </w:tcBorders>
            <w:shd w:val="clear" w:color="auto" w:fill="auto"/>
            <w:noWrap/>
            <w:vAlign w:val="bottom"/>
            <w:hideMark/>
          </w:tcPr>
          <w:p w14:paraId="17A8D13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426F479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PM6:BTP-4Cl:ICBA</w:t>
            </w:r>
          </w:p>
        </w:tc>
        <w:tc>
          <w:tcPr>
            <w:tcW w:w="379" w:type="pct"/>
            <w:tcBorders>
              <w:top w:val="single" w:sz="4" w:space="0" w:color="auto"/>
              <w:left w:val="nil"/>
              <w:bottom w:val="single" w:sz="4" w:space="0" w:color="auto"/>
              <w:right w:val="nil"/>
            </w:tcBorders>
            <w:shd w:val="clear" w:color="auto" w:fill="auto"/>
            <w:noWrap/>
            <w:vAlign w:val="bottom"/>
            <w:hideMark/>
          </w:tcPr>
          <w:p w14:paraId="4219EAB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0.876</w:t>
            </w:r>
          </w:p>
        </w:tc>
        <w:tc>
          <w:tcPr>
            <w:tcW w:w="379" w:type="pct"/>
            <w:tcBorders>
              <w:top w:val="single" w:sz="4" w:space="0" w:color="auto"/>
              <w:left w:val="nil"/>
              <w:bottom w:val="single" w:sz="4" w:space="0" w:color="auto"/>
              <w:right w:val="nil"/>
            </w:tcBorders>
            <w:shd w:val="clear" w:color="auto" w:fill="auto"/>
            <w:noWrap/>
            <w:vAlign w:val="bottom"/>
            <w:hideMark/>
          </w:tcPr>
          <w:p w14:paraId="774EEC5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26.13</w:t>
            </w:r>
          </w:p>
        </w:tc>
        <w:tc>
          <w:tcPr>
            <w:tcW w:w="378" w:type="pct"/>
            <w:tcBorders>
              <w:top w:val="single" w:sz="4" w:space="0" w:color="auto"/>
              <w:left w:val="nil"/>
              <w:bottom w:val="single" w:sz="4" w:space="0" w:color="auto"/>
              <w:right w:val="nil"/>
            </w:tcBorders>
            <w:shd w:val="clear" w:color="auto" w:fill="auto"/>
            <w:noWrap/>
            <w:vAlign w:val="bottom"/>
            <w:hideMark/>
          </w:tcPr>
          <w:p w14:paraId="29CD885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73.23</w:t>
            </w:r>
          </w:p>
        </w:tc>
        <w:tc>
          <w:tcPr>
            <w:tcW w:w="381" w:type="pct"/>
            <w:tcBorders>
              <w:top w:val="single" w:sz="4" w:space="0" w:color="auto"/>
              <w:left w:val="nil"/>
              <w:bottom w:val="single" w:sz="4" w:space="0" w:color="auto"/>
              <w:right w:val="nil"/>
            </w:tcBorders>
            <w:shd w:val="clear" w:color="auto" w:fill="auto"/>
            <w:noWrap/>
            <w:vAlign w:val="bottom"/>
            <w:hideMark/>
          </w:tcPr>
          <w:p w14:paraId="4CF551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16.76</w:t>
            </w:r>
          </w:p>
        </w:tc>
        <w:tc>
          <w:tcPr>
            <w:tcW w:w="378" w:type="pct"/>
            <w:tcBorders>
              <w:top w:val="single" w:sz="4" w:space="0" w:color="auto"/>
              <w:left w:val="nil"/>
              <w:bottom w:val="single" w:sz="4" w:space="0" w:color="auto"/>
              <w:right w:val="nil"/>
            </w:tcBorders>
            <w:shd w:val="clear" w:color="auto" w:fill="auto"/>
            <w:noWrap/>
            <w:vAlign w:val="bottom"/>
            <w:hideMark/>
          </w:tcPr>
          <w:p w14:paraId="7A5760E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{"citationID":"a257bt9kds1","properties":{"formattedCitation":"[176]","plainCitation":"[176]","noteIndex":0},"citationItems":[{"id":220,"uris":["http://zotero.org/users/12909065/items/6DVCQUPM"],"itemData":{"id":220,"type":"article-journal","abstract":"A ternary bulk-heterojunction (BHJ) strategy that synergistically combines the merits of fullerene and nonfullerene acceptors has been regarded as a promising approach to enhance the power conversion efficiencies (PCEs) of organic solar cells (OSCs). Herein, the fullerene derivative ICBA as the morphology regulator is incorporated into a nonfullerene-based PBDB-T-2F:BTP-4Cl (PM6:BTP-4Cl) system to fabricate the high-performance ternary OSCs. The amorphous ICBA prefers to homogeneously distribute in the BTP-4Cl phase to form the well-mixed acceptor domains due to their better miscibility, which distinctly reduces the exciton decay loss driven by the unfavorable phase separation and enhances BHJ morphology stability of ternary blends. The appropriate addition of ICBA induces the efficient long-range Förster resonance energy transfer to BTP-4Cl and facilitates the ultrafast hole transfer process from BTP-4Cl to PM6, thereby contributing to charge carrier generation in the actual devices. Ultimately, the optimal ternary OSCs not only yield an average PCE higher than 16.5% but also show the superior ultraviolet photostability relative to binary control devices due to the increased harvesting of ultraviolet photons, boosted charge transfer, more balanced charge transport, and more stable nanostructural morphology. The results provide new insights to enable the simultaneously improved device performance and ultraviolet durability in state-of-the-art ternary OSCs.","container-title":"Solar RRL","DOI":"10.1002/solr.202000165","ISSN":"2367-198X","issue":"7","language":"en","note":"_eprint: https://onlinelibrary.wiley.com/doi/pdf/10.1002/solr.202000165","page":"2000165","source":"Wiley Online Library","title":"High-Performance Ternary Organic Solar Cells with Morphology-Modulated Hole Transfer and Improved Ultraviolet Photostability","volume":"4","author":[{"family":"Zhang","given":"Kang-Ning"},{"family":"Jiang","given":"Zhi-Nan"},{"family":"Wang","given":"Tong"},{"family":"Niu","given":"Meng-Si"},{"family":"Feng","given":"Lin"},{"family":"Qin","given":"Chao-Chao"},{"family":"So","given":"Shu-Kong"},{"family":"Hao","given":"Xiao-Tao"}],"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[176]</w:t>
            </w:r>
            <w:r w:rsidRPr="00B55044">
              <w:rPr>
                <w:rFonts w:eastAsia="Times New Roman"/>
                <w:color w:val="0000FF"/>
                <w:sz w:val="16"/>
                <w:szCs w:val="16"/>
              </w:rPr>
              <w:fldChar w:fldCharType="end"/>
            </w:r>
          </w:p>
        </w:tc>
      </w:tr>
      <w:tr w:rsidR="00D47774" w:rsidRPr="00B55044" w14:paraId="0E01FE5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D638B6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313</w:t>
            </w:r>
          </w:p>
        </w:tc>
        <w:tc>
          <w:tcPr>
            <w:tcW w:w="1525" w:type="pct"/>
            <w:tcBorders>
              <w:top w:val="single" w:sz="4" w:space="0" w:color="auto"/>
              <w:left w:val="nil"/>
              <w:bottom w:val="single" w:sz="4" w:space="0" w:color="auto"/>
              <w:right w:val="nil"/>
            </w:tcBorders>
            <w:shd w:val="clear" w:color="auto" w:fill="auto"/>
            <w:noWrap/>
            <w:vAlign w:val="bottom"/>
            <w:hideMark/>
          </w:tcPr>
          <w:p w14:paraId="4EE7819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2263B79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PM6:BTP-4Cl:ICBA</w:t>
            </w:r>
          </w:p>
        </w:tc>
        <w:tc>
          <w:tcPr>
            <w:tcW w:w="379" w:type="pct"/>
            <w:tcBorders>
              <w:top w:val="single" w:sz="4" w:space="0" w:color="auto"/>
              <w:left w:val="nil"/>
              <w:bottom w:val="single" w:sz="4" w:space="0" w:color="auto"/>
              <w:right w:val="nil"/>
            </w:tcBorders>
            <w:shd w:val="clear" w:color="auto" w:fill="auto"/>
            <w:noWrap/>
            <w:vAlign w:val="bottom"/>
            <w:hideMark/>
          </w:tcPr>
          <w:p w14:paraId="668773C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0.874</w:t>
            </w:r>
          </w:p>
        </w:tc>
        <w:tc>
          <w:tcPr>
            <w:tcW w:w="379" w:type="pct"/>
            <w:tcBorders>
              <w:top w:val="single" w:sz="4" w:space="0" w:color="auto"/>
              <w:left w:val="nil"/>
              <w:bottom w:val="single" w:sz="4" w:space="0" w:color="auto"/>
              <w:right w:val="nil"/>
            </w:tcBorders>
            <w:shd w:val="clear" w:color="auto" w:fill="auto"/>
            <w:noWrap/>
            <w:vAlign w:val="bottom"/>
            <w:hideMark/>
          </w:tcPr>
          <w:p w14:paraId="757245A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25.79</w:t>
            </w:r>
          </w:p>
        </w:tc>
        <w:tc>
          <w:tcPr>
            <w:tcW w:w="378" w:type="pct"/>
            <w:tcBorders>
              <w:top w:val="single" w:sz="4" w:space="0" w:color="auto"/>
              <w:left w:val="nil"/>
              <w:bottom w:val="single" w:sz="4" w:space="0" w:color="auto"/>
              <w:right w:val="nil"/>
            </w:tcBorders>
            <w:shd w:val="clear" w:color="auto" w:fill="auto"/>
            <w:noWrap/>
            <w:vAlign w:val="bottom"/>
            <w:hideMark/>
          </w:tcPr>
          <w:p w14:paraId="3BE8059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70.02</w:t>
            </w:r>
          </w:p>
        </w:tc>
        <w:tc>
          <w:tcPr>
            <w:tcW w:w="381" w:type="pct"/>
            <w:tcBorders>
              <w:top w:val="single" w:sz="4" w:space="0" w:color="auto"/>
              <w:left w:val="nil"/>
              <w:bottom w:val="single" w:sz="4" w:space="0" w:color="auto"/>
              <w:right w:val="nil"/>
            </w:tcBorders>
            <w:shd w:val="clear" w:color="auto" w:fill="auto"/>
            <w:noWrap/>
            <w:vAlign w:val="bottom"/>
            <w:hideMark/>
          </w:tcPr>
          <w:p w14:paraId="4F2C5D5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15.78</w:t>
            </w:r>
          </w:p>
        </w:tc>
        <w:tc>
          <w:tcPr>
            <w:tcW w:w="378" w:type="pct"/>
            <w:tcBorders>
              <w:top w:val="single" w:sz="4" w:space="0" w:color="auto"/>
              <w:left w:val="nil"/>
              <w:bottom w:val="single" w:sz="4" w:space="0" w:color="auto"/>
              <w:right w:val="nil"/>
            </w:tcBorders>
            <w:shd w:val="clear" w:color="auto" w:fill="auto"/>
            <w:noWrap/>
            <w:vAlign w:val="bottom"/>
            <w:hideMark/>
          </w:tcPr>
          <w:p w14:paraId="7405650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{"citationID":"a1onakjb915","properties":{"formattedCitation":"[176]","plainCitation":"[176]","noteIndex":0},"citationItems":[{"id":220,"uris":["http://zotero.org/users/12909065/items/6DVCQUPM"],"itemData":{"id":220,"type":"article-journal","abstract":"A ternary bulk-heterojunction (BHJ) strategy that synergistically combines the merits of fullerene and nonfullerene acceptors has been regarded as a promising approach to enhance the power conversion efficiencies (PCEs) of organic solar cells (OSCs). Herein, the fullerene derivative ICBA as the morphology regulator is incorporated into a nonfullerene-based PBDB-T-2F:BTP-4Cl (PM6:BTP-4Cl) system to fabricate the high-performance ternary OSCs. The amorphous ICBA prefers to homogeneously distribute in the BTP-4Cl phase to form the well-mixed acceptor domains due to their better miscibility, which distinctly reduces the exciton decay loss driven by the unfavorable phase separation and enhances BHJ morphology stability of ternary blends. The appropriate addition of ICBA induces the efficient long-range Förster resonance energy transfer to BTP-4Cl and facilitates the ultrafast hole transfer process from BTP-4Cl to PM6, thereby contributing to charge carrier generation in the actual devices. Ultimately, the optimal ternary OSCs not only yield an average PCE higher than 16.5% but also show the superior ultraviolet photostability relative to binary control devices due to the increased harvesting of ultraviolet photons, boosted charge transfer, more balanced charge transport, and more stable nanostructural morphology. The results provide new insights to enable the simultaneously improved device performance and ultraviolet durability in state-of-the-art ternary OSCs.","container-title":"Solar RRL","DOI":"10.1002/solr.202000165","ISSN":"2367-198X","issue":"7","language":"en","note":"_eprint: https://onlinelibrary.wiley.com/doi/pdf/10.1002/solr.202000165","page":"2000165","source":"Wiley Online Library","title":"High-Performance Ternary Organic Solar Cells with Morphology-Modulated Hole Transfer and Improved Ultraviolet Photostability","volume":"4","author":[{"family":"Zhang","given":"Kang-Ning"},{"family":"Jiang","given":"Zhi-Nan"},{"family":"Wang","given":"Tong"},{"family":"Niu","given":"Meng-Si"},{"family":"Feng","given":"Lin"},{"family":"Qin","given":"Chao-Chao"},{"family":"So","given":"Shu-Kong"},{"family":"Hao","given":"Xiao-Tao"}],"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[176]</w:t>
            </w:r>
            <w:r w:rsidRPr="00B55044">
              <w:rPr>
                <w:rFonts w:eastAsia="Times New Roman"/>
                <w:color w:val="0000FF"/>
                <w:sz w:val="16"/>
                <w:szCs w:val="16"/>
              </w:rPr>
              <w:fldChar w:fldCharType="end"/>
            </w:r>
          </w:p>
        </w:tc>
      </w:tr>
      <w:tr w:rsidR="00D47774" w:rsidRPr="00B55044" w14:paraId="6190AA6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D86EAA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314</w:t>
            </w:r>
          </w:p>
        </w:tc>
        <w:tc>
          <w:tcPr>
            <w:tcW w:w="1525" w:type="pct"/>
            <w:tcBorders>
              <w:top w:val="single" w:sz="4" w:space="0" w:color="auto"/>
              <w:left w:val="nil"/>
              <w:bottom w:val="single" w:sz="4" w:space="0" w:color="auto"/>
              <w:right w:val="nil"/>
            </w:tcBorders>
            <w:shd w:val="clear" w:color="auto" w:fill="auto"/>
            <w:noWrap/>
            <w:vAlign w:val="bottom"/>
            <w:hideMark/>
          </w:tcPr>
          <w:p w14:paraId="3BE4F87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5A1CA10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PM6:BTP-4Cl:ICBA</w:t>
            </w:r>
          </w:p>
        </w:tc>
        <w:tc>
          <w:tcPr>
            <w:tcW w:w="379" w:type="pct"/>
            <w:tcBorders>
              <w:top w:val="single" w:sz="4" w:space="0" w:color="auto"/>
              <w:left w:val="nil"/>
              <w:bottom w:val="single" w:sz="4" w:space="0" w:color="auto"/>
              <w:right w:val="nil"/>
            </w:tcBorders>
            <w:shd w:val="clear" w:color="auto" w:fill="auto"/>
            <w:noWrap/>
            <w:vAlign w:val="bottom"/>
            <w:hideMark/>
          </w:tcPr>
          <w:p w14:paraId="175990E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0.876</w:t>
            </w:r>
          </w:p>
        </w:tc>
        <w:tc>
          <w:tcPr>
            <w:tcW w:w="379" w:type="pct"/>
            <w:tcBorders>
              <w:top w:val="single" w:sz="4" w:space="0" w:color="auto"/>
              <w:left w:val="nil"/>
              <w:bottom w:val="single" w:sz="4" w:space="0" w:color="auto"/>
              <w:right w:val="nil"/>
            </w:tcBorders>
            <w:shd w:val="clear" w:color="auto" w:fill="auto"/>
            <w:noWrap/>
            <w:vAlign w:val="bottom"/>
            <w:hideMark/>
          </w:tcPr>
          <w:p w14:paraId="6219038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25.38</w:t>
            </w:r>
          </w:p>
        </w:tc>
        <w:tc>
          <w:tcPr>
            <w:tcW w:w="378" w:type="pct"/>
            <w:tcBorders>
              <w:top w:val="single" w:sz="4" w:space="0" w:color="auto"/>
              <w:left w:val="nil"/>
              <w:bottom w:val="single" w:sz="4" w:space="0" w:color="auto"/>
              <w:right w:val="nil"/>
            </w:tcBorders>
            <w:shd w:val="clear" w:color="auto" w:fill="auto"/>
            <w:noWrap/>
            <w:vAlign w:val="bottom"/>
            <w:hideMark/>
          </w:tcPr>
          <w:p w14:paraId="74AA07F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68.5</w:t>
            </w:r>
          </w:p>
        </w:tc>
        <w:tc>
          <w:tcPr>
            <w:tcW w:w="381" w:type="pct"/>
            <w:tcBorders>
              <w:top w:val="single" w:sz="4" w:space="0" w:color="auto"/>
              <w:left w:val="nil"/>
              <w:bottom w:val="single" w:sz="4" w:space="0" w:color="auto"/>
              <w:right w:val="nil"/>
            </w:tcBorders>
            <w:shd w:val="clear" w:color="auto" w:fill="auto"/>
            <w:noWrap/>
            <w:vAlign w:val="bottom"/>
            <w:hideMark/>
          </w:tcPr>
          <w:p w14:paraId="39FFB2F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15.23</w:t>
            </w:r>
          </w:p>
        </w:tc>
        <w:tc>
          <w:tcPr>
            <w:tcW w:w="378" w:type="pct"/>
            <w:tcBorders>
              <w:top w:val="single" w:sz="4" w:space="0" w:color="auto"/>
              <w:left w:val="nil"/>
              <w:bottom w:val="single" w:sz="4" w:space="0" w:color="auto"/>
              <w:right w:val="nil"/>
            </w:tcBorders>
            <w:shd w:val="clear" w:color="auto" w:fill="auto"/>
            <w:noWrap/>
            <w:vAlign w:val="bottom"/>
            <w:hideMark/>
          </w:tcPr>
          <w:p w14:paraId="2180B44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{"citationID":"avajedqlma","properties":{"formattedCitation":"[176]","plainCitation":"[176]","noteIndex":0},"citationItems":[{"id":220,"uris":["http://zotero.org/users/12909065/items/6DVCQUPM"],"itemData":{"id":220,"type":"article-journal","abstract":"A ternary bulk-heterojunction (BHJ) strategy that synergistically combines the merits of fullerene and nonfullerene acceptors has been regarded as a promising approach to enhance the power conversion efficiencies (PCEs) of organic solar cells (OSCs). Herein, the fullerene derivative ICBA as the morphology regulator is incorporated into a nonfullerene-based PBDB-T-2F:BTP-4Cl (PM6:BTP-4Cl) system to fabricate the high-performance ternary OSCs. The amorphous ICBA prefers to homogeneously distribute in the BTP-4Cl phase to form the well-mixed acceptor domains due to their better miscibility, which distinctly reduces the exciton decay loss driven by the unfavorable phase separation and enhances BHJ morphology stability of ternary blends. The appropriate addition of ICBA induces the efficient long-range Förster resonance energy transfer to BTP-4Cl and facilitates the ultrafast hole transfer process from BTP-4Cl to PM6, thereby contributing to charge carrier generation in the actual devices. Ultimately, the optimal ternary OSCs not only yield an average PCE higher than 16.5% but also show the superior ultraviolet photostability relative to binary control devices due to the increased harvesting of ultraviolet photons, boosted charge transfer, more balanced charge transport, and more stable nanostructural morphology. The results provide new insights to enable the simultaneously improved device performance and ultraviolet durability in state-of-the-art ternary OSCs.","container-title":"Solar RRL","DOI":"10.1002/solr.202000165","ISSN":"2367-198X","issue":"7","language":"en","note":"_eprint: https://onlinelibrary.wiley.com/doi/pdf/10.1002/solr.202000165","page":"2000165","source":"Wiley Online Library","title":"High-Performance Ternary Organic Solar Cells with Morphology-Modulated Hole Transfer and Improved Ultraviolet Photostability","volume":"4","author":[{"family":"Zhang","given":"Kang-Ning"},{"family":"Jiang","given":"Zhi-Nan"},{"family":"Wang","given":"Tong"},{"family":"Niu","given":"Meng-Si"},{"family":"Feng","given":"Lin"},{"family":"Qin","given":"Chao-Chao"},{"family":"So","given":"Shu-Kong"},{"family":"Hao","given":"Xiao-Tao"}],"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[176]</w:t>
            </w:r>
            <w:r w:rsidRPr="00B55044">
              <w:rPr>
                <w:rFonts w:eastAsia="Times New Roman"/>
                <w:color w:val="0000FF"/>
                <w:sz w:val="16"/>
                <w:szCs w:val="16"/>
              </w:rPr>
              <w:fldChar w:fldCharType="end"/>
            </w:r>
          </w:p>
        </w:tc>
      </w:tr>
      <w:tr w:rsidR="00D47774" w:rsidRPr="00B55044" w14:paraId="5B25703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5E654D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315</w:t>
            </w:r>
          </w:p>
        </w:tc>
        <w:tc>
          <w:tcPr>
            <w:tcW w:w="1525" w:type="pct"/>
            <w:tcBorders>
              <w:top w:val="single" w:sz="4" w:space="0" w:color="auto"/>
              <w:left w:val="nil"/>
              <w:bottom w:val="single" w:sz="4" w:space="0" w:color="auto"/>
              <w:right w:val="nil"/>
            </w:tcBorders>
            <w:shd w:val="clear" w:color="auto" w:fill="auto"/>
            <w:noWrap/>
            <w:vAlign w:val="bottom"/>
            <w:hideMark/>
          </w:tcPr>
          <w:p w14:paraId="705175A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001B4E5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PM6:BTP-4Cl:ICBA</w:t>
            </w:r>
          </w:p>
        </w:tc>
        <w:tc>
          <w:tcPr>
            <w:tcW w:w="379" w:type="pct"/>
            <w:tcBorders>
              <w:top w:val="single" w:sz="4" w:space="0" w:color="auto"/>
              <w:left w:val="nil"/>
              <w:bottom w:val="single" w:sz="4" w:space="0" w:color="auto"/>
              <w:right w:val="nil"/>
            </w:tcBorders>
            <w:shd w:val="clear" w:color="auto" w:fill="auto"/>
            <w:noWrap/>
            <w:vAlign w:val="bottom"/>
            <w:hideMark/>
          </w:tcPr>
          <w:p w14:paraId="3298AB1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0.864</w:t>
            </w:r>
          </w:p>
        </w:tc>
        <w:tc>
          <w:tcPr>
            <w:tcW w:w="379" w:type="pct"/>
            <w:tcBorders>
              <w:top w:val="single" w:sz="4" w:space="0" w:color="auto"/>
              <w:left w:val="nil"/>
              <w:bottom w:val="single" w:sz="4" w:space="0" w:color="auto"/>
              <w:right w:val="nil"/>
            </w:tcBorders>
            <w:shd w:val="clear" w:color="auto" w:fill="auto"/>
            <w:noWrap/>
            <w:vAlign w:val="bottom"/>
            <w:hideMark/>
          </w:tcPr>
          <w:p w14:paraId="25E811C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25.05</w:t>
            </w:r>
          </w:p>
        </w:tc>
        <w:tc>
          <w:tcPr>
            <w:tcW w:w="378" w:type="pct"/>
            <w:tcBorders>
              <w:top w:val="single" w:sz="4" w:space="0" w:color="auto"/>
              <w:left w:val="nil"/>
              <w:bottom w:val="single" w:sz="4" w:space="0" w:color="auto"/>
              <w:right w:val="nil"/>
            </w:tcBorders>
            <w:shd w:val="clear" w:color="auto" w:fill="auto"/>
            <w:noWrap/>
            <w:vAlign w:val="bottom"/>
            <w:hideMark/>
          </w:tcPr>
          <w:p w14:paraId="52FFF78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67.2</w:t>
            </w:r>
          </w:p>
        </w:tc>
        <w:tc>
          <w:tcPr>
            <w:tcW w:w="381" w:type="pct"/>
            <w:tcBorders>
              <w:top w:val="single" w:sz="4" w:space="0" w:color="auto"/>
              <w:left w:val="nil"/>
              <w:bottom w:val="single" w:sz="4" w:space="0" w:color="auto"/>
              <w:right w:val="nil"/>
            </w:tcBorders>
            <w:shd w:val="clear" w:color="auto" w:fill="auto"/>
            <w:noWrap/>
            <w:vAlign w:val="bottom"/>
            <w:hideMark/>
          </w:tcPr>
          <w:p w14:paraId="40C710B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14.54</w:t>
            </w:r>
          </w:p>
        </w:tc>
        <w:tc>
          <w:tcPr>
            <w:tcW w:w="378" w:type="pct"/>
            <w:tcBorders>
              <w:top w:val="single" w:sz="4" w:space="0" w:color="auto"/>
              <w:left w:val="nil"/>
              <w:bottom w:val="single" w:sz="4" w:space="0" w:color="auto"/>
              <w:right w:val="nil"/>
            </w:tcBorders>
            <w:shd w:val="clear" w:color="auto" w:fill="auto"/>
            <w:noWrap/>
            <w:vAlign w:val="bottom"/>
            <w:hideMark/>
          </w:tcPr>
          <w:p w14:paraId="2FDA0CA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{"citationID":"arbu1d6nvn","properties":{"formattedCitation":"[176]","plainCitation":"[176]","noteIndex":0},"citationItems":[{"id":220,"uris":["http://zotero.org/users/12909065/items/6DVCQUPM"],"itemData":{"id":220,"type":"article-journal","abstract":"A ternary bulk-heterojunction (BHJ) strategy that synergistically combines the merits of fullerene and nonfullerene acceptors has been regarded as a promising approach to enhance the power conversion efficiencies (PCEs) of organic solar cells (OSCs). Herein, the fullerene derivative ICBA as the morphology regulator is incorporated into a nonfullerene-based PBDB-T-2F:BTP-4Cl (PM6:BTP-4Cl) system to fabricate the high-performance ternary OSCs. The amorphous ICBA prefers to homogeneously distribute in the BTP-4Cl phase to form the well-mixed acceptor domains due to their better miscibility, which distinctly reduces the exciton decay loss driven by the unfavorable phase separation and enhances BHJ morphology stability of ternary blends. The appropriate addition of ICBA induces the efficient long-range Förster resonance energy transfer to BTP-4Cl and facilitates the ultrafast hole transfer process from BTP-4Cl to PM6, thereby contributing to charge carrier generation in the actual devices. Ultimately, the optimal ternary OSCs not only yield an average PCE higher than 16.5% but also show the superior ultraviolet photostability relative to binary control devices due to the increased harvesting of ultraviolet photons, boosted charge transfer, more balanced charge transport, and more stable nanostructural morphology. The results provide new insights to enable the simultaneously improved device performance and ultraviolet durability in state-of-the-art ternary OSCs.","container-title":"Solar RRL","DOI":"10.1002/solr.202000165","ISSN":"2367-198X","issue":"7","language":"en","note":"_eprint: https://onlinelibrary.wiley.com/doi/pdf/10.1002/solr.202000165","page":"2000165","source":"Wiley Online Library","title":"High-Performance Ternary Organic Solar Cells with Morphology-Modulated Hole Transfer and Improved Ultraviolet Photostability","volume":"4","author":[{"family":"Zhang","given":"Kang-Ning"},{"family":"Jiang","given":"Zhi-Nan"},{"family":"Wang","given":"Tong"},{"family":"Niu","given":"Meng-Si"},{"family":"Feng","given":"Lin"},{"family":"Qin","given":"Chao-Chao"},{"family":"So","given":"Shu-Kong"},{"family":"Hao","given":"Xiao-Tao"}],"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[176]</w:t>
            </w:r>
            <w:r w:rsidRPr="00B55044">
              <w:rPr>
                <w:rFonts w:eastAsia="Times New Roman"/>
                <w:color w:val="0000FF"/>
                <w:sz w:val="16"/>
                <w:szCs w:val="16"/>
              </w:rPr>
              <w:fldChar w:fldCharType="end"/>
            </w:r>
          </w:p>
        </w:tc>
      </w:tr>
      <w:tr w:rsidR="00D47774" w:rsidRPr="00B55044" w14:paraId="2451C1D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64FA5C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316</w:t>
            </w:r>
          </w:p>
        </w:tc>
        <w:tc>
          <w:tcPr>
            <w:tcW w:w="1525" w:type="pct"/>
            <w:tcBorders>
              <w:top w:val="single" w:sz="4" w:space="0" w:color="auto"/>
              <w:left w:val="nil"/>
              <w:bottom w:val="single" w:sz="4" w:space="0" w:color="auto"/>
              <w:right w:val="nil"/>
            </w:tcBorders>
            <w:shd w:val="clear" w:color="auto" w:fill="auto"/>
            <w:noWrap/>
            <w:vAlign w:val="bottom"/>
            <w:hideMark/>
          </w:tcPr>
          <w:p w14:paraId="7896D5E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4D98AAE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PM6:BTCT-2Cl:IT-4F</w:t>
            </w:r>
          </w:p>
        </w:tc>
        <w:tc>
          <w:tcPr>
            <w:tcW w:w="379" w:type="pct"/>
            <w:tcBorders>
              <w:top w:val="single" w:sz="4" w:space="0" w:color="auto"/>
              <w:left w:val="nil"/>
              <w:bottom w:val="single" w:sz="4" w:space="0" w:color="auto"/>
              <w:right w:val="nil"/>
            </w:tcBorders>
            <w:shd w:val="clear" w:color="auto" w:fill="auto"/>
            <w:noWrap/>
            <w:vAlign w:val="bottom"/>
            <w:hideMark/>
          </w:tcPr>
          <w:p w14:paraId="74E12B5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0.872</w:t>
            </w:r>
          </w:p>
        </w:tc>
        <w:tc>
          <w:tcPr>
            <w:tcW w:w="379" w:type="pct"/>
            <w:tcBorders>
              <w:top w:val="single" w:sz="4" w:space="0" w:color="auto"/>
              <w:left w:val="nil"/>
              <w:bottom w:val="single" w:sz="4" w:space="0" w:color="auto"/>
              <w:right w:val="nil"/>
            </w:tcBorders>
            <w:shd w:val="clear" w:color="auto" w:fill="auto"/>
            <w:noWrap/>
            <w:vAlign w:val="bottom"/>
            <w:hideMark/>
          </w:tcPr>
          <w:p w14:paraId="7D49B1F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w:t>
            </w:r>
          </w:p>
        </w:tc>
        <w:tc>
          <w:tcPr>
            <w:tcW w:w="378" w:type="pct"/>
            <w:tcBorders>
              <w:top w:val="single" w:sz="4" w:space="0" w:color="auto"/>
              <w:left w:val="nil"/>
              <w:bottom w:val="single" w:sz="4" w:space="0" w:color="auto"/>
              <w:right w:val="nil"/>
            </w:tcBorders>
            <w:shd w:val="clear" w:color="auto" w:fill="auto"/>
            <w:noWrap/>
            <w:vAlign w:val="bottom"/>
            <w:hideMark/>
          </w:tcPr>
          <w:p w14:paraId="0F3DB55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73.6</w:t>
            </w:r>
          </w:p>
        </w:tc>
        <w:tc>
          <w:tcPr>
            <w:tcW w:w="381" w:type="pct"/>
            <w:tcBorders>
              <w:top w:val="single" w:sz="4" w:space="0" w:color="auto"/>
              <w:left w:val="nil"/>
              <w:bottom w:val="single" w:sz="4" w:space="0" w:color="auto"/>
              <w:right w:val="nil"/>
            </w:tcBorders>
            <w:shd w:val="clear" w:color="auto" w:fill="auto"/>
            <w:noWrap/>
            <w:vAlign w:val="bottom"/>
            <w:hideMark/>
          </w:tcPr>
          <w:p w14:paraId="4D6285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15.4</w:t>
            </w:r>
          </w:p>
        </w:tc>
        <w:tc>
          <w:tcPr>
            <w:tcW w:w="378" w:type="pct"/>
            <w:tcBorders>
              <w:top w:val="single" w:sz="4" w:space="0" w:color="auto"/>
              <w:left w:val="nil"/>
              <w:bottom w:val="single" w:sz="4" w:space="0" w:color="auto"/>
              <w:right w:val="nil"/>
            </w:tcBorders>
            <w:shd w:val="clear" w:color="auto" w:fill="auto"/>
            <w:noWrap/>
            <w:vAlign w:val="bottom"/>
            <w:hideMark/>
          </w:tcPr>
          <w:p w14:paraId="579FB0E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{"citationID":"a1dcl9sv5ip","properties":{"formattedCitation":"[177]","plainCitation":"[177]","noteIndex":0},"citationItems":[{"id":219,"uris":["http://zotero.org/users/12909065/items/9HWZC8M2"],"itemData":{"id":219,"type":"article-journal","abstract":"Sub-picosecond hole transfer has been recently observed in several narrow band gap nonfullerene small-molecule acceptor (NFA)-based binary blended organic solar cell (OSC) systems operating with negligible energetic driving forces. As the driving forces are near zero, how the added acceptor/donor guests tune the barrier-free hole-transfer dynamics of these systems remains very unclear. In this study, we report a new NFA (BTCT-2Cl) that conducts a sub-picosecond hole transfer (2 ps) for efficient photocurrent generation when pairing with PM6 though the energetic offset is only 0.02 eV. We observe that the added nonfullerene and PCBM components differently tune the charge generation and recombination when selectively exciting BTCT-2Cl. After adding PC71BM, the hole transfer from the host BTCT-2Cl to the host donor is greatly accelerated, with the rate significantly reduced to 0.29 ps and the charge generation becomes more efficient; on the contrary, recombination is prolonged and a larger fill factor is obtained after adding an NFA guest, here, IT-4F. The different tuning on the host binary hole-transfer dynamics is likely related with the phase crystallinity and the domain size changed after adding different acceptor guests. Over 16% efficiency is obtained on the PC71BM-based ternary device that outperforms the host binary and the IT-4F-based ternary solar cells (both showing over 15% efficiencies). The results clearly demonstrate that adding PCBM or NFA guests enables a very effective and different tuning on the hole-transfer rates and the recombination rates between the barrier-free host binary components, hence leading to efficient tuning on the short-circuit current density and fill factor, which outlines new strategies toward designing high-efficiency ternary blended OSC systems. © 2020 American Chemical Society.","archive":"Scopus","container-title":"Chemistry of Materials","DOI":"10.1021/acs.chemmater.0c01245","ISSN":"0897-4756","issue":"12","language":"English","page":"5182-5191","source":"Scopus","title":"Roles of Acceptor Guests in Tuning the Organic Solar Cell Property Based on an Efficient Binary Material System with a Nearly Zero Hole-Transfer Driving Force","volume":"32","author":[{"family":"Li","given":"X."},{"family":"Li","given":"X."},{"family":"Pan","given":"M.-A."},{"family":"Pan","given":"M.-A."},{"family":"Lau","given":"T.-K."},{"family":"Liu","given":"W."},{"family":"Li","given":"K."},{"family":"Yao","given":"N."},{"family":"Shen","given":"F."},{"family":"Huo","given":"S."},{"family":"Zhang","given":"F."},{"family":"Wu","given":"Y."},{"family":"Li","given":"X."},{"family":"Lu","given":"X."},{"family":"Yan","given":"H."},{"family":"Zhan","given":"C."}],"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[177]</w:t>
            </w:r>
            <w:r w:rsidRPr="00B55044">
              <w:rPr>
                <w:rFonts w:eastAsia="Times New Roman"/>
                <w:color w:val="0000FF"/>
                <w:sz w:val="16"/>
                <w:szCs w:val="16"/>
              </w:rPr>
              <w:fldChar w:fldCharType="end"/>
            </w:r>
          </w:p>
        </w:tc>
      </w:tr>
      <w:tr w:rsidR="00D47774" w:rsidRPr="00B55044" w14:paraId="2CF68A0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F872D7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317</w:t>
            </w:r>
          </w:p>
        </w:tc>
        <w:tc>
          <w:tcPr>
            <w:tcW w:w="1525" w:type="pct"/>
            <w:tcBorders>
              <w:top w:val="single" w:sz="4" w:space="0" w:color="auto"/>
              <w:left w:val="nil"/>
              <w:bottom w:val="single" w:sz="4" w:space="0" w:color="auto"/>
              <w:right w:val="nil"/>
            </w:tcBorders>
            <w:shd w:val="clear" w:color="auto" w:fill="auto"/>
            <w:noWrap/>
            <w:vAlign w:val="bottom"/>
            <w:hideMark/>
          </w:tcPr>
          <w:p w14:paraId="2FE8744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03C1318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PM6:BTCT-2Cl:PC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259656F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0.881</w:t>
            </w:r>
          </w:p>
        </w:tc>
        <w:tc>
          <w:tcPr>
            <w:tcW w:w="379" w:type="pct"/>
            <w:tcBorders>
              <w:top w:val="single" w:sz="4" w:space="0" w:color="auto"/>
              <w:left w:val="nil"/>
              <w:bottom w:val="single" w:sz="4" w:space="0" w:color="auto"/>
              <w:right w:val="nil"/>
            </w:tcBorders>
            <w:shd w:val="clear" w:color="auto" w:fill="auto"/>
            <w:noWrap/>
            <w:vAlign w:val="bottom"/>
            <w:hideMark/>
          </w:tcPr>
          <w:p w14:paraId="139442A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25.1</w:t>
            </w:r>
          </w:p>
        </w:tc>
        <w:tc>
          <w:tcPr>
            <w:tcW w:w="378" w:type="pct"/>
            <w:tcBorders>
              <w:top w:val="single" w:sz="4" w:space="0" w:color="auto"/>
              <w:left w:val="nil"/>
              <w:bottom w:val="single" w:sz="4" w:space="0" w:color="auto"/>
              <w:right w:val="nil"/>
            </w:tcBorders>
            <w:shd w:val="clear" w:color="auto" w:fill="auto"/>
            <w:noWrap/>
            <w:vAlign w:val="bottom"/>
            <w:hideMark/>
          </w:tcPr>
          <w:p w14:paraId="39CD446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72.6</w:t>
            </w:r>
          </w:p>
        </w:tc>
        <w:tc>
          <w:tcPr>
            <w:tcW w:w="381" w:type="pct"/>
            <w:tcBorders>
              <w:top w:val="single" w:sz="4" w:space="0" w:color="auto"/>
              <w:left w:val="nil"/>
              <w:bottom w:val="single" w:sz="4" w:space="0" w:color="auto"/>
              <w:right w:val="nil"/>
            </w:tcBorders>
            <w:shd w:val="clear" w:color="auto" w:fill="auto"/>
            <w:noWrap/>
            <w:vAlign w:val="bottom"/>
            <w:hideMark/>
          </w:tcPr>
          <w:p w14:paraId="12C6E1F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16.1</w:t>
            </w:r>
          </w:p>
        </w:tc>
        <w:tc>
          <w:tcPr>
            <w:tcW w:w="378" w:type="pct"/>
            <w:tcBorders>
              <w:top w:val="single" w:sz="4" w:space="0" w:color="auto"/>
              <w:left w:val="nil"/>
              <w:bottom w:val="single" w:sz="4" w:space="0" w:color="auto"/>
              <w:right w:val="nil"/>
            </w:tcBorders>
            <w:shd w:val="clear" w:color="auto" w:fill="auto"/>
            <w:noWrap/>
            <w:vAlign w:val="bottom"/>
            <w:hideMark/>
          </w:tcPr>
          <w:p w14:paraId="72D693F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{"citationID":"a1danp7e4h1","properties":{"formattedCitation":"[177]","plainCitation":"[177]","noteIndex":0},"citationItems":[{"id":219,"uris":["http://zotero.org/users/12909065/items/9HWZC8M2"],"itemData":{"id":219,"type":"article-journal","abstract":"Sub-picosecond hole transfer has been recently observed in several narrow band gap nonfullerene small-molecule acceptor (NFA)-based binary blended organic solar cell (OSC) systems operating with negligible energetic driving forces. As the driving forces are near zero, how the added acceptor/donor guests tune the barrier-free hole-transfer dynamics of these systems remains very unclear. In this study, we report a new NFA (BTCT-2Cl) that conducts a sub-picosecond hole transfer (2 ps) for efficient photocurrent generation when pairing with PM6 though the energetic offset is only 0.02 eV. We observe that the added nonfullerene and PCBM components differently tune the charge generation and recombination when selectively exciting BTCT-2Cl. After adding PC71BM, the hole transfer from the host BTCT-2Cl to the host donor is greatly accelerated, with the rate significantly reduced to 0.29 ps and the charge generation becomes more efficient; on the contrary, recombination is prolonged and a larger fill factor is obtained after adding an NFA guest, here, IT-4F. The different tuning on the host binary hole-transfer dynamics is likely related with the phase crystallinity and the domain size changed after adding different acceptor guests. Over 16% efficiency is obtained on the PC71BM-based ternary device that outperforms the host binary and the IT-4F-based ternary solar cells (both showing over 15% efficiencies). The results clearly demonstrate that adding PCBM or NFA guests enables a very effective and different tuning on the hole-transfer rates and the recombination rates between the barrier-free host binary components, hence leading to efficient tuning on the short-circuit current density and fill factor, which outlines new strategies toward designing high-efficiency ternary blended OSC systems. © 2020 American Chemical Society.","archive":"Scopus","container-title":"Chemistry of Materials","DOI":"10.1021/acs.chemmater.0c01245","ISSN":"0897-4756","issue":"12","language":"English","page":"5182-5191","source":"Scopus","title":"Roles of Acceptor Guests in Tuning the Organic Solar Cell Property Based on an Efficient Binary Material System with a Nearly Zero Hole-Transfer Driving Force","volume":"32","author":[{"family":"Li","given":"X."},{"family":"Li","given":"X."},{"family":"Pan","given":"M.-A."},{"family":"Pan","given":"M.-A."},{"family":"Lau","given":"T.-K."},{"family":"Liu","given":"W."},{"family":"Li","given":"K."},{"family":"Yao","given":"N."},{"family":"Shen","given":"F."},{"family":"Huo","given":"S."},{"family":"Zhang","given":"F."},{"family":"Wu","given":"Y."},{"family":"Li","given":"X."},{"family":"Lu","given":"X."},{"family":"Yan","given":"H."},{"family":"Zhan","given":"C."}],"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[177]</w:t>
            </w:r>
            <w:r w:rsidRPr="00B55044">
              <w:rPr>
                <w:rFonts w:eastAsia="Times New Roman"/>
                <w:color w:val="0000FF"/>
                <w:sz w:val="16"/>
                <w:szCs w:val="16"/>
              </w:rPr>
              <w:fldChar w:fldCharType="end"/>
            </w:r>
          </w:p>
        </w:tc>
      </w:tr>
      <w:tr w:rsidR="00D47774" w:rsidRPr="00B55044" w14:paraId="25D18DF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918E8D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318</w:t>
            </w:r>
          </w:p>
        </w:tc>
        <w:tc>
          <w:tcPr>
            <w:tcW w:w="1525" w:type="pct"/>
            <w:tcBorders>
              <w:top w:val="single" w:sz="4" w:space="0" w:color="auto"/>
              <w:left w:val="nil"/>
              <w:bottom w:val="single" w:sz="4" w:space="0" w:color="auto"/>
              <w:right w:val="nil"/>
            </w:tcBorders>
            <w:shd w:val="clear" w:color="auto" w:fill="auto"/>
            <w:noWrap/>
            <w:vAlign w:val="bottom"/>
            <w:hideMark/>
          </w:tcPr>
          <w:p w14:paraId="1BA819A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1AEBF37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PM6:ITC6-4F:PC</w:t>
            </w:r>
            <w:r w:rsidRPr="00B55044">
              <w:rPr>
                <w:rFonts w:eastAsia="Times New Roman"/>
                <w:sz w:val="16"/>
                <w:szCs w:val="16"/>
                <w:vertAlign w:val="subscript"/>
              </w:rPr>
              <w:t>61</w:t>
            </w:r>
            <w:r w:rsidRPr="00B55044">
              <w:rPr>
                <w:rFonts w:eastAsia="Times New Roman"/>
                <w:sz w:val="16"/>
                <w:szCs w:val="16"/>
              </w:rPr>
              <w:t>BM (10%)</w:t>
            </w:r>
          </w:p>
        </w:tc>
        <w:tc>
          <w:tcPr>
            <w:tcW w:w="379" w:type="pct"/>
            <w:tcBorders>
              <w:top w:val="single" w:sz="4" w:space="0" w:color="auto"/>
              <w:left w:val="nil"/>
              <w:bottom w:val="single" w:sz="4" w:space="0" w:color="auto"/>
              <w:right w:val="nil"/>
            </w:tcBorders>
            <w:shd w:val="clear" w:color="auto" w:fill="auto"/>
            <w:noWrap/>
            <w:vAlign w:val="bottom"/>
            <w:hideMark/>
          </w:tcPr>
          <w:p w14:paraId="68E78B4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0.93</w:t>
            </w:r>
          </w:p>
        </w:tc>
        <w:tc>
          <w:tcPr>
            <w:tcW w:w="379" w:type="pct"/>
            <w:tcBorders>
              <w:top w:val="single" w:sz="4" w:space="0" w:color="auto"/>
              <w:left w:val="nil"/>
              <w:bottom w:val="single" w:sz="4" w:space="0" w:color="auto"/>
              <w:right w:val="nil"/>
            </w:tcBorders>
            <w:shd w:val="clear" w:color="auto" w:fill="auto"/>
            <w:noWrap/>
            <w:vAlign w:val="bottom"/>
            <w:hideMark/>
          </w:tcPr>
          <w:p w14:paraId="15D7BA8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20.78</w:t>
            </w:r>
          </w:p>
        </w:tc>
        <w:tc>
          <w:tcPr>
            <w:tcW w:w="378" w:type="pct"/>
            <w:tcBorders>
              <w:top w:val="single" w:sz="4" w:space="0" w:color="auto"/>
              <w:left w:val="nil"/>
              <w:bottom w:val="single" w:sz="4" w:space="0" w:color="auto"/>
              <w:right w:val="nil"/>
            </w:tcBorders>
            <w:shd w:val="clear" w:color="auto" w:fill="auto"/>
            <w:noWrap/>
            <w:vAlign w:val="bottom"/>
            <w:hideMark/>
          </w:tcPr>
          <w:p w14:paraId="101A9C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78.18</w:t>
            </w:r>
          </w:p>
        </w:tc>
        <w:tc>
          <w:tcPr>
            <w:tcW w:w="381" w:type="pct"/>
            <w:tcBorders>
              <w:top w:val="single" w:sz="4" w:space="0" w:color="auto"/>
              <w:left w:val="nil"/>
              <w:bottom w:val="single" w:sz="4" w:space="0" w:color="auto"/>
              <w:right w:val="nil"/>
            </w:tcBorders>
            <w:shd w:val="clear" w:color="auto" w:fill="auto"/>
            <w:noWrap/>
            <w:vAlign w:val="bottom"/>
            <w:hideMark/>
          </w:tcPr>
          <w:p w14:paraId="67FEA90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15.11</w:t>
            </w:r>
          </w:p>
        </w:tc>
        <w:tc>
          <w:tcPr>
            <w:tcW w:w="378" w:type="pct"/>
            <w:tcBorders>
              <w:top w:val="single" w:sz="4" w:space="0" w:color="auto"/>
              <w:left w:val="nil"/>
              <w:bottom w:val="single" w:sz="4" w:space="0" w:color="auto"/>
              <w:right w:val="nil"/>
            </w:tcBorders>
            <w:shd w:val="clear" w:color="auto" w:fill="auto"/>
            <w:noWrap/>
            <w:vAlign w:val="bottom"/>
            <w:hideMark/>
          </w:tcPr>
          <w:p w14:paraId="2FA69C9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{"citationID":"a20phvc90fc","properties":{"formattedCitation":"[178]","plainCitation":"[178]","noteIndex":0},"citationItems":[{"id":218,"uris":["http://zotero.org/users/12909065/items/Y9W5Z82N"],"itemData":{"id":218,"type":"article-journal","abstract":"In this study, an efficient ternary bulk-heterojunction (BHJ) organic solar cell (OSC) is demonstrated by incorporating two acceptors, PC61BM and ITC6-4F, with a polymer donor (PM6). This reveals that the addition of PC61BM not only enhances the electron mobility of the derived BHJ blend but also facilitates exciton dissociation, resulting in a more balanced charge transport alongside with reduced trap-assisted charge recombination. Consequently, as compared to the pristine PM6/ITC6-4F device, the optimal ternary OSC is revealed to deliver an improved power conversion efficiency (PCE) of 15.11% with a boosted JSC, VOC, and fill factor (FF) simultaneously. The resultant VOC and FF are among the highest values recorded in the literature for the ternary OSCs with a PCE exceeding 15%. This result thus suggests that besides improving the charge transport characteristics in devices, incorporating a fullerene derivative as part of the acceptor can also improve the resultant VOC, which can reduce the energy loss to realize efficient organic photovoltaics. Copyright © 2020 American Chemical Society.","archive":"Scopus","container-title":"ACS Applied Materials and Interfaces","DOI":"10.1021/acsami.0c03484","ISSN":"1944-8244","issue":"19","language":"English","page":"21633-21640","source":"Scopus","title":"Over 15% Efficiency in Ternary Organic Solar Cells by Enhanced Charge Transport and Reduced Energy Loss","volume":"12","author":[{"family":"Wang","given":"H."},{"family":"Zhang","given":"Z."},{"family":"Yu","given":"J."},{"family":"Lin","given":"P.-C."},{"family":"Chueh","given":"C.-C."},{"family":"Liu","given":"X."},{"family":"Guang","given":"S."},{"family":"Qu","given":"S."},{"family":"Tang","given":"W."}],"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[178]</w:t>
            </w:r>
            <w:r w:rsidRPr="00B55044">
              <w:rPr>
                <w:rFonts w:eastAsia="Times New Roman"/>
                <w:color w:val="0000FF"/>
                <w:sz w:val="16"/>
                <w:szCs w:val="16"/>
              </w:rPr>
              <w:fldChar w:fldCharType="end"/>
            </w:r>
          </w:p>
        </w:tc>
      </w:tr>
      <w:tr w:rsidR="00D47774" w:rsidRPr="00B55044" w14:paraId="4121D8D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34113E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319</w:t>
            </w:r>
          </w:p>
        </w:tc>
        <w:tc>
          <w:tcPr>
            <w:tcW w:w="1525" w:type="pct"/>
            <w:tcBorders>
              <w:top w:val="single" w:sz="4" w:space="0" w:color="auto"/>
              <w:left w:val="nil"/>
              <w:bottom w:val="single" w:sz="4" w:space="0" w:color="auto"/>
              <w:right w:val="nil"/>
            </w:tcBorders>
            <w:shd w:val="clear" w:color="auto" w:fill="auto"/>
            <w:noWrap/>
            <w:vAlign w:val="bottom"/>
            <w:hideMark/>
          </w:tcPr>
          <w:p w14:paraId="22A55B7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3CB28FE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PM6:ITC6-4F:PC</w:t>
            </w:r>
            <w:r w:rsidRPr="00B55044">
              <w:rPr>
                <w:rFonts w:eastAsia="Times New Roman"/>
                <w:sz w:val="16"/>
                <w:szCs w:val="16"/>
                <w:vertAlign w:val="subscript"/>
              </w:rPr>
              <w:t>61</w:t>
            </w:r>
            <w:r w:rsidRPr="00B55044">
              <w:rPr>
                <w:rFonts w:eastAsia="Times New Roman"/>
                <w:sz w:val="16"/>
                <w:szCs w:val="16"/>
              </w:rPr>
              <w:t>BM (20%)</w:t>
            </w:r>
          </w:p>
        </w:tc>
        <w:tc>
          <w:tcPr>
            <w:tcW w:w="379" w:type="pct"/>
            <w:tcBorders>
              <w:top w:val="single" w:sz="4" w:space="0" w:color="auto"/>
              <w:left w:val="nil"/>
              <w:bottom w:val="single" w:sz="4" w:space="0" w:color="auto"/>
              <w:right w:val="nil"/>
            </w:tcBorders>
            <w:shd w:val="clear" w:color="auto" w:fill="auto"/>
            <w:noWrap/>
            <w:vAlign w:val="bottom"/>
            <w:hideMark/>
          </w:tcPr>
          <w:p w14:paraId="2947D9E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0.93</w:t>
            </w:r>
          </w:p>
        </w:tc>
        <w:tc>
          <w:tcPr>
            <w:tcW w:w="379" w:type="pct"/>
            <w:tcBorders>
              <w:top w:val="single" w:sz="4" w:space="0" w:color="auto"/>
              <w:left w:val="nil"/>
              <w:bottom w:val="single" w:sz="4" w:space="0" w:color="auto"/>
              <w:right w:val="nil"/>
            </w:tcBorders>
            <w:shd w:val="clear" w:color="auto" w:fill="auto"/>
            <w:noWrap/>
            <w:vAlign w:val="bottom"/>
            <w:hideMark/>
          </w:tcPr>
          <w:p w14:paraId="447E465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18.94</w:t>
            </w:r>
          </w:p>
        </w:tc>
        <w:tc>
          <w:tcPr>
            <w:tcW w:w="378" w:type="pct"/>
            <w:tcBorders>
              <w:top w:val="single" w:sz="4" w:space="0" w:color="auto"/>
              <w:left w:val="nil"/>
              <w:bottom w:val="single" w:sz="4" w:space="0" w:color="auto"/>
              <w:right w:val="nil"/>
            </w:tcBorders>
            <w:shd w:val="clear" w:color="auto" w:fill="auto"/>
            <w:noWrap/>
            <w:vAlign w:val="bottom"/>
            <w:hideMark/>
          </w:tcPr>
          <w:p w14:paraId="3B5E050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74.33</w:t>
            </w:r>
          </w:p>
        </w:tc>
        <w:tc>
          <w:tcPr>
            <w:tcW w:w="381" w:type="pct"/>
            <w:tcBorders>
              <w:top w:val="single" w:sz="4" w:space="0" w:color="auto"/>
              <w:left w:val="nil"/>
              <w:bottom w:val="single" w:sz="4" w:space="0" w:color="auto"/>
              <w:right w:val="nil"/>
            </w:tcBorders>
            <w:shd w:val="clear" w:color="auto" w:fill="auto"/>
            <w:noWrap/>
            <w:vAlign w:val="bottom"/>
            <w:hideMark/>
          </w:tcPr>
          <w:p w14:paraId="20F47E1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13.09</w:t>
            </w:r>
          </w:p>
        </w:tc>
        <w:tc>
          <w:tcPr>
            <w:tcW w:w="378" w:type="pct"/>
            <w:tcBorders>
              <w:top w:val="single" w:sz="4" w:space="0" w:color="auto"/>
              <w:left w:val="nil"/>
              <w:bottom w:val="single" w:sz="4" w:space="0" w:color="auto"/>
              <w:right w:val="nil"/>
            </w:tcBorders>
            <w:shd w:val="clear" w:color="auto" w:fill="auto"/>
            <w:noWrap/>
            <w:vAlign w:val="bottom"/>
            <w:hideMark/>
          </w:tcPr>
          <w:p w14:paraId="5E96254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{"citationID":"a2k8gfesr5l","properties":{"formattedCitation":"[178]","plainCitation":"[178]","noteIndex":0},"citationItems":[{"id":218,"uris":["http://zotero.org/users/12909065/items/Y9W5Z82N"],"itemData":{"id":218,"type":"article-journal","abstract":"In this study, an efficient ternary bulk-heterojunction (BHJ) organic solar cell (OSC) is demonstrated by incorporating two acceptors, PC61BM and ITC6-4F, with a polymer donor (PM6). This reveals that the addition of PC61BM not only enhances the electron mobility of the derived BHJ blend but also facilitates exciton dissociation, resulting in a more balanced charge transport alongside with reduced trap-assisted charge recombination. Consequently, as compared to the pristine PM6/ITC6-4F device, the optimal ternary OSC is revealed to deliver an improved power conversion efficiency (PCE) of 15.11% with a boosted JSC, VOC, and fill factor (FF) simultaneously. The resultant VOC and FF are among the highest values recorded in the literature for the ternary OSCs with a PCE exceeding 15%. This result thus suggests that besides improving the charge transport characteristics in devices, incorporating a fullerene derivative as part of the acceptor can also improve the resultant VOC, which can reduce the energy loss to realize efficient organic photovoltaics. Copyright © 2020 American Chemical Society.","archive":"Scopus","container-title":"ACS Applied Materials and Interfaces","DOI":"10.1021/acsami.0c03484","ISSN":"1944-8244","issue":"19","language":"English","page":"21633-21640","source":"Scopus","title":"Over 15% Efficiency in Ternary Organic Solar Cells by Enhanced Charge Transport and Reduced Energy Loss","volume":"12","author":[{"family":"Wang","given":"H."},{"family":"Zhang","given":"Z."},{"family":"Yu","given":"J."},{"family":"Lin","given":"P.-C."},{"family":"Chueh","given":"C.-C."},{"family":"Liu","given":"X."},{"family":"Guang","given":"S."},{"family":"Qu","given":"S."},{"family":"Tang","given":"W."}],"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[178]</w:t>
            </w:r>
            <w:r w:rsidRPr="00B55044">
              <w:rPr>
                <w:rFonts w:eastAsia="Times New Roman"/>
                <w:color w:val="0000FF"/>
                <w:sz w:val="16"/>
                <w:szCs w:val="16"/>
              </w:rPr>
              <w:fldChar w:fldCharType="end"/>
            </w:r>
          </w:p>
        </w:tc>
      </w:tr>
      <w:tr w:rsidR="00D47774" w:rsidRPr="00B55044" w14:paraId="334BDFE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A893A4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320</w:t>
            </w:r>
          </w:p>
        </w:tc>
        <w:tc>
          <w:tcPr>
            <w:tcW w:w="1525" w:type="pct"/>
            <w:tcBorders>
              <w:top w:val="single" w:sz="4" w:space="0" w:color="auto"/>
              <w:left w:val="nil"/>
              <w:bottom w:val="single" w:sz="4" w:space="0" w:color="auto"/>
              <w:right w:val="nil"/>
            </w:tcBorders>
            <w:shd w:val="clear" w:color="auto" w:fill="auto"/>
            <w:noWrap/>
            <w:vAlign w:val="bottom"/>
            <w:hideMark/>
          </w:tcPr>
          <w:p w14:paraId="0D8C8A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63A1CE9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PM6:ITC6-4F:PC</w:t>
            </w:r>
            <w:r w:rsidRPr="00B55044">
              <w:rPr>
                <w:rFonts w:eastAsia="Times New Roman"/>
                <w:sz w:val="16"/>
                <w:szCs w:val="16"/>
                <w:vertAlign w:val="subscript"/>
              </w:rPr>
              <w:t>61</w:t>
            </w:r>
            <w:r w:rsidRPr="00B55044">
              <w:rPr>
                <w:rFonts w:eastAsia="Times New Roman"/>
                <w:sz w:val="16"/>
                <w:szCs w:val="16"/>
              </w:rPr>
              <w:t>BM (40%)</w:t>
            </w:r>
          </w:p>
        </w:tc>
        <w:tc>
          <w:tcPr>
            <w:tcW w:w="379" w:type="pct"/>
            <w:tcBorders>
              <w:top w:val="single" w:sz="4" w:space="0" w:color="auto"/>
              <w:left w:val="nil"/>
              <w:bottom w:val="single" w:sz="4" w:space="0" w:color="auto"/>
              <w:right w:val="nil"/>
            </w:tcBorders>
            <w:shd w:val="clear" w:color="auto" w:fill="auto"/>
            <w:noWrap/>
            <w:vAlign w:val="bottom"/>
            <w:hideMark/>
          </w:tcPr>
          <w:p w14:paraId="51802A6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0.93</w:t>
            </w:r>
          </w:p>
        </w:tc>
        <w:tc>
          <w:tcPr>
            <w:tcW w:w="379" w:type="pct"/>
            <w:tcBorders>
              <w:top w:val="single" w:sz="4" w:space="0" w:color="auto"/>
              <w:left w:val="nil"/>
              <w:bottom w:val="single" w:sz="4" w:space="0" w:color="auto"/>
              <w:right w:val="nil"/>
            </w:tcBorders>
            <w:shd w:val="clear" w:color="auto" w:fill="auto"/>
            <w:noWrap/>
            <w:vAlign w:val="bottom"/>
            <w:hideMark/>
          </w:tcPr>
          <w:p w14:paraId="3CE8D68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17.9</w:t>
            </w:r>
          </w:p>
        </w:tc>
        <w:tc>
          <w:tcPr>
            <w:tcW w:w="378" w:type="pct"/>
            <w:tcBorders>
              <w:top w:val="single" w:sz="4" w:space="0" w:color="auto"/>
              <w:left w:val="nil"/>
              <w:bottom w:val="single" w:sz="4" w:space="0" w:color="auto"/>
              <w:right w:val="nil"/>
            </w:tcBorders>
            <w:shd w:val="clear" w:color="auto" w:fill="auto"/>
            <w:noWrap/>
            <w:vAlign w:val="bottom"/>
            <w:hideMark/>
          </w:tcPr>
          <w:p w14:paraId="4B7A58E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71.46</w:t>
            </w:r>
          </w:p>
        </w:tc>
        <w:tc>
          <w:tcPr>
            <w:tcW w:w="381" w:type="pct"/>
            <w:tcBorders>
              <w:top w:val="single" w:sz="4" w:space="0" w:color="auto"/>
              <w:left w:val="nil"/>
              <w:bottom w:val="single" w:sz="4" w:space="0" w:color="auto"/>
              <w:right w:val="nil"/>
            </w:tcBorders>
            <w:shd w:val="clear" w:color="auto" w:fill="auto"/>
            <w:noWrap/>
            <w:vAlign w:val="bottom"/>
            <w:hideMark/>
          </w:tcPr>
          <w:p w14:paraId="2FB14C5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11.9</w:t>
            </w:r>
          </w:p>
        </w:tc>
        <w:tc>
          <w:tcPr>
            <w:tcW w:w="378" w:type="pct"/>
            <w:tcBorders>
              <w:top w:val="single" w:sz="4" w:space="0" w:color="auto"/>
              <w:left w:val="nil"/>
              <w:bottom w:val="single" w:sz="4" w:space="0" w:color="auto"/>
              <w:right w:val="nil"/>
            </w:tcBorders>
            <w:shd w:val="clear" w:color="auto" w:fill="auto"/>
            <w:noWrap/>
            <w:vAlign w:val="bottom"/>
            <w:hideMark/>
          </w:tcPr>
          <w:p w14:paraId="3FC9945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{"citationID":"a20mk2nb99s","properties":{"formattedCitation":"[178]","plainCitation":"[178]","noteIndex":0},"citationItems":[{"id":218,"uris":["http://zotero.org/users/12909065/items/Y9W5Z82N"],"itemData":{"id":218,"type":"article-journal","abstract":"In this study, an efficient ternary bulk-heterojunction (BHJ) organic solar cell (OSC) is demonstrated by incorporating two acceptors, PC61BM and ITC6-4F, with a polymer donor (PM6). This reveals that the addition of PC61BM not only enhances the electron mobility of the derived BHJ blend but also facilitates exciton dissociation, resulting in a more balanced charge transport alongside with reduced trap-assisted charge recombination. Consequently, as compared to the pristine PM6/ITC6-4F device, the optimal ternary OSC is revealed to deliver an improved power conversion efficiency (PCE) of 15.11% with a boosted JSC, VOC, and fill factor (FF) simultaneously. The resultant VOC and FF are among the highest values recorded in the literature for the ternary OSCs with a PCE exceeding 15%. This result thus suggests that besides improving the charge transport characteristics in devices, incorporating a fullerene derivative as part of the acceptor can also improve the resultant VOC, which can reduce the energy loss to realize efficient organic photovoltaics. Copyright © 2020 American Chemical Society.","archive":"Scopus","container-title":"ACS Applied Materials and Interfaces","DOI":"10.1021/acsami.0c03484","ISSN":"1944-8244","issue":"19","language":"English","page":"21633-21640","source":"Scopus","title":"Over 15% Efficiency in Ternary Organic Solar Cells by Enhanced Charge Transport and Reduced Energy Loss","volume":"12","author":[{"family":"Wang","given":"H."},{"family":"Zhang","given":"Z."},{"family":"Yu","given":"J."},{"family":"Lin","given":"P.-C."},{"family":"Chueh","given":"C.-C."},{"family":"Liu","given":"X."},{"family":"Guang","given":"S."},{"family":"Qu","given":"S."},{"family":"Tang","given":"W."}],"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[178]</w:t>
            </w:r>
            <w:r w:rsidRPr="00B55044">
              <w:rPr>
                <w:rFonts w:eastAsia="Times New Roman"/>
                <w:color w:val="0000FF"/>
                <w:sz w:val="16"/>
                <w:szCs w:val="16"/>
              </w:rPr>
              <w:fldChar w:fldCharType="end"/>
            </w:r>
          </w:p>
        </w:tc>
      </w:tr>
      <w:tr w:rsidR="00D47774" w:rsidRPr="00B55044" w14:paraId="290FBE0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0D9CA7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321</w:t>
            </w:r>
          </w:p>
        </w:tc>
        <w:tc>
          <w:tcPr>
            <w:tcW w:w="1525" w:type="pct"/>
            <w:tcBorders>
              <w:top w:val="single" w:sz="4" w:space="0" w:color="auto"/>
              <w:left w:val="nil"/>
              <w:bottom w:val="single" w:sz="4" w:space="0" w:color="auto"/>
              <w:right w:val="nil"/>
            </w:tcBorders>
            <w:shd w:val="clear" w:color="auto" w:fill="auto"/>
            <w:noWrap/>
            <w:vAlign w:val="bottom"/>
            <w:hideMark/>
          </w:tcPr>
          <w:p w14:paraId="3E39AC8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459D44D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PM6:ITC6-4F:PC</w:t>
            </w:r>
            <w:r w:rsidRPr="00B55044">
              <w:rPr>
                <w:rFonts w:eastAsia="Times New Roman"/>
                <w:sz w:val="16"/>
                <w:szCs w:val="16"/>
                <w:vertAlign w:val="subscript"/>
              </w:rPr>
              <w:t>61</w:t>
            </w:r>
            <w:r w:rsidRPr="00B55044">
              <w:rPr>
                <w:rFonts w:eastAsia="Times New Roman"/>
                <w:sz w:val="16"/>
                <w:szCs w:val="16"/>
              </w:rPr>
              <w:t>BM (50%)</w:t>
            </w:r>
          </w:p>
        </w:tc>
        <w:tc>
          <w:tcPr>
            <w:tcW w:w="379" w:type="pct"/>
            <w:tcBorders>
              <w:top w:val="single" w:sz="4" w:space="0" w:color="auto"/>
              <w:left w:val="nil"/>
              <w:bottom w:val="single" w:sz="4" w:space="0" w:color="auto"/>
              <w:right w:val="nil"/>
            </w:tcBorders>
            <w:shd w:val="clear" w:color="auto" w:fill="auto"/>
            <w:noWrap/>
            <w:vAlign w:val="bottom"/>
            <w:hideMark/>
          </w:tcPr>
          <w:p w14:paraId="3D67949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0.93</w:t>
            </w:r>
          </w:p>
        </w:tc>
        <w:tc>
          <w:tcPr>
            <w:tcW w:w="379" w:type="pct"/>
            <w:tcBorders>
              <w:top w:val="single" w:sz="4" w:space="0" w:color="auto"/>
              <w:left w:val="nil"/>
              <w:bottom w:val="single" w:sz="4" w:space="0" w:color="auto"/>
              <w:right w:val="nil"/>
            </w:tcBorders>
            <w:shd w:val="clear" w:color="auto" w:fill="auto"/>
            <w:noWrap/>
            <w:vAlign w:val="bottom"/>
            <w:hideMark/>
          </w:tcPr>
          <w:p w14:paraId="49BC81E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16.91</w:t>
            </w:r>
          </w:p>
        </w:tc>
        <w:tc>
          <w:tcPr>
            <w:tcW w:w="378" w:type="pct"/>
            <w:tcBorders>
              <w:top w:val="single" w:sz="4" w:space="0" w:color="auto"/>
              <w:left w:val="nil"/>
              <w:bottom w:val="single" w:sz="4" w:space="0" w:color="auto"/>
              <w:right w:val="nil"/>
            </w:tcBorders>
            <w:shd w:val="clear" w:color="auto" w:fill="auto"/>
            <w:noWrap/>
            <w:vAlign w:val="bottom"/>
            <w:hideMark/>
          </w:tcPr>
          <w:p w14:paraId="5FD0705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70.84</w:t>
            </w:r>
          </w:p>
        </w:tc>
        <w:tc>
          <w:tcPr>
            <w:tcW w:w="381" w:type="pct"/>
            <w:tcBorders>
              <w:top w:val="single" w:sz="4" w:space="0" w:color="auto"/>
              <w:left w:val="nil"/>
              <w:bottom w:val="single" w:sz="4" w:space="0" w:color="auto"/>
              <w:right w:val="nil"/>
            </w:tcBorders>
            <w:shd w:val="clear" w:color="auto" w:fill="auto"/>
            <w:noWrap/>
            <w:vAlign w:val="bottom"/>
            <w:hideMark/>
          </w:tcPr>
          <w:p w14:paraId="5A7238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11.14</w:t>
            </w:r>
          </w:p>
        </w:tc>
        <w:tc>
          <w:tcPr>
            <w:tcW w:w="378" w:type="pct"/>
            <w:tcBorders>
              <w:top w:val="single" w:sz="4" w:space="0" w:color="auto"/>
              <w:left w:val="nil"/>
              <w:bottom w:val="single" w:sz="4" w:space="0" w:color="auto"/>
              <w:right w:val="nil"/>
            </w:tcBorders>
            <w:shd w:val="clear" w:color="auto" w:fill="auto"/>
            <w:noWrap/>
            <w:vAlign w:val="bottom"/>
            <w:hideMark/>
          </w:tcPr>
          <w:p w14:paraId="6AF08AF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{"citationID":"a1nh3tm0708","properties":{"formattedCitation":"[178]","plainCitation":"[178]","noteIndex":0},"citationItems":[{"id":218,"uris":["http://zotero.org/users/12909065/items/Y9W5Z82N"],"itemData":{"id":218,"type":"article-journal","abstract":"In this study, an efficient ternary bulk-heterojunction (BHJ) organic solar cell (OSC) is demonstrated by incorporating two acceptors, PC61BM and ITC6-4F, with a polymer donor (PM6). This reveals that the addition of PC61BM not only enhances the electron mobility of the derived BHJ blend but also facilitates exciton dissociation, resulting in a more balanced charge transport alongside with reduced trap-assisted charge recombination. Consequently, as compared to the pristine PM6/ITC6-4F device, the optimal ternary OSC is revealed to deliver an improved power conversion efficiency (PCE) of 15.11% with a boosted JSC, VOC, and fill factor (FF) simultaneously. The resultant VOC and FF are among the highest values recorded in the literature for the ternary OSCs with a PCE exceeding 15%. This result thus suggests that besides improving the charge transport characteristics in devices, incorporating a fullerene derivative as part of the acceptor can also improve the resultant VOC, which can reduce the energy loss to realize efficient organic photovoltaics. Copyright © 2020 American Chemical Society.","archive":"Scopus","container-title":"ACS Applied Materials and Interfaces","DOI":"10.1021/acsami.0c03484","ISSN":"1944-8244","issue":"19","language":"English","page":"21633-21640","source":"Scopus","title":"Over 15% Efficiency in Ternary Organic Solar Cells by Enhanced Charge Transport and Reduced Energy Loss","volume":"12","author":[{"family":"Wang","given":"H."},{"family":"Zhang","given":"Z."},{"family":"Yu","given":"J."},{"family":"Lin","given":"P.-C."},{"family":"Chueh","given":"C.-C."},{"family":"Liu","given":"X."},{"family":"Guang","given":"S."},{"family":"Qu","given":"S."},{"family":"Tang","given":"W."}],"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[178]</w:t>
            </w:r>
            <w:r w:rsidRPr="00B55044">
              <w:rPr>
                <w:rFonts w:eastAsia="Times New Roman"/>
                <w:color w:val="0000FF"/>
                <w:sz w:val="16"/>
                <w:szCs w:val="16"/>
              </w:rPr>
              <w:fldChar w:fldCharType="end"/>
            </w:r>
          </w:p>
        </w:tc>
      </w:tr>
      <w:tr w:rsidR="00D47774" w:rsidRPr="00B55044" w14:paraId="2A5D45C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BF926D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322</w:t>
            </w:r>
          </w:p>
        </w:tc>
        <w:tc>
          <w:tcPr>
            <w:tcW w:w="1525" w:type="pct"/>
            <w:tcBorders>
              <w:top w:val="single" w:sz="4" w:space="0" w:color="auto"/>
              <w:left w:val="nil"/>
              <w:bottom w:val="single" w:sz="4" w:space="0" w:color="auto"/>
              <w:right w:val="nil"/>
            </w:tcBorders>
            <w:shd w:val="clear" w:color="auto" w:fill="auto"/>
            <w:noWrap/>
            <w:vAlign w:val="bottom"/>
            <w:hideMark/>
          </w:tcPr>
          <w:p w14:paraId="0055122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5AA7280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PM6:ITC6-4F:PC</w:t>
            </w:r>
            <w:r w:rsidRPr="00B55044">
              <w:rPr>
                <w:rFonts w:eastAsia="Times New Roman"/>
                <w:sz w:val="16"/>
                <w:szCs w:val="16"/>
                <w:vertAlign w:val="subscript"/>
              </w:rPr>
              <w:t>61</w:t>
            </w:r>
            <w:r w:rsidRPr="00B55044">
              <w:rPr>
                <w:rFonts w:eastAsia="Times New Roman"/>
                <w:sz w:val="16"/>
                <w:szCs w:val="16"/>
              </w:rPr>
              <w:t>BM (60%)</w:t>
            </w:r>
          </w:p>
        </w:tc>
        <w:tc>
          <w:tcPr>
            <w:tcW w:w="379" w:type="pct"/>
            <w:tcBorders>
              <w:top w:val="single" w:sz="4" w:space="0" w:color="auto"/>
              <w:left w:val="nil"/>
              <w:bottom w:val="single" w:sz="4" w:space="0" w:color="auto"/>
              <w:right w:val="nil"/>
            </w:tcBorders>
            <w:shd w:val="clear" w:color="auto" w:fill="auto"/>
            <w:noWrap/>
            <w:vAlign w:val="bottom"/>
            <w:hideMark/>
          </w:tcPr>
          <w:p w14:paraId="59B7930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0.94</w:t>
            </w:r>
          </w:p>
        </w:tc>
        <w:tc>
          <w:tcPr>
            <w:tcW w:w="379" w:type="pct"/>
            <w:tcBorders>
              <w:top w:val="single" w:sz="4" w:space="0" w:color="auto"/>
              <w:left w:val="nil"/>
              <w:bottom w:val="single" w:sz="4" w:space="0" w:color="auto"/>
              <w:right w:val="nil"/>
            </w:tcBorders>
            <w:shd w:val="clear" w:color="auto" w:fill="auto"/>
            <w:noWrap/>
            <w:vAlign w:val="bottom"/>
            <w:hideMark/>
          </w:tcPr>
          <w:p w14:paraId="7290266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16.82</w:t>
            </w:r>
          </w:p>
        </w:tc>
        <w:tc>
          <w:tcPr>
            <w:tcW w:w="378" w:type="pct"/>
            <w:tcBorders>
              <w:top w:val="single" w:sz="4" w:space="0" w:color="auto"/>
              <w:left w:val="nil"/>
              <w:bottom w:val="single" w:sz="4" w:space="0" w:color="auto"/>
              <w:right w:val="nil"/>
            </w:tcBorders>
            <w:shd w:val="clear" w:color="auto" w:fill="auto"/>
            <w:noWrap/>
            <w:vAlign w:val="bottom"/>
            <w:hideMark/>
          </w:tcPr>
          <w:p w14:paraId="1F1EBD8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67.69</w:t>
            </w:r>
          </w:p>
        </w:tc>
        <w:tc>
          <w:tcPr>
            <w:tcW w:w="381" w:type="pct"/>
            <w:tcBorders>
              <w:top w:val="single" w:sz="4" w:space="0" w:color="auto"/>
              <w:left w:val="nil"/>
              <w:bottom w:val="single" w:sz="4" w:space="0" w:color="auto"/>
              <w:right w:val="nil"/>
            </w:tcBorders>
            <w:shd w:val="clear" w:color="auto" w:fill="auto"/>
            <w:noWrap/>
            <w:vAlign w:val="bottom"/>
            <w:hideMark/>
          </w:tcPr>
          <w:p w14:paraId="795991D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10.7</w:t>
            </w:r>
          </w:p>
        </w:tc>
        <w:tc>
          <w:tcPr>
            <w:tcW w:w="378" w:type="pct"/>
            <w:tcBorders>
              <w:top w:val="single" w:sz="4" w:space="0" w:color="auto"/>
              <w:left w:val="nil"/>
              <w:bottom w:val="single" w:sz="4" w:space="0" w:color="auto"/>
              <w:right w:val="nil"/>
            </w:tcBorders>
            <w:shd w:val="clear" w:color="auto" w:fill="auto"/>
            <w:noWrap/>
            <w:vAlign w:val="bottom"/>
            <w:hideMark/>
          </w:tcPr>
          <w:p w14:paraId="7C3C24D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{"citationID":"a1olk85e5lq","properties":{"formattedCitation":"[178]","plainCitation":"[178]","noteIndex":0},"citationItems":[{"id":218,"uris":["http://zotero.org/users/12909065/items/Y9W5Z82N"],"itemData":{"id":218,"type":"article-journal","abstract":"In this study, an efficient ternary bulk-heterojunction (BHJ) organic solar cell (OSC) is demonstrated by incorporating two acceptors, PC61BM and ITC6-4F, with a polymer donor (PM6). This reveals that the addition of PC61BM not only enhances the electron mobility of the derived BHJ blend but also facilitates exciton dissociation, resulting in a more balanced charge transport alongside with reduced trap-assisted charge recombination. Consequently, as compared to the pristine PM6/ITC6-4F device, the optimal ternary OSC is revealed to deliver an improved power conversion efficiency (PCE) of 15.11% with a boosted JSC, VOC, and fill factor (FF) simultaneously. The resultant VOC and FF are among the highest values recorded in the literature for the ternary OSCs with a PCE exceeding 15%. This result thus suggests that besides improving the charge transport characteristics in devices, incorporating a fullerene derivative as part of the acceptor can also improve the resultant VOC, which can reduce the energy loss to realize efficient organic photovoltaics. Copyright © 2020 American Chemical Society.","archive":"Scopus","container-title":"ACS Applied Materials and Interfaces","DOI":"10.1021/acsami.0c03484","ISSN":"1944-8244","issue":"19","language":"English","page":"21633-21640","source":"Scopus","title":"Over 15% Efficiency in Ternary Organic Solar Cells by Enhanced Charge Transport and Reduced Energy Loss","volume":"12","author":[{"family":"Wang","given":"H."},{"family":"Zhang","given":"Z."},{"family":"Yu","given":"J."},{"family":"Lin","given":"P.-C."},{"family":"Chueh","given":"C.-C."},{"family":"Liu","given":"X."},{"family":"Guang","given":"S."},{"family":"Qu","given":"S."},{"family":"Tang","given":"W."}],"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[178]</w:t>
            </w:r>
            <w:r w:rsidRPr="00B55044">
              <w:rPr>
                <w:rFonts w:eastAsia="Times New Roman"/>
                <w:color w:val="0000FF"/>
                <w:sz w:val="16"/>
                <w:szCs w:val="16"/>
              </w:rPr>
              <w:fldChar w:fldCharType="end"/>
            </w:r>
          </w:p>
        </w:tc>
      </w:tr>
      <w:tr w:rsidR="00D47774" w:rsidRPr="00B55044" w14:paraId="3CFBA33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74A099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323</w:t>
            </w:r>
          </w:p>
        </w:tc>
        <w:tc>
          <w:tcPr>
            <w:tcW w:w="1525" w:type="pct"/>
            <w:tcBorders>
              <w:top w:val="single" w:sz="4" w:space="0" w:color="auto"/>
              <w:left w:val="nil"/>
              <w:bottom w:val="single" w:sz="4" w:space="0" w:color="auto"/>
              <w:right w:val="nil"/>
            </w:tcBorders>
            <w:shd w:val="clear" w:color="auto" w:fill="auto"/>
            <w:noWrap/>
            <w:vAlign w:val="bottom"/>
            <w:hideMark/>
          </w:tcPr>
          <w:p w14:paraId="4E5F48E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387C148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PM6:ITC6-4F:PC</w:t>
            </w:r>
            <w:r w:rsidRPr="00B55044">
              <w:rPr>
                <w:rFonts w:eastAsia="Times New Roman"/>
                <w:sz w:val="16"/>
                <w:szCs w:val="16"/>
                <w:vertAlign w:val="subscript"/>
              </w:rPr>
              <w:t>61</w:t>
            </w:r>
            <w:r w:rsidRPr="00B55044">
              <w:rPr>
                <w:rFonts w:eastAsia="Times New Roman"/>
                <w:sz w:val="16"/>
                <w:szCs w:val="16"/>
              </w:rPr>
              <w:t>BM (80%)</w:t>
            </w:r>
          </w:p>
        </w:tc>
        <w:tc>
          <w:tcPr>
            <w:tcW w:w="379" w:type="pct"/>
            <w:tcBorders>
              <w:top w:val="single" w:sz="4" w:space="0" w:color="auto"/>
              <w:left w:val="nil"/>
              <w:bottom w:val="single" w:sz="4" w:space="0" w:color="auto"/>
              <w:right w:val="nil"/>
            </w:tcBorders>
            <w:shd w:val="clear" w:color="auto" w:fill="auto"/>
            <w:noWrap/>
            <w:vAlign w:val="bottom"/>
            <w:hideMark/>
          </w:tcPr>
          <w:p w14:paraId="0B2CD77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0.95</w:t>
            </w:r>
          </w:p>
        </w:tc>
        <w:tc>
          <w:tcPr>
            <w:tcW w:w="379" w:type="pct"/>
            <w:tcBorders>
              <w:top w:val="single" w:sz="4" w:space="0" w:color="auto"/>
              <w:left w:val="nil"/>
              <w:bottom w:val="single" w:sz="4" w:space="0" w:color="auto"/>
              <w:right w:val="nil"/>
            </w:tcBorders>
            <w:shd w:val="clear" w:color="auto" w:fill="auto"/>
            <w:noWrap/>
            <w:vAlign w:val="bottom"/>
            <w:hideMark/>
          </w:tcPr>
          <w:p w14:paraId="5251AD5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14.52</w:t>
            </w:r>
          </w:p>
        </w:tc>
        <w:tc>
          <w:tcPr>
            <w:tcW w:w="378" w:type="pct"/>
            <w:tcBorders>
              <w:top w:val="single" w:sz="4" w:space="0" w:color="auto"/>
              <w:left w:val="nil"/>
              <w:bottom w:val="single" w:sz="4" w:space="0" w:color="auto"/>
              <w:right w:val="nil"/>
            </w:tcBorders>
            <w:shd w:val="clear" w:color="auto" w:fill="auto"/>
            <w:noWrap/>
            <w:vAlign w:val="bottom"/>
            <w:hideMark/>
          </w:tcPr>
          <w:p w14:paraId="2273D1A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65.96</w:t>
            </w:r>
          </w:p>
        </w:tc>
        <w:tc>
          <w:tcPr>
            <w:tcW w:w="381" w:type="pct"/>
            <w:tcBorders>
              <w:top w:val="single" w:sz="4" w:space="0" w:color="auto"/>
              <w:left w:val="nil"/>
              <w:bottom w:val="single" w:sz="4" w:space="0" w:color="auto"/>
              <w:right w:val="nil"/>
            </w:tcBorders>
            <w:shd w:val="clear" w:color="auto" w:fill="auto"/>
            <w:noWrap/>
            <w:vAlign w:val="bottom"/>
            <w:hideMark/>
          </w:tcPr>
          <w:p w14:paraId="503EAE7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9.1</w:t>
            </w:r>
          </w:p>
        </w:tc>
        <w:tc>
          <w:tcPr>
            <w:tcW w:w="378" w:type="pct"/>
            <w:tcBorders>
              <w:top w:val="single" w:sz="4" w:space="0" w:color="auto"/>
              <w:left w:val="nil"/>
              <w:bottom w:val="single" w:sz="4" w:space="0" w:color="auto"/>
              <w:right w:val="nil"/>
            </w:tcBorders>
            <w:shd w:val="clear" w:color="auto" w:fill="auto"/>
            <w:noWrap/>
            <w:vAlign w:val="bottom"/>
            <w:hideMark/>
          </w:tcPr>
          <w:p w14:paraId="0FB8BB7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{"citationID":"asl33avggr","properties":{"formattedCitation":"[178]","plainCitation":"[178]","noteIndex":0},"citationItems":[{"id":218,"uris":["http://zotero.org/users/12909065/items/Y9W5Z82N"],"itemData":{"id":218,"type":"article-journal","abstract":"In this study, an efficient ternary bulk-heterojunction (BHJ) organic solar cell (OSC) is demonstrated by incorporating two acceptors, PC61BM and ITC6-4F, with a polymer donor (PM6). This reveals that the addition of PC61BM not only enhances the electron mobility of the derived BHJ blend but also facilitates exciton dissociation, resulting in a more balanced charge transport alongside with reduced trap-assisted charge recombination. Consequently, as compared to the pristine PM6/ITC6-4F device, the optimal ternary OSC is revealed to deliver an improved power conversion efficiency (PCE) of 15.11% with a boosted JSC, VOC, and fill factor (FF) simultaneously. The resultant VOC and FF are among the highest values recorded in the literature for the ternary OSCs with a PCE exceeding 15%. This result thus suggests that besides improving the charge transport characteristics in devices, incorporating a fullerene derivative as part of the acceptor can also improve the resultant VOC, which can reduce the energy loss to realize efficient organic photovoltaics. Copyright © 2020 American Chemical Society.","archive":"Scopus","container-title":"ACS Applied Materials and Interfaces","DOI":"10.1021/acsami.0c03484","ISSN":"1944-8244","issue":"19","language":"English","page":"21633-21640","source":"Scopus","title":"Over 15% Efficiency in Ternary Organic Solar Cells by Enhanced Charge Transport and Reduced Energy Loss","volume":"12","author":[{"family":"Wang","given":"H."},{"family":"Zhang","given":"Z."},{"family":"Yu","given":"J."},{"family":"Lin","given":"P.-C."},{"family":"Chueh","given":"C.-C."},{"family":"Liu","given":"X."},{"family":"Guang","given":"S."},{"family":"Qu","given":"S."},{"family":"Tang","given":"W."}],"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[178]</w:t>
            </w:r>
            <w:r w:rsidRPr="00B55044">
              <w:rPr>
                <w:rFonts w:eastAsia="Times New Roman"/>
                <w:color w:val="0000FF"/>
                <w:sz w:val="16"/>
                <w:szCs w:val="16"/>
              </w:rPr>
              <w:fldChar w:fldCharType="end"/>
            </w:r>
          </w:p>
        </w:tc>
      </w:tr>
      <w:tr w:rsidR="00D47774" w:rsidRPr="00B55044" w14:paraId="5931F2F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CB11B3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324</w:t>
            </w:r>
          </w:p>
        </w:tc>
        <w:tc>
          <w:tcPr>
            <w:tcW w:w="1525" w:type="pct"/>
            <w:tcBorders>
              <w:top w:val="single" w:sz="4" w:space="0" w:color="auto"/>
              <w:left w:val="nil"/>
              <w:bottom w:val="single" w:sz="4" w:space="0" w:color="auto"/>
              <w:right w:val="nil"/>
            </w:tcBorders>
            <w:shd w:val="clear" w:color="auto" w:fill="auto"/>
            <w:noWrap/>
            <w:vAlign w:val="bottom"/>
            <w:hideMark/>
          </w:tcPr>
          <w:p w14:paraId="516D191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ITO/PEDOT:PSS/AL/DPO/Ag</w:t>
            </w:r>
          </w:p>
        </w:tc>
        <w:tc>
          <w:tcPr>
            <w:tcW w:w="1288" w:type="pct"/>
            <w:tcBorders>
              <w:top w:val="single" w:sz="4" w:space="0" w:color="auto"/>
              <w:left w:val="nil"/>
              <w:bottom w:val="single" w:sz="4" w:space="0" w:color="auto"/>
              <w:right w:val="nil"/>
            </w:tcBorders>
            <w:shd w:val="clear" w:color="auto" w:fill="auto"/>
            <w:noWrap/>
            <w:vAlign w:val="bottom"/>
            <w:hideMark/>
          </w:tcPr>
          <w:p w14:paraId="61677B1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PM6:O-IDTBR:Y6</w:t>
            </w:r>
          </w:p>
        </w:tc>
        <w:tc>
          <w:tcPr>
            <w:tcW w:w="379" w:type="pct"/>
            <w:tcBorders>
              <w:top w:val="single" w:sz="4" w:space="0" w:color="auto"/>
              <w:left w:val="nil"/>
              <w:bottom w:val="single" w:sz="4" w:space="0" w:color="auto"/>
              <w:right w:val="nil"/>
            </w:tcBorders>
            <w:shd w:val="clear" w:color="auto" w:fill="auto"/>
            <w:noWrap/>
            <w:vAlign w:val="bottom"/>
            <w:hideMark/>
          </w:tcPr>
          <w:p w14:paraId="59E9F9F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002880E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25.75</w:t>
            </w:r>
          </w:p>
        </w:tc>
        <w:tc>
          <w:tcPr>
            <w:tcW w:w="378" w:type="pct"/>
            <w:tcBorders>
              <w:top w:val="single" w:sz="4" w:space="0" w:color="auto"/>
              <w:left w:val="nil"/>
              <w:bottom w:val="single" w:sz="4" w:space="0" w:color="auto"/>
              <w:right w:val="nil"/>
            </w:tcBorders>
            <w:shd w:val="clear" w:color="auto" w:fill="auto"/>
            <w:noWrap/>
            <w:vAlign w:val="bottom"/>
            <w:hideMark/>
          </w:tcPr>
          <w:p w14:paraId="2CE612E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w:t>
            </w:r>
          </w:p>
        </w:tc>
        <w:tc>
          <w:tcPr>
            <w:tcW w:w="381" w:type="pct"/>
            <w:tcBorders>
              <w:top w:val="single" w:sz="4" w:space="0" w:color="auto"/>
              <w:left w:val="nil"/>
              <w:bottom w:val="single" w:sz="4" w:space="0" w:color="auto"/>
              <w:right w:val="nil"/>
            </w:tcBorders>
            <w:shd w:val="clear" w:color="auto" w:fill="auto"/>
            <w:noWrap/>
            <w:vAlign w:val="bottom"/>
            <w:hideMark/>
          </w:tcPr>
          <w:p w14:paraId="116F305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w:t>
            </w:r>
          </w:p>
        </w:tc>
        <w:tc>
          <w:tcPr>
            <w:tcW w:w="378" w:type="pct"/>
            <w:tcBorders>
              <w:top w:val="single" w:sz="4" w:space="0" w:color="auto"/>
              <w:left w:val="nil"/>
              <w:bottom w:val="single" w:sz="4" w:space="0" w:color="auto"/>
              <w:right w:val="nil"/>
            </w:tcBorders>
            <w:shd w:val="clear" w:color="auto" w:fill="auto"/>
            <w:noWrap/>
            <w:vAlign w:val="bottom"/>
            <w:hideMark/>
          </w:tcPr>
          <w:p w14:paraId="719E18F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{"citationID":"a2ohj0amhd5","properties":{"formattedCitation":"[179]","plainCitation":"[179]","noteIndex":0},"citationItems":[{"id":217,"uris":["http://zotero.org/users/12909065/items/PDTV8IDL"],"itemData":{"id":217,"type":"article-journal","abstract":"Ternary organic solar cells based on polymer donor and nonfullerene acceptors (NFAs) are delivering high power conversion efficiencies (PCE). Now, further improvement needs to be directed to enhance the operational lifetime of organic photovoltaics. Here, we selected three NFAs with different electron affinities and structural properties and found that the most crystalline third component, O-IDTBR, is selectively miscible within the acceptor phase. This reduced trap-assisted recombination and delivered a PCE of 16.6% and a fill factor of 0.76, in comparison to PM6:Y6 binary devices (15.2% PCE). Charge transport and recombination analyses revealed that O-IDTBR acts as a charge relay for improved charge transfer of both donor and acceptor materials leading to a more ordered transport. We find that minimizing trap formation in ternary devices deactivates light-induced traps upon full sun illumination (AM1.5G). As a result, ternary devices do not show any PCE drop in 225 h, in comparison to binary cells which lose more than 60% of their initial performance. Copyright © 2020 American Chemical Society.","archive":"Scopus","container-title":"ACS Energy Letters","DOI":"10.1021/acsenergylett.0c00604","ISSN":"2380-8195","issue":"5","language":"English","page":"1371-1379","source":"Scopus","title":"Exploiting Ternary Blends for Improved Photostability in High-Efficiency Organic Solar Cells","volume":"5","author":[{"family":"Gasparini","given":"N."},{"family":"Paleti","given":"S.H.K."},{"family":"Bertrandie","given":"J."},{"family":"Cai","given":"G."},{"family":"Zhang","given":"G."},{"family":"Wadsworth","given":"A."},{"family":"Lu","given":"X."},{"family":"Yip","given":"H.-L."},{"family":"McCulloch","given":"I."},{"family":"Baran","given":"D."}],"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[179]</w:t>
            </w:r>
            <w:r w:rsidRPr="00B55044">
              <w:rPr>
                <w:rFonts w:eastAsia="Times New Roman"/>
                <w:color w:val="0000FF"/>
                <w:sz w:val="16"/>
                <w:szCs w:val="16"/>
              </w:rPr>
              <w:fldChar w:fldCharType="end"/>
            </w:r>
          </w:p>
        </w:tc>
      </w:tr>
      <w:tr w:rsidR="00D47774" w:rsidRPr="00B55044" w14:paraId="01A0A1E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C4298D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325</w:t>
            </w:r>
          </w:p>
        </w:tc>
        <w:tc>
          <w:tcPr>
            <w:tcW w:w="1525" w:type="pct"/>
            <w:tcBorders>
              <w:top w:val="single" w:sz="4" w:space="0" w:color="auto"/>
              <w:left w:val="nil"/>
              <w:bottom w:val="single" w:sz="4" w:space="0" w:color="auto"/>
              <w:right w:val="nil"/>
            </w:tcBorders>
            <w:shd w:val="clear" w:color="auto" w:fill="auto"/>
            <w:noWrap/>
            <w:vAlign w:val="bottom"/>
            <w:hideMark/>
          </w:tcPr>
          <w:p w14:paraId="51ED4E6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17E5ECE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PM6:IPTBO-4Cl:MF1 (10%)</w:t>
            </w:r>
          </w:p>
        </w:tc>
        <w:tc>
          <w:tcPr>
            <w:tcW w:w="379" w:type="pct"/>
            <w:tcBorders>
              <w:top w:val="single" w:sz="4" w:space="0" w:color="auto"/>
              <w:left w:val="nil"/>
              <w:bottom w:val="single" w:sz="4" w:space="0" w:color="auto"/>
              <w:right w:val="nil"/>
            </w:tcBorders>
            <w:shd w:val="clear" w:color="auto" w:fill="auto"/>
            <w:noWrap/>
            <w:vAlign w:val="bottom"/>
            <w:hideMark/>
          </w:tcPr>
          <w:p w14:paraId="6ABD72A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0.895</w:t>
            </w:r>
          </w:p>
        </w:tc>
        <w:tc>
          <w:tcPr>
            <w:tcW w:w="379" w:type="pct"/>
            <w:tcBorders>
              <w:top w:val="single" w:sz="4" w:space="0" w:color="auto"/>
              <w:left w:val="nil"/>
              <w:bottom w:val="single" w:sz="4" w:space="0" w:color="auto"/>
              <w:right w:val="nil"/>
            </w:tcBorders>
            <w:shd w:val="clear" w:color="auto" w:fill="auto"/>
            <w:noWrap/>
            <w:vAlign w:val="bottom"/>
            <w:hideMark/>
          </w:tcPr>
          <w:p w14:paraId="00E4D86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23.24</w:t>
            </w:r>
          </w:p>
        </w:tc>
        <w:tc>
          <w:tcPr>
            <w:tcW w:w="378" w:type="pct"/>
            <w:tcBorders>
              <w:top w:val="single" w:sz="4" w:space="0" w:color="auto"/>
              <w:left w:val="nil"/>
              <w:bottom w:val="single" w:sz="4" w:space="0" w:color="auto"/>
              <w:right w:val="nil"/>
            </w:tcBorders>
            <w:shd w:val="clear" w:color="auto" w:fill="auto"/>
            <w:noWrap/>
            <w:vAlign w:val="bottom"/>
            <w:hideMark/>
          </w:tcPr>
          <w:p w14:paraId="664F79F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73.75</w:t>
            </w:r>
          </w:p>
        </w:tc>
        <w:tc>
          <w:tcPr>
            <w:tcW w:w="381" w:type="pct"/>
            <w:tcBorders>
              <w:top w:val="single" w:sz="4" w:space="0" w:color="auto"/>
              <w:left w:val="nil"/>
              <w:bottom w:val="single" w:sz="4" w:space="0" w:color="auto"/>
              <w:right w:val="nil"/>
            </w:tcBorders>
            <w:shd w:val="clear" w:color="auto" w:fill="auto"/>
            <w:noWrap/>
            <w:vAlign w:val="bottom"/>
            <w:hideMark/>
          </w:tcPr>
          <w:p w14:paraId="120673D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15.32</w:t>
            </w:r>
          </w:p>
        </w:tc>
        <w:tc>
          <w:tcPr>
            <w:tcW w:w="378" w:type="pct"/>
            <w:tcBorders>
              <w:top w:val="single" w:sz="4" w:space="0" w:color="auto"/>
              <w:left w:val="nil"/>
              <w:bottom w:val="single" w:sz="4" w:space="0" w:color="auto"/>
              <w:right w:val="nil"/>
            </w:tcBorders>
            <w:shd w:val="clear" w:color="auto" w:fill="auto"/>
            <w:noWrap/>
            <w:vAlign w:val="bottom"/>
            <w:hideMark/>
          </w:tcPr>
          <w:p w14:paraId="1C97ABA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{"citationID":"a23mij6dtl3","properties":{"formattedCitation":"[180]","plainCitation":"[180]","noteIndex":0},"citationItems":[{"id":216,"uris":["http://zotero.org/users/12909065/items/QINRJZTR"],"itemData":{"id":216,"type":"article-journal","abstract":"Efficient organic solar cells (OSCs) are fabricated using polymer PM6 as donor, and IPTBO-4Cl and MF1 as acceptors. The power conversion efficiency (PCE) of IPTBO-4Cl based and MF1 based binary OSCs individually arrive to 14.94% and 12.07%, exhibiting markedly different short circuit current density (JSC) of 23.18 mA cm−2 versus 17.01 mA cm−2, fill factor (FF) of 72.17% versus 78.18% and similar open circuit voltage (VOC) of 0.893 V versus 0.908 V. The two acceptors, IPTBO-4Cl and MF1, have similar lowest unoccupied molecular orbital levels, which is beneficial for efficient electron transport in the ternary active layer. The PCE of optimized ternary OSCs arrives to 15.74% by incorporating 30 wt% MF1 in acceptors, resulting from the simultaneously increased JSC of 23.20 mA cm−2, VOC of 0.897 V, and FF of 75.64% in comparison with IPTBO-4Cl based binary OSCs. The gradually increased FFs of ternary OSCs indicate the well-optimized phase separation and molecular arrangement with MF1 as morphology regulator. This work may provide a new viewpoint for selecting an appropriate third component to achieve efficient ternary OSCs from materials and photovoltaic parameters of two binary OSCs. © 2020 WILEY-VCH Verlag GmbH &amp; Co. KGaA, Weinheim","archive":"Scopus","container-title":"Small","DOI":"10.1002/smll.202000441","ISSN":"1613-6810","issue":"17","language":"English","source":"Scopus","title":"Over 15.7% Efficiency of Ternary Organic Solar Cells by Employing Two Compatible Acceptors with Similar LUMO Levels","volume":"16","author":[{"family":"Hu","given":"Z."},{"family":"Yang","given":"L."},{"family":"Gao","given":"W."},{"family":"Gao","given":"J."},{"family":"Xu","given":"C."},{"family":"Zhang","given":"X."},{"family":"Wang","given":"Z."},{"family":"Tang","given":"W."},{"family":"Yang","given":"C."},{"family":"Zhang","given":"F."}],"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[180]</w:t>
            </w:r>
            <w:r w:rsidRPr="00B55044">
              <w:rPr>
                <w:rFonts w:eastAsia="Times New Roman"/>
                <w:color w:val="0000FF"/>
                <w:sz w:val="16"/>
                <w:szCs w:val="16"/>
              </w:rPr>
              <w:fldChar w:fldCharType="end"/>
            </w:r>
          </w:p>
        </w:tc>
      </w:tr>
      <w:tr w:rsidR="00D47774" w:rsidRPr="00B55044" w14:paraId="75C6756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A70B16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326</w:t>
            </w:r>
          </w:p>
        </w:tc>
        <w:tc>
          <w:tcPr>
            <w:tcW w:w="1525" w:type="pct"/>
            <w:tcBorders>
              <w:top w:val="single" w:sz="4" w:space="0" w:color="auto"/>
              <w:left w:val="nil"/>
              <w:bottom w:val="single" w:sz="4" w:space="0" w:color="auto"/>
              <w:right w:val="nil"/>
            </w:tcBorders>
            <w:shd w:val="clear" w:color="auto" w:fill="auto"/>
            <w:noWrap/>
            <w:vAlign w:val="bottom"/>
            <w:hideMark/>
          </w:tcPr>
          <w:p w14:paraId="2053828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3EC2876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PM6:IPTBO-4Cl:MF1 (20%)</w:t>
            </w:r>
          </w:p>
        </w:tc>
        <w:tc>
          <w:tcPr>
            <w:tcW w:w="379" w:type="pct"/>
            <w:tcBorders>
              <w:top w:val="single" w:sz="4" w:space="0" w:color="auto"/>
              <w:left w:val="nil"/>
              <w:bottom w:val="single" w:sz="4" w:space="0" w:color="auto"/>
              <w:right w:val="nil"/>
            </w:tcBorders>
            <w:shd w:val="clear" w:color="auto" w:fill="auto"/>
            <w:noWrap/>
            <w:vAlign w:val="bottom"/>
            <w:hideMark/>
          </w:tcPr>
          <w:p w14:paraId="47D0AE1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0.896</w:t>
            </w:r>
          </w:p>
        </w:tc>
        <w:tc>
          <w:tcPr>
            <w:tcW w:w="379" w:type="pct"/>
            <w:tcBorders>
              <w:top w:val="single" w:sz="4" w:space="0" w:color="auto"/>
              <w:left w:val="nil"/>
              <w:bottom w:val="single" w:sz="4" w:space="0" w:color="auto"/>
              <w:right w:val="nil"/>
            </w:tcBorders>
            <w:shd w:val="clear" w:color="auto" w:fill="auto"/>
            <w:noWrap/>
            <w:vAlign w:val="bottom"/>
            <w:hideMark/>
          </w:tcPr>
          <w:p w14:paraId="2BB4086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23.33</w:t>
            </w:r>
          </w:p>
        </w:tc>
        <w:tc>
          <w:tcPr>
            <w:tcW w:w="378" w:type="pct"/>
            <w:tcBorders>
              <w:top w:val="single" w:sz="4" w:space="0" w:color="auto"/>
              <w:left w:val="nil"/>
              <w:bottom w:val="single" w:sz="4" w:space="0" w:color="auto"/>
              <w:right w:val="nil"/>
            </w:tcBorders>
            <w:shd w:val="clear" w:color="auto" w:fill="auto"/>
            <w:noWrap/>
            <w:vAlign w:val="bottom"/>
            <w:hideMark/>
          </w:tcPr>
          <w:p w14:paraId="34B2C23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74.66</w:t>
            </w:r>
          </w:p>
        </w:tc>
        <w:tc>
          <w:tcPr>
            <w:tcW w:w="381" w:type="pct"/>
            <w:tcBorders>
              <w:top w:val="single" w:sz="4" w:space="0" w:color="auto"/>
              <w:left w:val="nil"/>
              <w:bottom w:val="single" w:sz="4" w:space="0" w:color="auto"/>
              <w:right w:val="nil"/>
            </w:tcBorders>
            <w:shd w:val="clear" w:color="auto" w:fill="auto"/>
            <w:noWrap/>
            <w:vAlign w:val="bottom"/>
            <w:hideMark/>
          </w:tcPr>
          <w:p w14:paraId="48D1824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15.53</w:t>
            </w:r>
          </w:p>
        </w:tc>
        <w:tc>
          <w:tcPr>
            <w:tcW w:w="378" w:type="pct"/>
            <w:tcBorders>
              <w:top w:val="single" w:sz="4" w:space="0" w:color="auto"/>
              <w:left w:val="nil"/>
              <w:bottom w:val="single" w:sz="4" w:space="0" w:color="auto"/>
              <w:right w:val="nil"/>
            </w:tcBorders>
            <w:shd w:val="clear" w:color="auto" w:fill="auto"/>
            <w:noWrap/>
            <w:vAlign w:val="bottom"/>
            <w:hideMark/>
          </w:tcPr>
          <w:p w14:paraId="2880F1B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{"citationID":"asu99j18i9","properties":{"formattedCitation":"[180]","plainCitation":"[180]","noteIndex":0},"citationItems":[{"id":216,"uris":["http://zotero.org/users/12909065/items/QINRJZTR"],"itemData":{"id":216,"type":"article-journal","abstract":"Efficient organic solar cells (OSCs) are fabricated using polymer PM6 as donor, and IPTBO-4Cl and MF1 as acceptors. The power conversion efficiency (PCE) of IPTBO-4Cl based and MF1 based binary OSCs individually arrive to 14.94% and 12.07%, exhibiting markedly different short circuit current density (JSC) of 23.18 mA cm−2 versus 17.01 mA cm−2, fill factor (FF) of 72.17% versus 78.18% and similar open circuit voltage (VOC) of 0.893 V versus 0.908 V. The two acceptors, IPTBO-4Cl and MF1, have similar lowest unoccupied molecular orbital levels, which is beneficial for efficient electron transport in the ternary active layer. The PCE of optimized ternary OSCs arrives to 15.74% by incorporating 30 wt% MF1 in acceptors, resulting from the simultaneously increased JSC of 23.20 mA cm−2, VOC of 0.897 V, and FF of 75.64% in comparison with IPTBO-4Cl based binary OSCs. The gradually increased FFs of ternary OSCs indicate the well-optimized phase separation and molecular arrangement with MF1 as morphology regulator. This work may provide a new viewpoint for selecting an appropriate third component to achieve efficient ternary OSCs from materials and photovoltaic parameters of two binary OSCs. © 2020 WILEY-VCH Verlag GmbH &amp; Co. KGaA, Weinheim","archive":"Scopus","container-title":"Small","DOI":"10.1002/smll.202000441","ISSN":"1613-6810","issue":"17","language":"English","source":"Scopus","title":"Over 15.7% Efficiency of Ternary Organic Solar Cells by Employing Two Compatible Acceptors with Similar LUMO Levels","volume":"16","author":[{"family":"Hu","given":"Z."},{"family":"Yang","given":"L."},{"family":"Gao","given":"W."},{"family":"Gao","given":"J."},{"family":"Xu","given":"C."},{"family":"Zhang","given":"X."},{"family":"Wang","given":"Z."},{"family":"Tang","given":"W."},{"family":"Yang","given":"C."},{"family":"Zhang","given":"F."}],"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[180]</w:t>
            </w:r>
            <w:r w:rsidRPr="00B55044">
              <w:rPr>
                <w:rFonts w:eastAsia="Times New Roman"/>
                <w:color w:val="0000FF"/>
                <w:sz w:val="16"/>
                <w:szCs w:val="16"/>
              </w:rPr>
              <w:fldChar w:fldCharType="end"/>
            </w:r>
          </w:p>
        </w:tc>
      </w:tr>
      <w:tr w:rsidR="00D47774" w:rsidRPr="00B55044" w14:paraId="3E65975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9924AB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327</w:t>
            </w:r>
          </w:p>
        </w:tc>
        <w:tc>
          <w:tcPr>
            <w:tcW w:w="1525" w:type="pct"/>
            <w:tcBorders>
              <w:top w:val="single" w:sz="4" w:space="0" w:color="auto"/>
              <w:left w:val="nil"/>
              <w:bottom w:val="single" w:sz="4" w:space="0" w:color="auto"/>
              <w:right w:val="nil"/>
            </w:tcBorders>
            <w:shd w:val="clear" w:color="auto" w:fill="auto"/>
            <w:noWrap/>
            <w:vAlign w:val="bottom"/>
            <w:hideMark/>
          </w:tcPr>
          <w:p w14:paraId="5C49B3D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1284F2A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PM6:IPTBO-4Cl:MF1 (30%)</w:t>
            </w:r>
          </w:p>
        </w:tc>
        <w:tc>
          <w:tcPr>
            <w:tcW w:w="379" w:type="pct"/>
            <w:tcBorders>
              <w:top w:val="single" w:sz="4" w:space="0" w:color="auto"/>
              <w:left w:val="nil"/>
              <w:bottom w:val="single" w:sz="4" w:space="0" w:color="auto"/>
              <w:right w:val="nil"/>
            </w:tcBorders>
            <w:shd w:val="clear" w:color="auto" w:fill="auto"/>
            <w:noWrap/>
            <w:vAlign w:val="bottom"/>
            <w:hideMark/>
          </w:tcPr>
          <w:p w14:paraId="115DEFA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0.897</w:t>
            </w:r>
          </w:p>
        </w:tc>
        <w:tc>
          <w:tcPr>
            <w:tcW w:w="379" w:type="pct"/>
            <w:tcBorders>
              <w:top w:val="single" w:sz="4" w:space="0" w:color="auto"/>
              <w:left w:val="nil"/>
              <w:bottom w:val="single" w:sz="4" w:space="0" w:color="auto"/>
              <w:right w:val="nil"/>
            </w:tcBorders>
            <w:shd w:val="clear" w:color="auto" w:fill="auto"/>
            <w:noWrap/>
            <w:vAlign w:val="bottom"/>
            <w:hideMark/>
          </w:tcPr>
          <w:p w14:paraId="5BC06EC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23.2</w:t>
            </w:r>
          </w:p>
        </w:tc>
        <w:tc>
          <w:tcPr>
            <w:tcW w:w="378" w:type="pct"/>
            <w:tcBorders>
              <w:top w:val="single" w:sz="4" w:space="0" w:color="auto"/>
              <w:left w:val="nil"/>
              <w:bottom w:val="single" w:sz="4" w:space="0" w:color="auto"/>
              <w:right w:val="nil"/>
            </w:tcBorders>
            <w:shd w:val="clear" w:color="auto" w:fill="auto"/>
            <w:noWrap/>
            <w:vAlign w:val="bottom"/>
            <w:hideMark/>
          </w:tcPr>
          <w:p w14:paraId="0065B0B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75.64</w:t>
            </w:r>
          </w:p>
        </w:tc>
        <w:tc>
          <w:tcPr>
            <w:tcW w:w="381" w:type="pct"/>
            <w:tcBorders>
              <w:top w:val="single" w:sz="4" w:space="0" w:color="auto"/>
              <w:left w:val="nil"/>
              <w:bottom w:val="single" w:sz="4" w:space="0" w:color="auto"/>
              <w:right w:val="nil"/>
            </w:tcBorders>
            <w:shd w:val="clear" w:color="auto" w:fill="auto"/>
            <w:noWrap/>
            <w:vAlign w:val="bottom"/>
            <w:hideMark/>
          </w:tcPr>
          <w:p w14:paraId="583924B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15.64</w:t>
            </w:r>
          </w:p>
        </w:tc>
        <w:tc>
          <w:tcPr>
            <w:tcW w:w="378" w:type="pct"/>
            <w:tcBorders>
              <w:top w:val="single" w:sz="4" w:space="0" w:color="auto"/>
              <w:left w:val="nil"/>
              <w:bottom w:val="single" w:sz="4" w:space="0" w:color="auto"/>
              <w:right w:val="nil"/>
            </w:tcBorders>
            <w:shd w:val="clear" w:color="auto" w:fill="auto"/>
            <w:noWrap/>
            <w:vAlign w:val="bottom"/>
            <w:hideMark/>
          </w:tcPr>
          <w:p w14:paraId="234237D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{"citationID":"abrn8egrms","properties":{"formattedCitation":"[180]","plainCitation":"[180]","noteIndex":0},"citationItems":[{"id":216,"uris":["http://zotero.org/users/12909065/items/QINRJZTR"],"itemData":{"id":216,"type":"article-journal","abstract":"Efficient organic solar cells (OSCs) are fabricated using polymer PM6 as donor, and IPTBO-4Cl and MF1 as acceptors. The power conversion efficiency (PCE) of IPTBO-4Cl based and MF1 based binary OSCs individually arrive to 14.94% and 12.07%, exhibiting markedly different short circuit current density (JSC) of 23.18 mA cm−2 versus 17.01 mA cm−2, fill factor (FF) of 72.17% versus 78.18% and similar open circuit voltage (VOC) of 0.893 V versus 0.908 V. The two acceptors, IPTBO-4Cl and MF1, have similar lowest unoccupied molecular orbital levels, which is beneficial for efficient electron transport in the ternary active layer. The PCE of optimized ternary OSCs arrives to 15.74% by incorporating 30 wt% MF1 in acceptors, resulting from the simultaneously increased JSC of 23.20 mA cm−2, VOC of 0.897 V, and FF of 75.64% in comparison with IPTBO-4Cl based binary OSCs. The gradually increased FFs of ternary OSCs indicate the well-optimized phase separation and molecular arrangement with MF1 as morphology regulator. This work may provide a new viewpoint for selecting an appropriate third component to achieve efficient ternary OSCs from materials and photovoltaic parameters of two binary OSCs. © 2020 WILEY-VCH Verlag GmbH &amp; Co. KGaA, Weinheim","archive":"Scopus","container-title":"Small","DOI":"10.1002/smll.202000441","ISSN":"1613-6810","issue":"17","language":"English","source":"Scopus","title":"Over 15.7% Efficiency of Ternary Organic Solar Cells by Employing Two Compatible Acceptors with Similar LUMO Levels","volume":"16","author":[{"family":"Hu","given":"Z."},{"family":"Yang","given":"L."},{"family":"Gao","given":"W."},{"family":"Gao","given":"J."},{"family":"Xu","given":"C."},{"family":"Zhang","given":"X."},{"family":"Wang","given":"Z."},{"family":"Tang","given":"W."},{"family":"Yang","given":"C."},{"family":"Zhang","given":"F."}],"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[180]</w:t>
            </w:r>
            <w:r w:rsidRPr="00B55044">
              <w:rPr>
                <w:rFonts w:eastAsia="Times New Roman"/>
                <w:color w:val="0000FF"/>
                <w:sz w:val="16"/>
                <w:szCs w:val="16"/>
              </w:rPr>
              <w:fldChar w:fldCharType="end"/>
            </w:r>
          </w:p>
        </w:tc>
      </w:tr>
      <w:tr w:rsidR="00D47774" w:rsidRPr="00B55044" w14:paraId="388845B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A6BA2B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328</w:t>
            </w:r>
          </w:p>
        </w:tc>
        <w:tc>
          <w:tcPr>
            <w:tcW w:w="1525" w:type="pct"/>
            <w:tcBorders>
              <w:top w:val="single" w:sz="4" w:space="0" w:color="auto"/>
              <w:left w:val="nil"/>
              <w:bottom w:val="single" w:sz="4" w:space="0" w:color="auto"/>
              <w:right w:val="nil"/>
            </w:tcBorders>
            <w:shd w:val="clear" w:color="auto" w:fill="auto"/>
            <w:noWrap/>
            <w:vAlign w:val="bottom"/>
            <w:hideMark/>
          </w:tcPr>
          <w:p w14:paraId="6E4E5CE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4F5032D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PM6:IPTBO-4Cl:MF1 (40%)</w:t>
            </w:r>
          </w:p>
        </w:tc>
        <w:tc>
          <w:tcPr>
            <w:tcW w:w="379" w:type="pct"/>
            <w:tcBorders>
              <w:top w:val="single" w:sz="4" w:space="0" w:color="auto"/>
              <w:left w:val="nil"/>
              <w:bottom w:val="single" w:sz="4" w:space="0" w:color="auto"/>
              <w:right w:val="nil"/>
            </w:tcBorders>
            <w:shd w:val="clear" w:color="auto" w:fill="auto"/>
            <w:noWrap/>
            <w:vAlign w:val="bottom"/>
            <w:hideMark/>
          </w:tcPr>
          <w:p w14:paraId="52BB18E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0.899</w:t>
            </w:r>
          </w:p>
        </w:tc>
        <w:tc>
          <w:tcPr>
            <w:tcW w:w="379" w:type="pct"/>
            <w:tcBorders>
              <w:top w:val="single" w:sz="4" w:space="0" w:color="auto"/>
              <w:left w:val="nil"/>
              <w:bottom w:val="single" w:sz="4" w:space="0" w:color="auto"/>
              <w:right w:val="nil"/>
            </w:tcBorders>
            <w:shd w:val="clear" w:color="auto" w:fill="auto"/>
            <w:noWrap/>
            <w:vAlign w:val="bottom"/>
            <w:hideMark/>
          </w:tcPr>
          <w:p w14:paraId="6EB6411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22.73</w:t>
            </w:r>
          </w:p>
        </w:tc>
        <w:tc>
          <w:tcPr>
            <w:tcW w:w="378" w:type="pct"/>
            <w:tcBorders>
              <w:top w:val="single" w:sz="4" w:space="0" w:color="auto"/>
              <w:left w:val="nil"/>
              <w:bottom w:val="single" w:sz="4" w:space="0" w:color="auto"/>
              <w:right w:val="nil"/>
            </w:tcBorders>
            <w:shd w:val="clear" w:color="auto" w:fill="auto"/>
            <w:noWrap/>
            <w:vAlign w:val="bottom"/>
            <w:hideMark/>
          </w:tcPr>
          <w:p w14:paraId="60ECB30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75.93</w:t>
            </w:r>
          </w:p>
        </w:tc>
        <w:tc>
          <w:tcPr>
            <w:tcW w:w="381" w:type="pct"/>
            <w:tcBorders>
              <w:top w:val="single" w:sz="4" w:space="0" w:color="auto"/>
              <w:left w:val="nil"/>
              <w:bottom w:val="single" w:sz="4" w:space="0" w:color="auto"/>
              <w:right w:val="nil"/>
            </w:tcBorders>
            <w:shd w:val="clear" w:color="auto" w:fill="auto"/>
            <w:noWrap/>
            <w:vAlign w:val="bottom"/>
            <w:hideMark/>
          </w:tcPr>
          <w:p w14:paraId="739DD88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15.45</w:t>
            </w:r>
          </w:p>
        </w:tc>
        <w:tc>
          <w:tcPr>
            <w:tcW w:w="378" w:type="pct"/>
            <w:tcBorders>
              <w:top w:val="single" w:sz="4" w:space="0" w:color="auto"/>
              <w:left w:val="nil"/>
              <w:bottom w:val="single" w:sz="4" w:space="0" w:color="auto"/>
              <w:right w:val="nil"/>
            </w:tcBorders>
            <w:shd w:val="clear" w:color="auto" w:fill="auto"/>
            <w:noWrap/>
            <w:vAlign w:val="bottom"/>
            <w:hideMark/>
          </w:tcPr>
          <w:p w14:paraId="0987C47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{"citationID":"a2di11844a1","properties":{"formattedCitation":"[180]","plainCitation":"[180]","noteIndex":0},"citationItems":[{"id":216,"uris":["http://zotero.org/users/12909065/items/QINRJZTR"],"itemData":{"id":216,"type":"article-journal","abstract":"Efficient organic solar cells (OSCs) are fabricated using polymer PM6 as donor, and IPTBO-4Cl and MF1 as acceptors. The power conversion efficiency (PCE) of IPTBO-4Cl based and MF1 based binary OSCs individually arrive to 14.94% and 12.07%, exhibiting markedly different short circuit current density (JSC) of 23.18 mA cm−2 versus 17.01 mA cm−2, fill factor (FF) of 72.17% versus 78.18% and similar open circuit voltage (VOC) of 0.893 V versus 0.908 V. The two acceptors, IPTBO-4Cl and MF1, have similar lowest unoccupied molecular orbital levels, which is beneficial for efficient electron transport in the ternary active layer. The PCE of optimized ternary OSCs arrives to 15.74% by incorporating 30 wt% MF1 in acceptors, resulting from the simultaneously increased JSC of 23.20 mA cm−2, VOC of 0.897 V, and FF of 75.64% in comparison with IPTBO-4Cl based binary OSCs. The gradually increased FFs of ternary OSCs indicate the well-optimized phase separation and molecular arrangement with MF1 as morphology regulator. This work may provide a new viewpoint for selecting an appropriate third component to achieve efficient ternary OSCs from materials and photovoltaic parameters of two binary OSCs. © 2020 WILEY-VCH Verlag GmbH &amp; Co. KGaA, Weinheim","archive":"Scopus","container-title":"Small","DOI":"10.1002/smll.202000441","ISSN":"1613-6810","issue":"17","language":"English","source":"Scopus","title":"Over 15.7% Efficiency of Ternary Organic Solar Cells by Employing Two Compatible Acceptors with Similar LUMO Levels","volume":"16","author":[{"family":"Hu","given":"Z."},{"family":"Yang","given":"L."},{"family":"Gao","given":"W."},{"family":"Gao","given":"J."},{"family":"Xu","given":"C."},{"family":"Zhang","given":"X."},{"family":"Wang","given":"Z."},{"family":"Tang","given":"W."},{"family":"Yang","given":"C."},{"family":"Zhang","given":"F."}],"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[180]</w:t>
            </w:r>
            <w:r w:rsidRPr="00B55044">
              <w:rPr>
                <w:rFonts w:eastAsia="Times New Roman"/>
                <w:color w:val="0000FF"/>
                <w:sz w:val="16"/>
                <w:szCs w:val="16"/>
              </w:rPr>
              <w:fldChar w:fldCharType="end"/>
            </w:r>
          </w:p>
        </w:tc>
      </w:tr>
      <w:tr w:rsidR="00D47774" w:rsidRPr="00B55044" w14:paraId="7A048E1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EE78AC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329</w:t>
            </w:r>
          </w:p>
        </w:tc>
        <w:tc>
          <w:tcPr>
            <w:tcW w:w="1525" w:type="pct"/>
            <w:tcBorders>
              <w:top w:val="single" w:sz="4" w:space="0" w:color="auto"/>
              <w:left w:val="nil"/>
              <w:bottom w:val="single" w:sz="4" w:space="0" w:color="auto"/>
              <w:right w:val="nil"/>
            </w:tcBorders>
            <w:shd w:val="clear" w:color="auto" w:fill="auto"/>
            <w:noWrap/>
            <w:vAlign w:val="bottom"/>
            <w:hideMark/>
          </w:tcPr>
          <w:p w14:paraId="73C47D9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5413D12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PM6:IPTBO-4Cl:MF1 (50%)</w:t>
            </w:r>
          </w:p>
        </w:tc>
        <w:tc>
          <w:tcPr>
            <w:tcW w:w="379" w:type="pct"/>
            <w:tcBorders>
              <w:top w:val="single" w:sz="4" w:space="0" w:color="auto"/>
              <w:left w:val="nil"/>
              <w:bottom w:val="single" w:sz="4" w:space="0" w:color="auto"/>
              <w:right w:val="nil"/>
            </w:tcBorders>
            <w:shd w:val="clear" w:color="auto" w:fill="auto"/>
            <w:noWrap/>
            <w:vAlign w:val="bottom"/>
            <w:hideMark/>
          </w:tcPr>
          <w:p w14:paraId="174B3B8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0.901</w:t>
            </w:r>
          </w:p>
        </w:tc>
        <w:tc>
          <w:tcPr>
            <w:tcW w:w="379" w:type="pct"/>
            <w:tcBorders>
              <w:top w:val="single" w:sz="4" w:space="0" w:color="auto"/>
              <w:left w:val="nil"/>
              <w:bottom w:val="single" w:sz="4" w:space="0" w:color="auto"/>
              <w:right w:val="nil"/>
            </w:tcBorders>
            <w:shd w:val="clear" w:color="auto" w:fill="auto"/>
            <w:noWrap/>
            <w:vAlign w:val="bottom"/>
            <w:hideMark/>
          </w:tcPr>
          <w:p w14:paraId="3C368D2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22.3</w:t>
            </w:r>
          </w:p>
        </w:tc>
        <w:tc>
          <w:tcPr>
            <w:tcW w:w="378" w:type="pct"/>
            <w:tcBorders>
              <w:top w:val="single" w:sz="4" w:space="0" w:color="auto"/>
              <w:left w:val="nil"/>
              <w:bottom w:val="single" w:sz="4" w:space="0" w:color="auto"/>
              <w:right w:val="nil"/>
            </w:tcBorders>
            <w:shd w:val="clear" w:color="auto" w:fill="auto"/>
            <w:noWrap/>
            <w:vAlign w:val="bottom"/>
            <w:hideMark/>
          </w:tcPr>
          <w:p w14:paraId="13D190A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76.12</w:t>
            </w:r>
          </w:p>
        </w:tc>
        <w:tc>
          <w:tcPr>
            <w:tcW w:w="381" w:type="pct"/>
            <w:tcBorders>
              <w:top w:val="single" w:sz="4" w:space="0" w:color="auto"/>
              <w:left w:val="nil"/>
              <w:bottom w:val="single" w:sz="4" w:space="0" w:color="auto"/>
              <w:right w:val="nil"/>
            </w:tcBorders>
            <w:shd w:val="clear" w:color="auto" w:fill="auto"/>
            <w:noWrap/>
            <w:vAlign w:val="bottom"/>
            <w:hideMark/>
          </w:tcPr>
          <w:p w14:paraId="69A6D95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15.21</w:t>
            </w:r>
          </w:p>
        </w:tc>
        <w:tc>
          <w:tcPr>
            <w:tcW w:w="378" w:type="pct"/>
            <w:tcBorders>
              <w:top w:val="single" w:sz="4" w:space="0" w:color="auto"/>
              <w:left w:val="nil"/>
              <w:bottom w:val="single" w:sz="4" w:space="0" w:color="auto"/>
              <w:right w:val="nil"/>
            </w:tcBorders>
            <w:shd w:val="clear" w:color="auto" w:fill="auto"/>
            <w:noWrap/>
            <w:vAlign w:val="bottom"/>
            <w:hideMark/>
          </w:tcPr>
          <w:p w14:paraId="40EDB34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{"citationID":"ademf3nuih","properties":{"formattedCitation":"[180]","plainCitation":"[180]","noteIndex":0},"citationItems":[{"id":216,"uris":["http://zotero.org/users/12909065/items/QINRJZTR"],"itemData":{"id":216,"type":"article-journal","abstract":"Efficient organic solar cells (OSCs) are fabricated using polymer PM6 as donor, and IPTBO-4Cl and MF1 as acceptors. The power conversion efficiency (PCE) of IPTBO-4Cl based and MF1 based binary OSCs individually arrive to 14.94% and 12.07%, exhibiting markedly different short circuit current density (JSC) of 23.18 mA cm−2 versus 17.01 mA cm−2, fill factor (FF) of 72.17% versus 78.18% and similar open circuit voltage (VOC) of 0.893 V versus 0.908 V. The two acceptors, IPTBO-4Cl and MF1, have similar lowest unoccupied molecular orbital levels, which is beneficial for efficient electron transport in the ternary active layer. The PCE of optimized ternary OSCs arrives to 15.74% by incorporating 30 wt% MF1 in acceptors, resulting from the simultaneously increased JSC of 23.20 mA cm−2, VOC of 0.897 V, and FF of 75.64% in comparison with IPTBO-4Cl based binary OSCs. The gradually increased FFs of ternary OSCs indicate the well-optimized phase separation and molecular arrangement with MF1 as morphology regulator. This work may provide a new viewpoint for selecting an appropriate third component to achieve efficient ternary OSCs from materials and photovoltaic parameters of two binary OSCs. © 2020 WILEY-VCH Verlag GmbH &amp; Co. KGaA, Weinheim","archive":"Scopus","container-title":"Small","DOI":"10.1002/smll.202000441","ISSN":"1613-6810","issue":"17","language":"English","source":"Scopus","title":"Over 15.7% Efficiency of Ternary Organic Solar Cells by Employing Two Compatible Acceptors with Similar LUMO Levels","volume":"16","author":[{"family":"Hu","given":"Z."},{"family":"Yang","given":"L."},{"family":"Gao","given":"W."},{"family":"Gao","given":"J."},{"family":"Xu","given":"C."},{"family":"Zhang","given":"X."},{"family":"Wang","given":"Z."},{"family":"Tang","given":"W."},{"family":"Yang","given":"C."},{"family":"Zhang","given":"F."}],"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[180]</w:t>
            </w:r>
            <w:r w:rsidRPr="00B55044">
              <w:rPr>
                <w:rFonts w:eastAsia="Times New Roman"/>
                <w:color w:val="0000FF"/>
                <w:sz w:val="16"/>
                <w:szCs w:val="16"/>
              </w:rPr>
              <w:fldChar w:fldCharType="end"/>
            </w:r>
          </w:p>
        </w:tc>
      </w:tr>
      <w:tr w:rsidR="00D47774" w:rsidRPr="00B55044" w14:paraId="2916DD1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BCC625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330</w:t>
            </w:r>
          </w:p>
        </w:tc>
        <w:tc>
          <w:tcPr>
            <w:tcW w:w="1525" w:type="pct"/>
            <w:tcBorders>
              <w:top w:val="single" w:sz="4" w:space="0" w:color="auto"/>
              <w:left w:val="nil"/>
              <w:bottom w:val="single" w:sz="4" w:space="0" w:color="auto"/>
              <w:right w:val="nil"/>
            </w:tcBorders>
            <w:shd w:val="clear" w:color="auto" w:fill="auto"/>
            <w:noWrap/>
            <w:vAlign w:val="bottom"/>
            <w:hideMark/>
          </w:tcPr>
          <w:p w14:paraId="0AE4CCC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0690410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PM6:IPTBO-4Cl:MF1 (70%)</w:t>
            </w:r>
          </w:p>
        </w:tc>
        <w:tc>
          <w:tcPr>
            <w:tcW w:w="379" w:type="pct"/>
            <w:tcBorders>
              <w:top w:val="single" w:sz="4" w:space="0" w:color="auto"/>
              <w:left w:val="nil"/>
              <w:bottom w:val="single" w:sz="4" w:space="0" w:color="auto"/>
              <w:right w:val="nil"/>
            </w:tcBorders>
            <w:shd w:val="clear" w:color="auto" w:fill="auto"/>
            <w:noWrap/>
            <w:vAlign w:val="bottom"/>
            <w:hideMark/>
          </w:tcPr>
          <w:p w14:paraId="671BDB3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0.903</w:t>
            </w:r>
          </w:p>
        </w:tc>
        <w:tc>
          <w:tcPr>
            <w:tcW w:w="379" w:type="pct"/>
            <w:tcBorders>
              <w:top w:val="single" w:sz="4" w:space="0" w:color="auto"/>
              <w:left w:val="nil"/>
              <w:bottom w:val="single" w:sz="4" w:space="0" w:color="auto"/>
              <w:right w:val="nil"/>
            </w:tcBorders>
            <w:shd w:val="clear" w:color="auto" w:fill="auto"/>
            <w:noWrap/>
            <w:vAlign w:val="bottom"/>
            <w:hideMark/>
          </w:tcPr>
          <w:p w14:paraId="32B500B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21.63</w:t>
            </w:r>
          </w:p>
        </w:tc>
        <w:tc>
          <w:tcPr>
            <w:tcW w:w="378" w:type="pct"/>
            <w:tcBorders>
              <w:top w:val="single" w:sz="4" w:space="0" w:color="auto"/>
              <w:left w:val="nil"/>
              <w:bottom w:val="single" w:sz="4" w:space="0" w:color="auto"/>
              <w:right w:val="nil"/>
            </w:tcBorders>
            <w:shd w:val="clear" w:color="auto" w:fill="auto"/>
            <w:noWrap/>
            <w:vAlign w:val="bottom"/>
            <w:hideMark/>
          </w:tcPr>
          <w:p w14:paraId="64E8D6A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76.26</w:t>
            </w:r>
          </w:p>
        </w:tc>
        <w:tc>
          <w:tcPr>
            <w:tcW w:w="381" w:type="pct"/>
            <w:tcBorders>
              <w:top w:val="single" w:sz="4" w:space="0" w:color="auto"/>
              <w:left w:val="nil"/>
              <w:bottom w:val="single" w:sz="4" w:space="0" w:color="auto"/>
              <w:right w:val="nil"/>
            </w:tcBorders>
            <w:shd w:val="clear" w:color="auto" w:fill="auto"/>
            <w:noWrap/>
            <w:vAlign w:val="bottom"/>
            <w:hideMark/>
          </w:tcPr>
          <w:p w14:paraId="53808A2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14.83</w:t>
            </w:r>
          </w:p>
        </w:tc>
        <w:tc>
          <w:tcPr>
            <w:tcW w:w="378" w:type="pct"/>
            <w:tcBorders>
              <w:top w:val="single" w:sz="4" w:space="0" w:color="auto"/>
              <w:left w:val="nil"/>
              <w:bottom w:val="single" w:sz="4" w:space="0" w:color="auto"/>
              <w:right w:val="nil"/>
            </w:tcBorders>
            <w:shd w:val="clear" w:color="auto" w:fill="auto"/>
            <w:noWrap/>
            <w:vAlign w:val="bottom"/>
            <w:hideMark/>
          </w:tcPr>
          <w:p w14:paraId="0540FC2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{"citationID":"a5gh2vp0i6","properties":{"formattedCitation":"[180]","plainCitation":"[180]","noteIndex":0},"citationItems":[{"id":216,"uris":["http://zotero.org/users/12909065/items/QINRJZTR"],"itemData":{"id":216,"type":"article-journal","abstract":"Efficient organic solar cells (OSCs) are fabricated using polymer PM6 as donor, and IPTBO-4Cl and MF1 as acceptors. The power conversion efficiency (PCE) of IPTBO-4Cl based and MF1 based binary OSCs individually arrive to 14.94% and 12.07%, exhibiting markedly different short circuit current density (JSC) of 23.18 mA cm−2 versus 17.01 mA cm−2, fill factor (FF) of 72.17% versus 78.18% and similar open circuit voltage (VOC) of 0.893 V versus 0.908 V. The two acceptors, IPTBO-4Cl and MF1, have similar lowest unoccupied molecular orbital levels, which is beneficial for efficient electron transport in the ternary active layer. The PCE of optimized ternary OSCs arrives to 15.74% by incorporating 30 wt% MF1 in acceptors, resulting from the simultaneously increased JSC of 23.20 mA cm−2, VOC of 0.897 V, and FF of 75.64% in comparison with IPTBO-4Cl based binary OSCs. The gradually increased FFs of ternary OSCs indicate the well-optimized phase separation and molecular arrangement with MF1 as morphology regulator. This work may provide a new viewpoint for selecting an appropriate third component to achieve efficient ternary OSCs from materials and photovoltaic parameters of two binary OSCs. © 2020 WILEY-VCH Verlag GmbH &amp; Co. KGaA, Weinheim","archive":"Scopus","container-title":"Small","DOI":"10.1002/smll.202000441","ISSN":"1613-6810","issue":"17","language":"English","source":"Scopus","title":"Over 15.7% Efficiency of Ternary Organic Solar Cells by Employing Two Compatible Acceptors with Similar LUMO Levels","volume":"16","author":[{"family":"Hu","given":"Z."},{"family":"Yang","given":"L."},{"family":"Gao","given":"W."},{"family":"Gao","given":"J."},{"family":"Xu","given":"C."},{"family":"Zhang","given":"X."},{"family":"Wang","given":"Z."},{"family":"Tang","given":"W."},{"family":"Yang","given":"C."},{"family":"Zhang","given":"F."}],"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[180]</w:t>
            </w:r>
            <w:r w:rsidRPr="00B55044">
              <w:rPr>
                <w:rFonts w:eastAsia="Times New Roman"/>
                <w:color w:val="0000FF"/>
                <w:sz w:val="16"/>
                <w:szCs w:val="16"/>
              </w:rPr>
              <w:fldChar w:fldCharType="end"/>
            </w:r>
          </w:p>
        </w:tc>
      </w:tr>
      <w:tr w:rsidR="00D47774" w:rsidRPr="00B55044" w14:paraId="702A80F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D2C31D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331</w:t>
            </w:r>
          </w:p>
        </w:tc>
        <w:tc>
          <w:tcPr>
            <w:tcW w:w="1525" w:type="pct"/>
            <w:tcBorders>
              <w:top w:val="single" w:sz="4" w:space="0" w:color="auto"/>
              <w:left w:val="nil"/>
              <w:bottom w:val="single" w:sz="4" w:space="0" w:color="auto"/>
              <w:right w:val="nil"/>
            </w:tcBorders>
            <w:shd w:val="clear" w:color="auto" w:fill="auto"/>
            <w:noWrap/>
            <w:vAlign w:val="bottom"/>
            <w:hideMark/>
          </w:tcPr>
          <w:p w14:paraId="5380DC5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/Al</w:t>
            </w:r>
          </w:p>
        </w:tc>
        <w:tc>
          <w:tcPr>
            <w:tcW w:w="1288" w:type="pct"/>
            <w:tcBorders>
              <w:top w:val="single" w:sz="4" w:space="0" w:color="auto"/>
              <w:left w:val="nil"/>
              <w:bottom w:val="single" w:sz="4" w:space="0" w:color="auto"/>
              <w:right w:val="nil"/>
            </w:tcBorders>
            <w:shd w:val="clear" w:color="auto" w:fill="auto"/>
            <w:noWrap/>
            <w:vAlign w:val="bottom"/>
            <w:hideMark/>
          </w:tcPr>
          <w:p w14:paraId="1191201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BM:BV</w:t>
            </w:r>
          </w:p>
        </w:tc>
        <w:tc>
          <w:tcPr>
            <w:tcW w:w="379" w:type="pct"/>
            <w:tcBorders>
              <w:top w:val="single" w:sz="4" w:space="0" w:color="auto"/>
              <w:left w:val="nil"/>
              <w:bottom w:val="single" w:sz="4" w:space="0" w:color="auto"/>
              <w:right w:val="nil"/>
            </w:tcBorders>
            <w:shd w:val="clear" w:color="auto" w:fill="auto"/>
            <w:noWrap/>
            <w:vAlign w:val="bottom"/>
            <w:hideMark/>
          </w:tcPr>
          <w:p w14:paraId="0789C8B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4BE5AF3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26.3</w:t>
            </w:r>
          </w:p>
        </w:tc>
        <w:tc>
          <w:tcPr>
            <w:tcW w:w="378" w:type="pct"/>
            <w:tcBorders>
              <w:top w:val="single" w:sz="4" w:space="0" w:color="auto"/>
              <w:left w:val="nil"/>
              <w:bottom w:val="single" w:sz="4" w:space="0" w:color="auto"/>
              <w:right w:val="nil"/>
            </w:tcBorders>
            <w:shd w:val="clear" w:color="auto" w:fill="auto"/>
            <w:noWrap/>
            <w:vAlign w:val="bottom"/>
            <w:hideMark/>
          </w:tcPr>
          <w:p w14:paraId="45803E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w:t>
            </w:r>
          </w:p>
        </w:tc>
        <w:tc>
          <w:tcPr>
            <w:tcW w:w="381" w:type="pct"/>
            <w:tcBorders>
              <w:top w:val="single" w:sz="4" w:space="0" w:color="auto"/>
              <w:left w:val="nil"/>
              <w:bottom w:val="single" w:sz="4" w:space="0" w:color="auto"/>
              <w:right w:val="nil"/>
            </w:tcBorders>
            <w:shd w:val="clear" w:color="auto" w:fill="auto"/>
            <w:noWrap/>
            <w:vAlign w:val="bottom"/>
            <w:hideMark/>
          </w:tcPr>
          <w:p w14:paraId="63E4ED5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17.1</w:t>
            </w:r>
          </w:p>
        </w:tc>
        <w:tc>
          <w:tcPr>
            <w:tcW w:w="378" w:type="pct"/>
            <w:tcBorders>
              <w:top w:val="single" w:sz="4" w:space="0" w:color="auto"/>
              <w:left w:val="nil"/>
              <w:bottom w:val="single" w:sz="4" w:space="0" w:color="auto"/>
              <w:right w:val="nil"/>
            </w:tcBorders>
            <w:shd w:val="clear" w:color="auto" w:fill="auto"/>
            <w:noWrap/>
            <w:vAlign w:val="bottom"/>
            <w:hideMark/>
          </w:tcPr>
          <w:p w14:paraId="6071287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{"citationID":"a28a9lroso9","properties":{"formattedCitation":"[181]","plainCitation":"[181]","noteIndex":0},"citationItems":[{"id":215,"uris":["http://zotero.org/users/12909065/items/PGVDRE4G"],"itemData":{"id":215,"type":"article-journal","abstract":"Molecular doping is often used in organic semiconductors to tune their (opto)electronic properties. Despite its versatility, however, its application in organic photovoltaics (OPVs) remains limited and restricted to p-type dopants. In an effort to control the charge transport within the bulk-heterojunction (BHJ) of OPVs, the n-type dopant benzyl viologen (BV) is incorporated in a BHJ composed of the donor polymer PM6 and the small-molecule acceptor IT-4F. The power conversion efficiency (PCE) of the cells is found to increase from 13.2% to 14.4% upon addition of 0.004 wt% BV. Analysis of the photoactive materials and devices reveals that BV acts simultaneously as n-type dopant and microstructure modifier for the BHJ. Under optimal BV concentrations, these synergistic effects result in balanced hole and electron mobilities, higher absorption coefficients and increased charge-carrier density within the BHJ, while significantly extending the cells' shelf-lifetime. The n-type doping strategy is applied to five additional BHJ systems, for which similarly remarkable performance improvements are obtained. OPVs of particular interest are based on the ternary PM6:Y6:PC71BM:BV(0.004 wt%) blend for which a maximum PCE of 17.1%, is obtained. The effectiveness of the n-doping strategy highlights electron transport in NFA-based OPVs as being a key issue. © 2020 The Authors. Published by WILEY-VCH Verlag GmbH &amp; Co. KGaA, Weinheim","archive":"Scopus","container-title":"Advanced Science","DOI":"10.1002/advs.201903419","ISSN":"2198-3844","issue":"7","language":"English","source":"Scopus","title":"17.1% Efficient Single-Junction Organic Solar Cells Enabled by n-Type Doping of the Bulk-Heterojunction","volume":"7","author":[{"family":"Lin","given":"Y."},{"family":"Firdaus","given":"Y."},{"family":"Nugraha","given":"M.I."},{"family":"Liu","given":"F."},{"family":"Karuthedath","given":"S."},{"family":"Emwas","given":"A.-H."},{"family":"Zhang","given":"W."},{"family":"Seitkhan","given":"A."},{"family":"Neophytou","given":"M."},{"family":"Faber","given":"H."},{"family":"Yengel","given":"E."},{"family":"McCulloch","given":"I."},{"family":"Tsetseris","given":"L."},{"family":"Laquai","given":"F."},{"family":"Anthopoulos","given":"T.D."}],"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[181]</w:t>
            </w:r>
            <w:r w:rsidRPr="00B55044">
              <w:rPr>
                <w:rFonts w:eastAsia="Times New Roman"/>
                <w:color w:val="0000FF"/>
                <w:sz w:val="16"/>
                <w:szCs w:val="16"/>
              </w:rPr>
              <w:fldChar w:fldCharType="end"/>
            </w:r>
          </w:p>
        </w:tc>
      </w:tr>
      <w:tr w:rsidR="00D47774" w:rsidRPr="00B55044" w14:paraId="53E92C75" w14:textId="77777777" w:rsidTr="00242AA5">
        <w:trPr>
          <w:trHeight w:val="375"/>
        </w:trPr>
        <w:tc>
          <w:tcPr>
            <w:tcW w:w="293" w:type="pct"/>
            <w:tcBorders>
              <w:top w:val="single" w:sz="4" w:space="0" w:color="auto"/>
              <w:left w:val="nil"/>
              <w:bottom w:val="single" w:sz="4" w:space="0" w:color="auto"/>
              <w:right w:val="nil"/>
            </w:tcBorders>
            <w:shd w:val="clear" w:color="auto" w:fill="auto"/>
            <w:noWrap/>
            <w:vAlign w:val="bottom"/>
            <w:hideMark/>
          </w:tcPr>
          <w:p w14:paraId="29A1BFB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332</w:t>
            </w:r>
          </w:p>
        </w:tc>
        <w:tc>
          <w:tcPr>
            <w:tcW w:w="1525" w:type="pct"/>
            <w:tcBorders>
              <w:top w:val="single" w:sz="4" w:space="0" w:color="auto"/>
              <w:left w:val="nil"/>
              <w:bottom w:val="single" w:sz="4" w:space="0" w:color="auto"/>
              <w:right w:val="nil"/>
            </w:tcBorders>
            <w:shd w:val="clear" w:color="auto" w:fill="auto"/>
            <w:noWrap/>
            <w:vAlign w:val="bottom"/>
            <w:hideMark/>
          </w:tcPr>
          <w:p w14:paraId="3D43EC3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71C946E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PM6:FCTT-FIC:PC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51B1043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0.92</w:t>
            </w:r>
          </w:p>
        </w:tc>
        <w:tc>
          <w:tcPr>
            <w:tcW w:w="379" w:type="pct"/>
            <w:tcBorders>
              <w:top w:val="single" w:sz="4" w:space="0" w:color="auto"/>
              <w:left w:val="nil"/>
              <w:bottom w:val="single" w:sz="4" w:space="0" w:color="auto"/>
              <w:right w:val="nil"/>
            </w:tcBorders>
            <w:shd w:val="clear" w:color="auto" w:fill="auto"/>
            <w:noWrap/>
            <w:vAlign w:val="bottom"/>
            <w:hideMark/>
          </w:tcPr>
          <w:p w14:paraId="0EFBDA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19.86</w:t>
            </w:r>
          </w:p>
        </w:tc>
        <w:tc>
          <w:tcPr>
            <w:tcW w:w="378" w:type="pct"/>
            <w:tcBorders>
              <w:top w:val="single" w:sz="4" w:space="0" w:color="auto"/>
              <w:left w:val="nil"/>
              <w:bottom w:val="single" w:sz="4" w:space="0" w:color="auto"/>
              <w:right w:val="nil"/>
            </w:tcBorders>
            <w:shd w:val="clear" w:color="auto" w:fill="auto"/>
            <w:noWrap/>
            <w:vAlign w:val="bottom"/>
            <w:hideMark/>
          </w:tcPr>
          <w:p w14:paraId="6EFA012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73.2</w:t>
            </w:r>
          </w:p>
        </w:tc>
        <w:tc>
          <w:tcPr>
            <w:tcW w:w="381" w:type="pct"/>
            <w:tcBorders>
              <w:top w:val="single" w:sz="4" w:space="0" w:color="auto"/>
              <w:left w:val="nil"/>
              <w:bottom w:val="single" w:sz="4" w:space="0" w:color="auto"/>
              <w:right w:val="nil"/>
            </w:tcBorders>
            <w:shd w:val="clear" w:color="auto" w:fill="auto"/>
            <w:noWrap/>
            <w:vAlign w:val="bottom"/>
            <w:hideMark/>
          </w:tcPr>
          <w:p w14:paraId="080BAFF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13.37</w:t>
            </w:r>
          </w:p>
        </w:tc>
        <w:tc>
          <w:tcPr>
            <w:tcW w:w="378" w:type="pct"/>
            <w:tcBorders>
              <w:top w:val="single" w:sz="4" w:space="0" w:color="auto"/>
              <w:left w:val="nil"/>
              <w:bottom w:val="single" w:sz="4" w:space="0" w:color="auto"/>
              <w:right w:val="nil"/>
            </w:tcBorders>
            <w:shd w:val="clear" w:color="auto" w:fill="auto"/>
            <w:noWrap/>
            <w:vAlign w:val="bottom"/>
            <w:hideMark/>
          </w:tcPr>
          <w:p w14:paraId="4369FBA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{"citationID":"a26hsa9ha0v","properties":{"formattedCitation":"[182]","plainCitation":"[182]","noteIndex":0},"citationItems":[{"id":214,"uris":["http://zotero.org/users/12909065/items/GA4DFVZR"],"itemData":{"id":214,"type":"article-journal","abstract":"Acceptor-donor-acceptor (A-D-A) non-fullerene electron acceptors (NFEAs) using ladder-type donor structures have become the dominant n-type materials for achieving high-efficiency OSCs. In this work, two isomeric fluorene-based ladder-type structures FCTT (TT-C-F-C-TT) and FTCT (T-C-TFT-C-T) have been designed and synthesized. These two isomeric donors with the different fused-ring arrangement, molecular geometry, and side-chain placement were end-capped with the FIC acceptors to form two NFEAs FCTT-FIC and FTCT-FIC isomeric materials. Compared to FTCT-FIC using the thiophene (T)-terminal donor, FCTT-FIC with the thienothiophene (TT)-terminal donor has more evenly distributed side chains on both sides of the backbone and less steric hindrance near the FIC acceptors, which enables stronger antiparallel π-π packing among the end-groups to create a channel for efficient electron transport, as evidenced by the thin-film GIWAXS measurements. FCTT-FIC displayed a larger optical bandgap and deeper-lying energy levels than its FTCT-FIC isomer. Compared to the PBDB-T:FTCT-FIC device, the PBDB-T:FCTT-FIC device showed a higher PCE of 10.32% with an enhanced Jsc of 19.63 mA cm-2 and an FF of 69.14%. A PM6:FCTT-FIC device using PM6 as a p-type polymer achieved the highest PCE of 12.23%. By introducing PC71BM as the second acceptor to enhance the absorption at shorter wavelengths, optimize the morphology and facilitate electron transport, the ternary-blend PM6:FCTT-FIC:PC71BM (1 : 1 : 0.5 in wt%) device yielded the highest PCE of 13.37% with a Voc of 0.92 V, a higher Jsc of 19.86 mA cm-2, and an FF of 73.2%. This result demonstrated that the TT-terminal ladder-type donor is generally a better molecular design than the corresponding T-terminal ladder-type isomer for the development of new A-D-A NFEAs. This journal is © The Royal Society of Chemistry.","archive":"Scopus","container-title":"Journal of Materials Chemistry A","DOI":"10.1039/c9ta14040a","ISSN":"2050-7488","issue":"10","language":"English","page":"5315-5322","source":"Scopus","title":"Isomeric effect of fluorene-based fused-ring electron acceptors to achieve high-efficiency organic solar cells","volume":"8","author":[{"family":"Xue","given":"Y.-J."},{"family":"Cao","given":"F.-Y."},{"family":"Huang","given":"P.-K."},{"family":"Su","given":"Y.-C."},{"family":"Cheng","given":"Y.-J."}],"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[182]</w:t>
            </w:r>
            <w:r w:rsidRPr="00B55044">
              <w:rPr>
                <w:rFonts w:eastAsia="Times New Roman"/>
                <w:color w:val="0000FF"/>
                <w:sz w:val="16"/>
                <w:szCs w:val="16"/>
              </w:rPr>
              <w:fldChar w:fldCharType="end"/>
            </w:r>
          </w:p>
        </w:tc>
      </w:tr>
      <w:tr w:rsidR="00D47774" w:rsidRPr="00B55044" w14:paraId="5FF28B15" w14:textId="77777777" w:rsidTr="00242AA5">
        <w:trPr>
          <w:trHeight w:val="375"/>
        </w:trPr>
        <w:tc>
          <w:tcPr>
            <w:tcW w:w="293" w:type="pct"/>
            <w:tcBorders>
              <w:top w:val="single" w:sz="4" w:space="0" w:color="auto"/>
              <w:left w:val="nil"/>
              <w:bottom w:val="single" w:sz="4" w:space="0" w:color="auto"/>
              <w:right w:val="nil"/>
            </w:tcBorders>
            <w:shd w:val="clear" w:color="auto" w:fill="auto"/>
            <w:noWrap/>
            <w:vAlign w:val="bottom"/>
            <w:hideMark/>
          </w:tcPr>
          <w:p w14:paraId="335B741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333</w:t>
            </w:r>
          </w:p>
        </w:tc>
        <w:tc>
          <w:tcPr>
            <w:tcW w:w="1525" w:type="pct"/>
            <w:tcBorders>
              <w:top w:val="single" w:sz="4" w:space="0" w:color="auto"/>
              <w:left w:val="nil"/>
              <w:bottom w:val="single" w:sz="4" w:space="0" w:color="auto"/>
              <w:right w:val="nil"/>
            </w:tcBorders>
            <w:shd w:val="clear" w:color="auto" w:fill="auto"/>
            <w:noWrap/>
            <w:vAlign w:val="bottom"/>
            <w:hideMark/>
          </w:tcPr>
          <w:p w14:paraId="5680C2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ITO/ZnO/AL/MoO3/Ag</w:t>
            </w:r>
          </w:p>
        </w:tc>
        <w:tc>
          <w:tcPr>
            <w:tcW w:w="1288" w:type="pct"/>
            <w:tcBorders>
              <w:top w:val="single" w:sz="4" w:space="0" w:color="auto"/>
              <w:left w:val="nil"/>
              <w:bottom w:val="single" w:sz="4" w:space="0" w:color="auto"/>
              <w:right w:val="nil"/>
            </w:tcBorders>
            <w:shd w:val="clear" w:color="auto" w:fill="auto"/>
            <w:noWrap/>
            <w:vAlign w:val="bottom"/>
            <w:hideMark/>
          </w:tcPr>
          <w:p w14:paraId="24A48C4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PM6:FCTT-FIC:PC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57A5AE1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0.92</w:t>
            </w:r>
          </w:p>
        </w:tc>
        <w:tc>
          <w:tcPr>
            <w:tcW w:w="379" w:type="pct"/>
            <w:tcBorders>
              <w:top w:val="single" w:sz="4" w:space="0" w:color="auto"/>
              <w:left w:val="nil"/>
              <w:bottom w:val="single" w:sz="4" w:space="0" w:color="auto"/>
              <w:right w:val="nil"/>
            </w:tcBorders>
            <w:shd w:val="clear" w:color="auto" w:fill="auto"/>
            <w:noWrap/>
            <w:vAlign w:val="bottom"/>
            <w:hideMark/>
          </w:tcPr>
          <w:p w14:paraId="0A15B5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18.48</w:t>
            </w:r>
          </w:p>
        </w:tc>
        <w:tc>
          <w:tcPr>
            <w:tcW w:w="378" w:type="pct"/>
            <w:tcBorders>
              <w:top w:val="single" w:sz="4" w:space="0" w:color="auto"/>
              <w:left w:val="nil"/>
              <w:bottom w:val="single" w:sz="4" w:space="0" w:color="auto"/>
              <w:right w:val="nil"/>
            </w:tcBorders>
            <w:shd w:val="clear" w:color="auto" w:fill="auto"/>
            <w:noWrap/>
            <w:vAlign w:val="bottom"/>
            <w:hideMark/>
          </w:tcPr>
          <w:p w14:paraId="7DE2B75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72.71</w:t>
            </w:r>
          </w:p>
        </w:tc>
        <w:tc>
          <w:tcPr>
            <w:tcW w:w="381" w:type="pct"/>
            <w:tcBorders>
              <w:top w:val="single" w:sz="4" w:space="0" w:color="auto"/>
              <w:left w:val="nil"/>
              <w:bottom w:val="single" w:sz="4" w:space="0" w:color="auto"/>
              <w:right w:val="nil"/>
            </w:tcBorders>
            <w:shd w:val="clear" w:color="auto" w:fill="auto"/>
            <w:noWrap/>
            <w:vAlign w:val="bottom"/>
            <w:hideMark/>
          </w:tcPr>
          <w:p w14:paraId="7DA06BA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12.36</w:t>
            </w:r>
          </w:p>
        </w:tc>
        <w:tc>
          <w:tcPr>
            <w:tcW w:w="378" w:type="pct"/>
            <w:tcBorders>
              <w:top w:val="single" w:sz="4" w:space="0" w:color="auto"/>
              <w:left w:val="nil"/>
              <w:bottom w:val="single" w:sz="4" w:space="0" w:color="auto"/>
              <w:right w:val="nil"/>
            </w:tcBorders>
            <w:shd w:val="clear" w:color="auto" w:fill="auto"/>
            <w:noWrap/>
            <w:vAlign w:val="bottom"/>
            <w:hideMark/>
          </w:tcPr>
          <w:p w14:paraId="0E4DF66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{"citationID":"a15582euo3f","properties":{"formattedCitation":"[182]","plainCitation":"[182]","noteIndex":0},"citationItems":[{"id":214,"uris":["http://zotero.org/users/12909065/items/GA4DFVZR"],"itemData":{"id":214,"type":"article-journal","abstract":"Acceptor-donor-acceptor (A-D-A) non-fullerene electron acceptors (NFEAs) using ladder-type donor structures have become the dominant n-type materials for achieving high-efficiency OSCs. In this work, two isomeric fluorene-based ladder-type structures FCTT (TT-C-F-C-TT) and FTCT (T-C-TFT-C-T) have been designed and synthesized. These two isomeric donors with the different fused-ring arrangement, molecular geometry, and side-chain placement were end-capped with the FIC acceptors to form two NFEAs FCTT-FIC and FTCT-FIC isomeric materials. Compared to FTCT-FIC using the thiophene (T)-terminal donor, FCTT-FIC with the thienothiophene (TT)-terminal donor has more evenly distributed side chains on both sides of the backbone and less steric hindrance near the FIC acceptors, which enables stronger antiparallel π-π packing among the end-groups to create a channel for efficient electron transport, as evidenced by the thin-film GIWAXS measurements. FCTT-FIC displayed a larger optical bandgap and deeper-lying energy levels than its FTCT-FIC isomer. Compared to the PBDB-T:FTCT-FIC device, the PBDB-T:FCTT-FIC device showed a higher PCE of 10.32% with an enhanced Jsc of 19.63 mA cm-2 and an FF of 69.14%. A PM6:FCTT-FIC device using PM6 as a p-type polymer achieved the highest PCE of 12.23%. By introducing PC71BM as the second acceptor to enhance the absorption at shorter wavelengths, optimize the morphology and facilitate electron transport, the ternary-blend PM6:FCTT-FIC:PC71BM (1 : 1 : 0.5 in wt%) device yielded the highest PCE of 13.37% with a Voc of 0.92 V, a higher Jsc of 19.86 mA cm-2, and an FF of 73.2%. This result demonstrated that the TT-terminal ladder-type donor is generally a better molecular design than the corresponding T-terminal ladder-type isomer for the development of new A-D-A NFEAs. This journal is © The Royal Society of Chemistry.","archive":"Scopus","container-title":"Journal of Materials Chemistry A","DOI":"10.1039/c9ta14040a","ISSN":"2050-7488","issue":"10","language":"English","page":"5315-5322","source":"Scopus","title":"Isomeric effect of fluorene-based fused-ring electron acceptors to achieve high-efficiency organic solar cells","volume":"8","author":[{"family":"Xue","given":"Y.-J."},{"family":"Cao","given":"F.-Y."},{"family":"Huang","given":"P.-K."},{"family":"Su","given":"Y.-C."},{"family":"Cheng","given":"Y.-J."}],"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[182]</w:t>
            </w:r>
            <w:r w:rsidRPr="00B55044">
              <w:rPr>
                <w:rFonts w:eastAsia="Times New Roman"/>
                <w:color w:val="0000FF"/>
                <w:sz w:val="16"/>
                <w:szCs w:val="16"/>
              </w:rPr>
              <w:fldChar w:fldCharType="end"/>
            </w:r>
          </w:p>
        </w:tc>
      </w:tr>
      <w:tr w:rsidR="00D47774" w:rsidRPr="00B55044" w14:paraId="752C4A19" w14:textId="77777777" w:rsidTr="00242AA5">
        <w:trPr>
          <w:trHeight w:val="375"/>
        </w:trPr>
        <w:tc>
          <w:tcPr>
            <w:tcW w:w="293" w:type="pct"/>
            <w:tcBorders>
              <w:top w:val="single" w:sz="4" w:space="0" w:color="auto"/>
              <w:left w:val="nil"/>
              <w:bottom w:val="single" w:sz="4" w:space="0" w:color="auto"/>
              <w:right w:val="nil"/>
            </w:tcBorders>
            <w:shd w:val="clear" w:color="auto" w:fill="auto"/>
            <w:noWrap/>
            <w:vAlign w:val="bottom"/>
            <w:hideMark/>
          </w:tcPr>
          <w:p w14:paraId="76CE914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334</w:t>
            </w:r>
          </w:p>
        </w:tc>
        <w:tc>
          <w:tcPr>
            <w:tcW w:w="1525" w:type="pct"/>
            <w:tcBorders>
              <w:top w:val="single" w:sz="4" w:space="0" w:color="auto"/>
              <w:left w:val="nil"/>
              <w:bottom w:val="single" w:sz="4" w:space="0" w:color="auto"/>
              <w:right w:val="nil"/>
            </w:tcBorders>
            <w:shd w:val="clear" w:color="auto" w:fill="auto"/>
            <w:noWrap/>
            <w:vAlign w:val="bottom"/>
            <w:hideMark/>
          </w:tcPr>
          <w:p w14:paraId="6DA812C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63E643B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PM6:FCTT-FIC:PC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13C0F6C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0.92</w:t>
            </w:r>
          </w:p>
        </w:tc>
        <w:tc>
          <w:tcPr>
            <w:tcW w:w="379" w:type="pct"/>
            <w:tcBorders>
              <w:top w:val="single" w:sz="4" w:space="0" w:color="auto"/>
              <w:left w:val="nil"/>
              <w:bottom w:val="single" w:sz="4" w:space="0" w:color="auto"/>
              <w:right w:val="nil"/>
            </w:tcBorders>
            <w:shd w:val="clear" w:color="auto" w:fill="auto"/>
            <w:noWrap/>
            <w:vAlign w:val="bottom"/>
            <w:hideMark/>
          </w:tcPr>
          <w:p w14:paraId="6CC84A0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17.83</w:t>
            </w:r>
          </w:p>
        </w:tc>
        <w:tc>
          <w:tcPr>
            <w:tcW w:w="378" w:type="pct"/>
            <w:tcBorders>
              <w:top w:val="single" w:sz="4" w:space="0" w:color="auto"/>
              <w:left w:val="nil"/>
              <w:bottom w:val="single" w:sz="4" w:space="0" w:color="auto"/>
              <w:right w:val="nil"/>
            </w:tcBorders>
            <w:shd w:val="clear" w:color="auto" w:fill="auto"/>
            <w:noWrap/>
            <w:vAlign w:val="bottom"/>
            <w:hideMark/>
          </w:tcPr>
          <w:p w14:paraId="5ACD7DB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71.48</w:t>
            </w:r>
          </w:p>
        </w:tc>
        <w:tc>
          <w:tcPr>
            <w:tcW w:w="381" w:type="pct"/>
            <w:tcBorders>
              <w:top w:val="single" w:sz="4" w:space="0" w:color="auto"/>
              <w:left w:val="nil"/>
              <w:bottom w:val="single" w:sz="4" w:space="0" w:color="auto"/>
              <w:right w:val="nil"/>
            </w:tcBorders>
            <w:shd w:val="clear" w:color="auto" w:fill="auto"/>
            <w:noWrap/>
            <w:vAlign w:val="bottom"/>
            <w:hideMark/>
          </w:tcPr>
          <w:p w14:paraId="185C706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11.72</w:t>
            </w:r>
          </w:p>
        </w:tc>
        <w:tc>
          <w:tcPr>
            <w:tcW w:w="378" w:type="pct"/>
            <w:tcBorders>
              <w:top w:val="single" w:sz="4" w:space="0" w:color="auto"/>
              <w:left w:val="nil"/>
              <w:bottom w:val="single" w:sz="4" w:space="0" w:color="auto"/>
              <w:right w:val="nil"/>
            </w:tcBorders>
            <w:shd w:val="clear" w:color="auto" w:fill="auto"/>
            <w:noWrap/>
            <w:vAlign w:val="bottom"/>
            <w:hideMark/>
          </w:tcPr>
          <w:p w14:paraId="2D501B1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{"citationID":"anrimjb4d3","properties":{"formattedCitation":"[182]","plainCitation":"[182]","noteIndex":0},"citationItems":[{"id":214,"uris":["http://zotero.org/users/12909065/items/GA4DFVZR"],"itemData":{"id":214,"type":"article-journal","abstract":"Acceptor-donor-acceptor (A-D-A) non-fullerene electron acceptors (NFEAs) using ladder-type donor structures have become the dominant n-type materials for achieving high-efficiency OSCs. In this work, two isomeric fluorene-based ladder-type structures FCTT (TT-C-F-C-TT) and FTCT (T-C-TFT-C-T) have been designed and synthesized. These two isomeric donors with the different fused-ring arrangement, molecular geometry, and side-chain placement were end-capped with the FIC acceptors to form two NFEAs FCTT-FIC and FTCT-FIC isomeric materials. Compared to FTCT-FIC using the thiophene (T)-terminal donor, FCTT-FIC with the thienothiophene (TT)-terminal donor has more evenly distributed side chains on both sides of the backbone and less steric hindrance near the FIC acceptors, which enables stronger antiparallel π-π packing among the end-groups to create a channel for efficient electron transport, as evidenced by the thin-film GIWAXS measurements. FCTT-FIC displayed a larger optical bandgap and deeper-lying energy levels than its FTCT-FIC isomer. Compared to the PBDB-T:FTCT-FIC device, the PBDB-T:FCTT-FIC device showed a higher PCE of 10.32% with an enhanced Jsc of 19.63 mA cm-2 and an FF of 69.14%. A PM6:FCTT-FIC device using PM6 as a p-type polymer achieved the highest PCE of 12.23%. By introducing PC71BM as the second acceptor to enhance the absorption at shorter wavelengths, optimize the morphology and facilitate electron transport, the ternary-blend PM6:FCTT-FIC:PC71BM (1 : 1 : 0.5 in wt%) device yielded the highest PCE of 13.37% with a Voc of 0.92 V, a higher Jsc of 19.86 mA cm-2, and an FF of 73.2%. This result demonstrated that the TT-terminal ladder-type donor is generally a better molecular design than the corresponding T-terminal ladder-type isomer for the development of new A-D-A NFEAs. This journal is © The Royal Society of Chemistry.","archive":"Scopus","container-title":"Journal of Materials Chemistry A","DOI":"10.1039/c9ta14040a","ISSN":"2050-7488","issue":"10","language":"English","page":"5315-5322","source":"Scopus","title":"Isomeric effect of fluorene-based fused-ring electron acceptors to achieve high-efficiency organic solar cells","volume":"8","author":[{"family":"Xue","given":"Y.-J."},{"family":"Cao","given":"F.-Y."},{"family":"Huang","given":"P.-K."},{"family":"Su","given":"Y.-C."},{"family":"Cheng","given":"Y.-J."}],"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[182]</w:t>
            </w:r>
            <w:r w:rsidRPr="00B55044">
              <w:rPr>
                <w:rFonts w:eastAsia="Times New Roman"/>
                <w:color w:val="0000FF"/>
                <w:sz w:val="16"/>
                <w:szCs w:val="16"/>
              </w:rPr>
              <w:fldChar w:fldCharType="end"/>
            </w:r>
          </w:p>
        </w:tc>
      </w:tr>
      <w:tr w:rsidR="00D47774" w:rsidRPr="00B55044" w14:paraId="6533B79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F238DE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335</w:t>
            </w:r>
          </w:p>
        </w:tc>
        <w:tc>
          <w:tcPr>
            <w:tcW w:w="1525" w:type="pct"/>
            <w:tcBorders>
              <w:top w:val="single" w:sz="4" w:space="0" w:color="auto"/>
              <w:left w:val="nil"/>
              <w:bottom w:val="single" w:sz="4" w:space="0" w:color="auto"/>
              <w:right w:val="nil"/>
            </w:tcBorders>
            <w:shd w:val="clear" w:color="auto" w:fill="auto"/>
            <w:noWrap/>
            <w:vAlign w:val="bottom"/>
            <w:hideMark/>
          </w:tcPr>
          <w:p w14:paraId="5206C0B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ITO/PEDOT:PSS/AL/Bis-C60/Ag</w:t>
            </w:r>
          </w:p>
        </w:tc>
        <w:tc>
          <w:tcPr>
            <w:tcW w:w="1288" w:type="pct"/>
            <w:tcBorders>
              <w:top w:val="single" w:sz="4" w:space="0" w:color="auto"/>
              <w:left w:val="nil"/>
              <w:bottom w:val="single" w:sz="4" w:space="0" w:color="auto"/>
              <w:right w:val="nil"/>
            </w:tcBorders>
            <w:shd w:val="clear" w:color="auto" w:fill="auto"/>
            <w:noWrap/>
            <w:vAlign w:val="bottom"/>
            <w:hideMark/>
          </w:tcPr>
          <w:p w14:paraId="681AF28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PM6:IDIC:TOBDT</w:t>
            </w:r>
          </w:p>
        </w:tc>
        <w:tc>
          <w:tcPr>
            <w:tcW w:w="379" w:type="pct"/>
            <w:tcBorders>
              <w:top w:val="single" w:sz="4" w:space="0" w:color="auto"/>
              <w:left w:val="nil"/>
              <w:bottom w:val="single" w:sz="4" w:space="0" w:color="auto"/>
              <w:right w:val="nil"/>
            </w:tcBorders>
            <w:shd w:val="clear" w:color="auto" w:fill="auto"/>
            <w:noWrap/>
            <w:vAlign w:val="bottom"/>
            <w:hideMark/>
          </w:tcPr>
          <w:p w14:paraId="6CD6458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0.91</w:t>
            </w:r>
          </w:p>
        </w:tc>
        <w:tc>
          <w:tcPr>
            <w:tcW w:w="379" w:type="pct"/>
            <w:tcBorders>
              <w:top w:val="single" w:sz="4" w:space="0" w:color="auto"/>
              <w:left w:val="nil"/>
              <w:bottom w:val="single" w:sz="4" w:space="0" w:color="auto"/>
              <w:right w:val="nil"/>
            </w:tcBorders>
            <w:shd w:val="clear" w:color="auto" w:fill="auto"/>
            <w:noWrap/>
            <w:vAlign w:val="bottom"/>
            <w:hideMark/>
          </w:tcPr>
          <w:p w14:paraId="733575B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21</w:t>
            </w:r>
          </w:p>
        </w:tc>
        <w:tc>
          <w:tcPr>
            <w:tcW w:w="378" w:type="pct"/>
            <w:tcBorders>
              <w:top w:val="single" w:sz="4" w:space="0" w:color="auto"/>
              <w:left w:val="nil"/>
              <w:bottom w:val="single" w:sz="4" w:space="0" w:color="auto"/>
              <w:right w:val="nil"/>
            </w:tcBorders>
            <w:shd w:val="clear" w:color="auto" w:fill="auto"/>
            <w:noWrap/>
            <w:vAlign w:val="bottom"/>
            <w:hideMark/>
          </w:tcPr>
          <w:p w14:paraId="64F230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w:t>
            </w:r>
          </w:p>
        </w:tc>
        <w:tc>
          <w:tcPr>
            <w:tcW w:w="381" w:type="pct"/>
            <w:tcBorders>
              <w:top w:val="single" w:sz="4" w:space="0" w:color="auto"/>
              <w:left w:val="nil"/>
              <w:bottom w:val="single" w:sz="4" w:space="0" w:color="auto"/>
              <w:right w:val="nil"/>
            </w:tcBorders>
            <w:shd w:val="clear" w:color="auto" w:fill="auto"/>
            <w:noWrap/>
            <w:vAlign w:val="bottom"/>
            <w:hideMark/>
          </w:tcPr>
          <w:p w14:paraId="3A47B07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13.7</w:t>
            </w:r>
          </w:p>
        </w:tc>
        <w:tc>
          <w:tcPr>
            <w:tcW w:w="378" w:type="pct"/>
            <w:tcBorders>
              <w:top w:val="single" w:sz="4" w:space="0" w:color="auto"/>
              <w:left w:val="nil"/>
              <w:bottom w:val="single" w:sz="4" w:space="0" w:color="auto"/>
              <w:right w:val="nil"/>
            </w:tcBorders>
            <w:shd w:val="clear" w:color="auto" w:fill="auto"/>
            <w:noWrap/>
            <w:vAlign w:val="bottom"/>
            <w:hideMark/>
          </w:tcPr>
          <w:p w14:paraId="6B48DC2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{"citationID":"aplbtk38pq","properties":{"formattedCitation":"[183]","plainCitation":"[183]","noteIndex":0},"citationItems":[{"id":213,"uris":["http://zotero.org/users/12909065/items/QVVYGGAP"],"itemData":{"id":213,"type":"article-journal","abstract":"A new small-molecule nonfullerene acceptor based on the benzo[1,2-b:4,5-b′]dithiophene (BDT) fused central core with asymmetrical alkoxy and thienyl side chains, namely TOBDT, is designed and synthesized. The alkoxy unit helps narrow the bandgap, and thienyl side chain helps enhance the intermolecular interaction. As a result, TOBDT is suitable to match the deep-lying highest occupied molecular orbital (HOMO) of polymer donor PM6. Then, a strong crystalline acceptor IDIC is introduced as the third component to fabricate as-cast nonfullerene ternary devices to achieve absorption and morphology control. Addition of IDIC not only mixes well with TOBDT but modulates the morphology of the blend film, which helps to balance the charge transport properties and reduce the photovoltage loss of ternary devices. All these contribute to synergetic improvement of Jsc, Voc, and fill factor parameters, leading to a power conversion efficiency of 14.0% for the as-cast fullerene-free ternary device. © 2020 WILEY-VCH Verlag GmbH &amp; Co. KGaA, Weinheim","archive":"Scopus","container-title":"Advanced Functional Materials","DOI":"10.1002/adfm.201909535","ISSN":"1616-301X","issue":"11","language":"English","source":"Scopus","title":"As-Cast Ternary Organic Solar Cells Based on an Asymmetric Side-Chains Featured Acceptor with Reduced Voltage Loss and 14.0% Efficiency","volume":"30","author":[{"family":"Chen","given":"X."},{"family":"Kan","given":"B."},{"family":"Kan","given":"Y."},{"family":"Zhang","given":"M."},{"family":"Jo","given":"S.B."},{"family":"Gao","given":"K."},{"family":"Lin","given":"F."},{"family":"Liu","given":"F."},{"family":"Peng","given":"X."},{"family":"Cao","given":"Y."},{"family":"Jen","given":"A.K.Y."}],"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[183]</w:t>
            </w:r>
            <w:r w:rsidRPr="00B55044">
              <w:rPr>
                <w:rFonts w:eastAsia="Times New Roman"/>
                <w:color w:val="0000FF"/>
                <w:sz w:val="16"/>
                <w:szCs w:val="16"/>
              </w:rPr>
              <w:fldChar w:fldCharType="end"/>
            </w:r>
          </w:p>
        </w:tc>
      </w:tr>
      <w:tr w:rsidR="00D47774" w:rsidRPr="00B55044" w14:paraId="603013F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C16DE7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lastRenderedPageBreak/>
              <w:t>336</w:t>
            </w:r>
          </w:p>
        </w:tc>
        <w:tc>
          <w:tcPr>
            <w:tcW w:w="1525" w:type="pct"/>
            <w:tcBorders>
              <w:top w:val="single" w:sz="4" w:space="0" w:color="auto"/>
              <w:left w:val="nil"/>
              <w:bottom w:val="single" w:sz="4" w:space="0" w:color="auto"/>
              <w:right w:val="nil"/>
            </w:tcBorders>
            <w:shd w:val="clear" w:color="auto" w:fill="auto"/>
            <w:noWrap/>
            <w:vAlign w:val="bottom"/>
            <w:hideMark/>
          </w:tcPr>
          <w:p w14:paraId="6461676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07C9A58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PM6:Y6-C2:PC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5DDFF93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0.859</w:t>
            </w:r>
          </w:p>
        </w:tc>
        <w:tc>
          <w:tcPr>
            <w:tcW w:w="379" w:type="pct"/>
            <w:tcBorders>
              <w:top w:val="single" w:sz="4" w:space="0" w:color="auto"/>
              <w:left w:val="nil"/>
              <w:bottom w:val="single" w:sz="4" w:space="0" w:color="auto"/>
              <w:right w:val="nil"/>
            </w:tcBorders>
            <w:shd w:val="clear" w:color="auto" w:fill="auto"/>
            <w:noWrap/>
            <w:vAlign w:val="bottom"/>
            <w:hideMark/>
          </w:tcPr>
          <w:p w14:paraId="7468B6A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25.73</w:t>
            </w:r>
          </w:p>
        </w:tc>
        <w:tc>
          <w:tcPr>
            <w:tcW w:w="378" w:type="pct"/>
            <w:tcBorders>
              <w:top w:val="single" w:sz="4" w:space="0" w:color="auto"/>
              <w:left w:val="nil"/>
              <w:bottom w:val="single" w:sz="4" w:space="0" w:color="auto"/>
              <w:right w:val="nil"/>
            </w:tcBorders>
            <w:shd w:val="clear" w:color="auto" w:fill="auto"/>
            <w:noWrap/>
            <w:vAlign w:val="bottom"/>
            <w:hideMark/>
          </w:tcPr>
          <w:p w14:paraId="70331DC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77.2</w:t>
            </w:r>
          </w:p>
        </w:tc>
        <w:tc>
          <w:tcPr>
            <w:tcW w:w="381" w:type="pct"/>
            <w:tcBorders>
              <w:top w:val="single" w:sz="4" w:space="0" w:color="auto"/>
              <w:left w:val="nil"/>
              <w:bottom w:val="single" w:sz="4" w:space="0" w:color="auto"/>
              <w:right w:val="nil"/>
            </w:tcBorders>
            <w:shd w:val="clear" w:color="auto" w:fill="auto"/>
            <w:noWrap/>
            <w:vAlign w:val="bottom"/>
            <w:hideMark/>
          </w:tcPr>
          <w:p w14:paraId="740AF6B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17.06</w:t>
            </w:r>
          </w:p>
        </w:tc>
        <w:tc>
          <w:tcPr>
            <w:tcW w:w="378" w:type="pct"/>
            <w:tcBorders>
              <w:top w:val="single" w:sz="4" w:space="0" w:color="auto"/>
              <w:left w:val="nil"/>
              <w:bottom w:val="single" w:sz="4" w:space="0" w:color="auto"/>
              <w:right w:val="nil"/>
            </w:tcBorders>
            <w:shd w:val="clear" w:color="auto" w:fill="auto"/>
            <w:noWrap/>
            <w:vAlign w:val="bottom"/>
            <w:hideMark/>
          </w:tcPr>
          <w:p w14:paraId="63A8DCE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{"citationID":"a15n0o7kb1f","properties":{"formattedCitation":"[184]","plainCitation":"[184]","noteIndex":0},"citationItems":[{"id":212,"uris":["http://zotero.org/users/12909065/items/B9U4DAMV"],"itemData":{"id":212,"type":"article-journal","abstract":"The emergence of the latest generation of small-molecule acceptor (SMA) materials, with Y6 as a typical example, accounts for the surge in device performance for organic solar cells (OSCs). This study proposes two new acceptors named Y6-C2 and Y6-C3, from judicious alteration of alkyl-chains branching positions away from the Y6 backbone. Compared to the Y6, the Y6-C2 exhibits similar optical and electrochemical properties, but better molecular packing and enhanced crystallinity. In contrast, the Y6-C3 shows a significant blue-shift absorption in the solid state relative to the Y6 and Y6-C2. The as-cast PM6:Y6-C2-based OSC yields a higher power conversion efficiency (PCE) of 15.89% than those based on the Y6 (15.24%) and Y6-C3 (13.76%), representing the highest known value for as-cast nonfullerene OSCs. Prominently, the Y6-C2 displays a good compatibility with the PC71BM. Therefore, a ternary OSC device based on PM6:Y6-C2:PC71BM (1.0:1.0:0.2) was produced, and it exhibits an outstanding PCE of 17.06% and an impressive fill factor (FF) of 0.772. Our results improve understanding of the structure-property relationship for state-of-the-art SMAs and demonstrate that modulating the structure of SMAs via fine-tuning of alkyl-chains branching positions is an effective method to enhance their performance. © 2020, Science China Press and Springer-Verlag GmbH Germany, part of Springer Nature.","archive":"Scopus","container-title":"Science China Chemistry","DOI":"10.1007/s11426-019-9670-2","ISSN":"1674-7291","issue":"3","language":"English","page":"361-369","source":"Scopus","title":"Altering alkyl-chains branching positions for boosting the performance of small-molecule acceptors for highly efficient nonfullerene organic solar cells","volume":"63","author":[{"family":"Luo","given":"Z."},{"family":"Sun","given":"R."},{"family":"Zhong","given":"C."},{"family":"Liu","given":"T."},{"family":"Zhang","given":"G."},{"family":"Zou","given":"Y."},{"family":"Jiao","given":"X."},{"family":"Min","given":"J."},{"family":"Yang","given":"C."}],"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[184]</w:t>
            </w:r>
            <w:r w:rsidRPr="00B55044">
              <w:rPr>
                <w:rFonts w:eastAsia="Times New Roman"/>
                <w:color w:val="0000FF"/>
                <w:sz w:val="16"/>
                <w:szCs w:val="16"/>
              </w:rPr>
              <w:fldChar w:fldCharType="end"/>
            </w:r>
          </w:p>
        </w:tc>
      </w:tr>
      <w:tr w:rsidR="00D47774" w:rsidRPr="00B55044" w14:paraId="7700427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F7BAAF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337</w:t>
            </w:r>
          </w:p>
        </w:tc>
        <w:tc>
          <w:tcPr>
            <w:tcW w:w="1525" w:type="pct"/>
            <w:tcBorders>
              <w:top w:val="single" w:sz="4" w:space="0" w:color="auto"/>
              <w:left w:val="nil"/>
              <w:bottom w:val="single" w:sz="4" w:space="0" w:color="auto"/>
              <w:right w:val="nil"/>
            </w:tcBorders>
            <w:shd w:val="clear" w:color="auto" w:fill="auto"/>
            <w:noWrap/>
            <w:vAlign w:val="bottom"/>
            <w:hideMark/>
          </w:tcPr>
          <w:p w14:paraId="365AF90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5B109B4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PM6:N2200-F:PC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272281F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0.91</w:t>
            </w:r>
          </w:p>
        </w:tc>
        <w:tc>
          <w:tcPr>
            <w:tcW w:w="379" w:type="pct"/>
            <w:tcBorders>
              <w:top w:val="single" w:sz="4" w:space="0" w:color="auto"/>
              <w:left w:val="nil"/>
              <w:bottom w:val="single" w:sz="4" w:space="0" w:color="auto"/>
              <w:right w:val="nil"/>
            </w:tcBorders>
            <w:shd w:val="clear" w:color="auto" w:fill="auto"/>
            <w:noWrap/>
            <w:vAlign w:val="bottom"/>
            <w:hideMark/>
          </w:tcPr>
          <w:p w14:paraId="71E07B8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13.01</w:t>
            </w:r>
          </w:p>
        </w:tc>
        <w:tc>
          <w:tcPr>
            <w:tcW w:w="378" w:type="pct"/>
            <w:tcBorders>
              <w:top w:val="single" w:sz="4" w:space="0" w:color="auto"/>
              <w:left w:val="nil"/>
              <w:bottom w:val="single" w:sz="4" w:space="0" w:color="auto"/>
              <w:right w:val="nil"/>
            </w:tcBorders>
            <w:shd w:val="clear" w:color="auto" w:fill="auto"/>
            <w:noWrap/>
            <w:vAlign w:val="bottom"/>
            <w:hideMark/>
          </w:tcPr>
          <w:p w14:paraId="4BF0D17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69</w:t>
            </w:r>
          </w:p>
        </w:tc>
        <w:tc>
          <w:tcPr>
            <w:tcW w:w="381" w:type="pct"/>
            <w:tcBorders>
              <w:top w:val="single" w:sz="4" w:space="0" w:color="auto"/>
              <w:left w:val="nil"/>
              <w:bottom w:val="single" w:sz="4" w:space="0" w:color="auto"/>
              <w:right w:val="nil"/>
            </w:tcBorders>
            <w:shd w:val="clear" w:color="auto" w:fill="auto"/>
            <w:noWrap/>
            <w:vAlign w:val="bottom"/>
            <w:hideMark/>
          </w:tcPr>
          <w:p w14:paraId="70A0F58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8.11</w:t>
            </w:r>
          </w:p>
        </w:tc>
        <w:tc>
          <w:tcPr>
            <w:tcW w:w="378" w:type="pct"/>
            <w:tcBorders>
              <w:top w:val="single" w:sz="4" w:space="0" w:color="auto"/>
              <w:left w:val="nil"/>
              <w:bottom w:val="single" w:sz="4" w:space="0" w:color="auto"/>
              <w:right w:val="nil"/>
            </w:tcBorders>
            <w:shd w:val="clear" w:color="auto" w:fill="auto"/>
            <w:noWrap/>
            <w:vAlign w:val="bottom"/>
            <w:hideMark/>
          </w:tcPr>
          <w:p w14:paraId="69F855C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{"citationID":"a1uaaaasdgl","properties":{"formattedCitation":"[185]","plainCitation":"[185]","noteIndex":0},"citationItems":[{"id":211,"uris":["http://zotero.org/users/12909065/items/TGHZE3BF"],"itemData":{"id":211,"type":"article-journal","abstract":"In this work, ternary organic solar cells (OSCs) combining a fullerene derivative PC71BM with a non-fullerene acceptor N2200-F blended with a polymer donor PM6 were reported. Compared with the binary systems, the highest power conversion efficiency (PCE) of 8.11% was achieved in ternary solar cells with 30 wt% N2200-F content, mainly due to the improved short-circuit current density (Jsc) and fill factor (FF). Further studies showed that the improved Jsc could attribute to the complementary absorption of the two acceptors and the enhanced FF was originated from the higher hole mobility and the fine-tuned morphology in the ternary system. These results demonstrate that the combination of fullerene and non-fullerene acceptors in ternary organic solar cells is a promising approach to achieve high-performance OSCs. © 2020 The Author","archive":"Scopus","container-title":"Chinese Chemical Letters","DOI":"10.1016/j.cclet.2019.06.051","ISSN":"1001-8417","issue":"3","language":"English","page":"865-868","source":"Scopus","title":"Ternary organic solar cells based on polymer donor, polymer acceptor and PCBM components","volume":"31","author":[{"family":"Liu","given":"F."},{"family":"Li","given":"C."},{"family":"Li","given":"J."},{"family":"Wang","given":"C."},{"family":"Xiao","given":"C."},{"family":"Wu","given":"Y."},{"family":"Li","given":"W."}],"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[185]</w:t>
            </w:r>
            <w:r w:rsidRPr="00B55044">
              <w:rPr>
                <w:rFonts w:eastAsia="Times New Roman"/>
                <w:color w:val="0000FF"/>
                <w:sz w:val="16"/>
                <w:szCs w:val="16"/>
              </w:rPr>
              <w:fldChar w:fldCharType="end"/>
            </w:r>
          </w:p>
        </w:tc>
      </w:tr>
      <w:tr w:rsidR="00D47774" w:rsidRPr="00B55044" w14:paraId="4F01B30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0026A0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338</w:t>
            </w:r>
          </w:p>
        </w:tc>
        <w:tc>
          <w:tcPr>
            <w:tcW w:w="1525" w:type="pct"/>
            <w:tcBorders>
              <w:top w:val="single" w:sz="4" w:space="0" w:color="auto"/>
              <w:left w:val="nil"/>
              <w:bottom w:val="single" w:sz="4" w:space="0" w:color="auto"/>
              <w:right w:val="nil"/>
            </w:tcBorders>
            <w:shd w:val="clear" w:color="auto" w:fill="auto"/>
            <w:noWrap/>
            <w:vAlign w:val="bottom"/>
            <w:hideMark/>
          </w:tcPr>
          <w:p w14:paraId="57AB761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67DF77B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PM6:Y6:BTP-M (15%)</w:t>
            </w:r>
          </w:p>
        </w:tc>
        <w:tc>
          <w:tcPr>
            <w:tcW w:w="379" w:type="pct"/>
            <w:tcBorders>
              <w:top w:val="single" w:sz="4" w:space="0" w:color="auto"/>
              <w:left w:val="nil"/>
              <w:bottom w:val="single" w:sz="4" w:space="0" w:color="auto"/>
              <w:right w:val="nil"/>
            </w:tcBorders>
            <w:shd w:val="clear" w:color="auto" w:fill="auto"/>
            <w:noWrap/>
            <w:vAlign w:val="bottom"/>
            <w:hideMark/>
          </w:tcPr>
          <w:p w14:paraId="02FFF23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0.861</w:t>
            </w:r>
          </w:p>
        </w:tc>
        <w:tc>
          <w:tcPr>
            <w:tcW w:w="379" w:type="pct"/>
            <w:tcBorders>
              <w:top w:val="single" w:sz="4" w:space="0" w:color="auto"/>
              <w:left w:val="nil"/>
              <w:bottom w:val="single" w:sz="4" w:space="0" w:color="auto"/>
              <w:right w:val="nil"/>
            </w:tcBorders>
            <w:shd w:val="clear" w:color="auto" w:fill="auto"/>
            <w:noWrap/>
            <w:vAlign w:val="bottom"/>
            <w:hideMark/>
          </w:tcPr>
          <w:p w14:paraId="2FFBAF7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26.59</w:t>
            </w:r>
          </w:p>
        </w:tc>
        <w:tc>
          <w:tcPr>
            <w:tcW w:w="378" w:type="pct"/>
            <w:tcBorders>
              <w:top w:val="single" w:sz="4" w:space="0" w:color="auto"/>
              <w:left w:val="nil"/>
              <w:bottom w:val="single" w:sz="4" w:space="0" w:color="auto"/>
              <w:right w:val="nil"/>
            </w:tcBorders>
            <w:shd w:val="clear" w:color="auto" w:fill="auto"/>
            <w:noWrap/>
            <w:vAlign w:val="bottom"/>
            <w:hideMark/>
          </w:tcPr>
          <w:p w14:paraId="6587951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74.42</w:t>
            </w:r>
          </w:p>
        </w:tc>
        <w:tc>
          <w:tcPr>
            <w:tcW w:w="381" w:type="pct"/>
            <w:tcBorders>
              <w:top w:val="single" w:sz="4" w:space="0" w:color="auto"/>
              <w:left w:val="nil"/>
              <w:bottom w:val="single" w:sz="4" w:space="0" w:color="auto"/>
              <w:right w:val="nil"/>
            </w:tcBorders>
            <w:shd w:val="clear" w:color="auto" w:fill="auto"/>
            <w:noWrap/>
            <w:vAlign w:val="bottom"/>
            <w:hideMark/>
          </w:tcPr>
          <w:p w14:paraId="1D6F85E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16.98</w:t>
            </w:r>
          </w:p>
        </w:tc>
        <w:tc>
          <w:tcPr>
            <w:tcW w:w="378" w:type="pct"/>
            <w:tcBorders>
              <w:top w:val="single" w:sz="4" w:space="0" w:color="auto"/>
              <w:left w:val="nil"/>
              <w:bottom w:val="single" w:sz="4" w:space="0" w:color="auto"/>
              <w:right w:val="nil"/>
            </w:tcBorders>
            <w:shd w:val="clear" w:color="auto" w:fill="auto"/>
            <w:noWrap/>
            <w:vAlign w:val="bottom"/>
            <w:hideMark/>
          </w:tcPr>
          <w:p w14:paraId="5A717E2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{"citationID":"a1n2l5ev1lo","properties":{"formattedCitation":"[186]","plainCitation":"[186]","noteIndex":0},"citationItems":[{"id":210,"uris":["http://zotero.org/users/12909065/items/W9LSFJA9"],"itemData":{"id":210,"type":"article-journal","abstract":"Nowadays, organic solar cells (OSCs) with Y6 and its derivatives as electron acceptors provide the highest efficiencies among the studied binary OSCs. To further improve the performances of OSCs, the fabrication of ternary OSCs (TOSCs) is a convenient strategy. Essentially, morphology control and the trade-off between voltage and photocurrent are the main critical issues in TOSCs. Herein, we address these problems by constructing TOSCs where an alloy-like composite is formed between Y6 and a newly designed derivative, BTP-M. Employing an electron-pushing methyl substituent as a replacement for the electron-withdrawing F atoms on Y6, BTP-M shows higher energy levels and lower crystallinity than Y6. As a result, the obtained Y6:BTP-M alloy can simultaneously optimize energy levels to reduce energy loss as well as the morphologies of the active layers to favor photocurrent generation, leading to an enhanced open-circuit voltage (Voc) of 0.875 V together with a larger short-circuit current density (Jsc) of 26.56 mA cm-2 for TOSCs based on the polymer donor PM6 and Y6:BTP-M acceptor alloy. Consequently, a best efficiency of 17.03% is achieved for the corresponding TOSCs, which is among the best values for single-junction OSCs. In addition, our TOSCs also exhibit good thickness tolerance, and can reach 14.23% efficiency even though the active layer is as thick as 300 nm. © 2020 The Royal Society of Chemistry.","archive":"Scopus","container-title":"Energy and Environmental Science","DOI":"10.1039/c9ee03710a","ISSN":"1754-5692","issue":"2","language":"English","page":"635-645","source":"Scopus","title":"Over 17% efficiency ternary organic solar cells enabled by two non-fullerene acceptors working in an alloy-like model","volume":"13","author":[{"family":"Zhan","given":"L."},{"family":"Li","given":"S."},{"family":"Lau","given":"T.-K."},{"family":"Cui","given":"Y."},{"family":"Lu","given":"X."},{"family":"Shi","given":"M."},{"family":"Li","given":"C.-Z."},{"family":"Li","given":"H."},{"family":"Hou","given":"J."},{"family":"Chen","given":"H."}],"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[186]</w:t>
            </w:r>
            <w:r w:rsidRPr="00B55044">
              <w:rPr>
                <w:rFonts w:eastAsia="Times New Roman"/>
                <w:color w:val="0000FF"/>
                <w:sz w:val="16"/>
                <w:szCs w:val="16"/>
              </w:rPr>
              <w:fldChar w:fldCharType="end"/>
            </w:r>
          </w:p>
        </w:tc>
      </w:tr>
      <w:tr w:rsidR="00D47774" w:rsidRPr="00B55044" w14:paraId="1D3E844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F3ED07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339</w:t>
            </w:r>
          </w:p>
        </w:tc>
        <w:tc>
          <w:tcPr>
            <w:tcW w:w="1525" w:type="pct"/>
            <w:tcBorders>
              <w:top w:val="single" w:sz="4" w:space="0" w:color="auto"/>
              <w:left w:val="nil"/>
              <w:bottom w:val="single" w:sz="4" w:space="0" w:color="auto"/>
              <w:right w:val="nil"/>
            </w:tcBorders>
            <w:shd w:val="clear" w:color="auto" w:fill="auto"/>
            <w:noWrap/>
            <w:vAlign w:val="bottom"/>
            <w:hideMark/>
          </w:tcPr>
          <w:p w14:paraId="77D132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2F83036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PM6:Y6:BTP-M (20%)</w:t>
            </w:r>
          </w:p>
        </w:tc>
        <w:tc>
          <w:tcPr>
            <w:tcW w:w="379" w:type="pct"/>
            <w:tcBorders>
              <w:top w:val="single" w:sz="4" w:space="0" w:color="auto"/>
              <w:left w:val="nil"/>
              <w:bottom w:val="single" w:sz="4" w:space="0" w:color="auto"/>
              <w:right w:val="nil"/>
            </w:tcBorders>
            <w:shd w:val="clear" w:color="auto" w:fill="auto"/>
            <w:noWrap/>
            <w:vAlign w:val="bottom"/>
            <w:hideMark/>
          </w:tcPr>
          <w:p w14:paraId="502705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0.875</w:t>
            </w:r>
          </w:p>
        </w:tc>
        <w:tc>
          <w:tcPr>
            <w:tcW w:w="379" w:type="pct"/>
            <w:tcBorders>
              <w:top w:val="single" w:sz="4" w:space="0" w:color="auto"/>
              <w:left w:val="nil"/>
              <w:bottom w:val="single" w:sz="4" w:space="0" w:color="auto"/>
              <w:right w:val="nil"/>
            </w:tcBorders>
            <w:shd w:val="clear" w:color="auto" w:fill="auto"/>
            <w:noWrap/>
            <w:vAlign w:val="bottom"/>
            <w:hideMark/>
          </w:tcPr>
          <w:p w14:paraId="03FB79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26.56</w:t>
            </w:r>
          </w:p>
        </w:tc>
        <w:tc>
          <w:tcPr>
            <w:tcW w:w="378" w:type="pct"/>
            <w:tcBorders>
              <w:top w:val="single" w:sz="4" w:space="0" w:color="auto"/>
              <w:left w:val="nil"/>
              <w:bottom w:val="single" w:sz="4" w:space="0" w:color="auto"/>
              <w:right w:val="nil"/>
            </w:tcBorders>
            <w:shd w:val="clear" w:color="auto" w:fill="auto"/>
            <w:noWrap/>
            <w:vAlign w:val="bottom"/>
            <w:hideMark/>
          </w:tcPr>
          <w:p w14:paraId="6162DA2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73.46</w:t>
            </w:r>
          </w:p>
        </w:tc>
        <w:tc>
          <w:tcPr>
            <w:tcW w:w="381" w:type="pct"/>
            <w:tcBorders>
              <w:top w:val="single" w:sz="4" w:space="0" w:color="auto"/>
              <w:left w:val="nil"/>
              <w:bottom w:val="single" w:sz="4" w:space="0" w:color="auto"/>
              <w:right w:val="nil"/>
            </w:tcBorders>
            <w:shd w:val="clear" w:color="auto" w:fill="auto"/>
            <w:noWrap/>
            <w:vAlign w:val="bottom"/>
            <w:hideMark/>
          </w:tcPr>
          <w:p w14:paraId="2857EAF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17.03</w:t>
            </w:r>
          </w:p>
        </w:tc>
        <w:tc>
          <w:tcPr>
            <w:tcW w:w="378" w:type="pct"/>
            <w:tcBorders>
              <w:top w:val="single" w:sz="4" w:space="0" w:color="auto"/>
              <w:left w:val="nil"/>
              <w:bottom w:val="single" w:sz="4" w:space="0" w:color="auto"/>
              <w:right w:val="nil"/>
            </w:tcBorders>
            <w:shd w:val="clear" w:color="auto" w:fill="auto"/>
            <w:noWrap/>
            <w:vAlign w:val="bottom"/>
            <w:hideMark/>
          </w:tcPr>
          <w:p w14:paraId="4FDE465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{"citationID":"a1jqk7onsli","properties":{"formattedCitation":"[186]","plainCitation":"[186]","noteIndex":0},"citationItems":[{"id":210,"uris":["http://zotero.org/users/12909065/items/W9LSFJA9"],"itemData":{"id":210,"type":"article-journal","abstract":"Nowadays, organic solar cells (OSCs) with Y6 and its derivatives as electron acceptors provide the highest efficiencies among the studied binary OSCs. To further improve the performances of OSCs, the fabrication of ternary OSCs (TOSCs) is a convenient strategy. Essentially, morphology control and the trade-off between voltage and photocurrent are the main critical issues in TOSCs. Herein, we address these problems by constructing TOSCs where an alloy-like composite is formed between Y6 and a newly designed derivative, BTP-M. Employing an electron-pushing methyl substituent as a replacement for the electron-withdrawing F atoms on Y6, BTP-M shows higher energy levels and lower crystallinity than Y6. As a result, the obtained Y6:BTP-M alloy can simultaneously optimize energy levels to reduce energy loss as well as the morphologies of the active layers to favor photocurrent generation, leading to an enhanced open-circuit voltage (Voc) of 0.875 V together with a larger short-circuit current density (Jsc) of 26.56 mA cm-2 for TOSCs based on the polymer donor PM6 and Y6:BTP-M acceptor alloy. Consequently, a best efficiency of 17.03% is achieved for the corresponding TOSCs, which is among the best values for single-junction OSCs. In addition, our TOSCs also exhibit good thickness tolerance, and can reach 14.23% efficiency even though the active layer is as thick as 300 nm. © 2020 The Royal Society of Chemistry.","archive":"Scopus","container-title":"Energy and Environmental Science","DOI":"10.1039/c9ee03710a","ISSN":"1754-5692","issue":"2","language":"English","page":"635-645","source":"Scopus","title":"Over 17% efficiency ternary organic solar cells enabled by two non-fullerene acceptors working in an alloy-like model","volume":"13","author":[{"family":"Zhan","given":"L."},{"family":"Li","given":"S."},{"family":"Lau","given":"T.-K."},{"family":"Cui","given":"Y."},{"family":"Lu","given":"X."},{"family":"Shi","given":"M."},{"family":"Li","given":"C.-Z."},{"family":"Li","given":"H."},{"family":"Hou","given":"J."},{"family":"Chen","given":"H."}],"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[186]</w:t>
            </w:r>
            <w:r w:rsidRPr="00B55044">
              <w:rPr>
                <w:rFonts w:eastAsia="Times New Roman"/>
                <w:color w:val="0000FF"/>
                <w:sz w:val="16"/>
                <w:szCs w:val="16"/>
              </w:rPr>
              <w:fldChar w:fldCharType="end"/>
            </w:r>
          </w:p>
        </w:tc>
      </w:tr>
      <w:tr w:rsidR="00D47774" w:rsidRPr="00B55044" w14:paraId="67BBAD2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265628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340</w:t>
            </w:r>
          </w:p>
        </w:tc>
        <w:tc>
          <w:tcPr>
            <w:tcW w:w="1525" w:type="pct"/>
            <w:tcBorders>
              <w:top w:val="single" w:sz="4" w:space="0" w:color="auto"/>
              <w:left w:val="nil"/>
              <w:bottom w:val="single" w:sz="4" w:space="0" w:color="auto"/>
              <w:right w:val="nil"/>
            </w:tcBorders>
            <w:shd w:val="clear" w:color="auto" w:fill="auto"/>
            <w:noWrap/>
            <w:vAlign w:val="bottom"/>
            <w:hideMark/>
          </w:tcPr>
          <w:p w14:paraId="06807FA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0AADD12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PM6:Y6:BTP-M (25%)</w:t>
            </w:r>
          </w:p>
        </w:tc>
        <w:tc>
          <w:tcPr>
            <w:tcW w:w="379" w:type="pct"/>
            <w:tcBorders>
              <w:top w:val="single" w:sz="4" w:space="0" w:color="auto"/>
              <w:left w:val="nil"/>
              <w:bottom w:val="single" w:sz="4" w:space="0" w:color="auto"/>
              <w:right w:val="nil"/>
            </w:tcBorders>
            <w:shd w:val="clear" w:color="auto" w:fill="auto"/>
            <w:noWrap/>
            <w:vAlign w:val="bottom"/>
            <w:hideMark/>
          </w:tcPr>
          <w:p w14:paraId="493DD1C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0.879</w:t>
            </w:r>
          </w:p>
        </w:tc>
        <w:tc>
          <w:tcPr>
            <w:tcW w:w="379" w:type="pct"/>
            <w:tcBorders>
              <w:top w:val="single" w:sz="4" w:space="0" w:color="auto"/>
              <w:left w:val="nil"/>
              <w:bottom w:val="single" w:sz="4" w:space="0" w:color="auto"/>
              <w:right w:val="nil"/>
            </w:tcBorders>
            <w:shd w:val="clear" w:color="auto" w:fill="auto"/>
            <w:noWrap/>
            <w:vAlign w:val="bottom"/>
            <w:hideMark/>
          </w:tcPr>
          <w:p w14:paraId="63A66DB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25.46</w:t>
            </w:r>
          </w:p>
        </w:tc>
        <w:tc>
          <w:tcPr>
            <w:tcW w:w="378" w:type="pct"/>
            <w:tcBorders>
              <w:top w:val="single" w:sz="4" w:space="0" w:color="auto"/>
              <w:left w:val="nil"/>
              <w:bottom w:val="single" w:sz="4" w:space="0" w:color="auto"/>
              <w:right w:val="nil"/>
            </w:tcBorders>
            <w:shd w:val="clear" w:color="auto" w:fill="auto"/>
            <w:noWrap/>
            <w:vAlign w:val="bottom"/>
            <w:hideMark/>
          </w:tcPr>
          <w:p w14:paraId="02CC841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73.21</w:t>
            </w:r>
          </w:p>
        </w:tc>
        <w:tc>
          <w:tcPr>
            <w:tcW w:w="381" w:type="pct"/>
            <w:tcBorders>
              <w:top w:val="single" w:sz="4" w:space="0" w:color="auto"/>
              <w:left w:val="nil"/>
              <w:bottom w:val="single" w:sz="4" w:space="0" w:color="auto"/>
              <w:right w:val="nil"/>
            </w:tcBorders>
            <w:shd w:val="clear" w:color="auto" w:fill="auto"/>
            <w:noWrap/>
            <w:vAlign w:val="bottom"/>
            <w:hideMark/>
          </w:tcPr>
          <w:p w14:paraId="7AF4221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16.34</w:t>
            </w:r>
          </w:p>
        </w:tc>
        <w:tc>
          <w:tcPr>
            <w:tcW w:w="378" w:type="pct"/>
            <w:tcBorders>
              <w:top w:val="single" w:sz="4" w:space="0" w:color="auto"/>
              <w:left w:val="nil"/>
              <w:bottom w:val="single" w:sz="4" w:space="0" w:color="auto"/>
              <w:right w:val="nil"/>
            </w:tcBorders>
            <w:shd w:val="clear" w:color="auto" w:fill="auto"/>
            <w:noWrap/>
            <w:vAlign w:val="bottom"/>
            <w:hideMark/>
          </w:tcPr>
          <w:p w14:paraId="02CC03D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{"citationID":"a2dlmg07gq8","properties":{"formattedCitation":"[186]","plainCitation":"[186]","noteIndex":0},"citationItems":[{"id":210,"uris":["http://zotero.org/users/12909065/items/W9LSFJA9"],"itemData":{"id":210,"type":"article-journal","abstract":"Nowadays, organic solar cells (OSCs) with Y6 and its derivatives as electron acceptors provide the highest efficiencies among the studied binary OSCs. To further improve the performances of OSCs, the fabrication of ternary OSCs (TOSCs) is a convenient strategy. Essentially, morphology control and the trade-off between voltage and photocurrent are the main critical issues in TOSCs. Herein, we address these problems by constructing TOSCs where an alloy-like composite is formed between Y6 and a newly designed derivative, BTP-M. Employing an electron-pushing methyl substituent as a replacement for the electron-withdrawing F atoms on Y6, BTP-M shows higher energy levels and lower crystallinity than Y6. As a result, the obtained Y6:BTP-M alloy can simultaneously optimize energy levels to reduce energy loss as well as the morphologies of the active layers to favor photocurrent generation, leading to an enhanced open-circuit voltage (Voc) of 0.875 V together with a larger short-circuit current density (Jsc) of 26.56 mA cm-2 for TOSCs based on the polymer donor PM6 and Y6:BTP-M acceptor alloy. Consequently, a best efficiency of 17.03% is achieved for the corresponding TOSCs, which is among the best values for single-junction OSCs. In addition, our TOSCs also exhibit good thickness tolerance, and can reach 14.23% efficiency even though the active layer is as thick as 300 nm. © 2020 The Royal Society of Chemistry.","archive":"Scopus","container-title":"Energy and Environmental Science","DOI":"10.1039/c9ee03710a","ISSN":"1754-5692","issue":"2","language":"English","page":"635-645","source":"Scopus","title":"Over 17% efficiency ternary organic solar cells enabled by two non-fullerene acceptors working in an alloy-like model","volume":"13","author":[{"family":"Zhan","given":"L."},{"family":"Li","given":"S."},{"family":"Lau","given":"T.-K."},{"family":"Cui","given":"Y."},{"family":"Lu","given":"X."},{"family":"Shi","given":"M."},{"family":"Li","given":"C.-Z."},{"family":"Li","given":"H."},{"family":"Hou","given":"J."},{"family":"Chen","given":"H."}],"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[186]</w:t>
            </w:r>
            <w:r w:rsidRPr="00B55044">
              <w:rPr>
                <w:rFonts w:eastAsia="Times New Roman"/>
                <w:color w:val="0000FF"/>
                <w:sz w:val="16"/>
                <w:szCs w:val="16"/>
              </w:rPr>
              <w:fldChar w:fldCharType="end"/>
            </w:r>
          </w:p>
        </w:tc>
      </w:tr>
      <w:tr w:rsidR="00D47774" w:rsidRPr="00B55044" w14:paraId="049FC0B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5EEF33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341</w:t>
            </w:r>
          </w:p>
        </w:tc>
        <w:tc>
          <w:tcPr>
            <w:tcW w:w="1525" w:type="pct"/>
            <w:tcBorders>
              <w:top w:val="single" w:sz="4" w:space="0" w:color="auto"/>
              <w:left w:val="nil"/>
              <w:bottom w:val="single" w:sz="4" w:space="0" w:color="auto"/>
              <w:right w:val="nil"/>
            </w:tcBorders>
            <w:shd w:val="clear" w:color="auto" w:fill="auto"/>
            <w:noWrap/>
            <w:vAlign w:val="bottom"/>
            <w:hideMark/>
          </w:tcPr>
          <w:p w14:paraId="5AF6208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2F4A01A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PM6:Y6:BTP-M (20%)</w:t>
            </w:r>
          </w:p>
        </w:tc>
        <w:tc>
          <w:tcPr>
            <w:tcW w:w="379" w:type="pct"/>
            <w:tcBorders>
              <w:top w:val="single" w:sz="4" w:space="0" w:color="auto"/>
              <w:left w:val="nil"/>
              <w:bottom w:val="single" w:sz="4" w:space="0" w:color="auto"/>
              <w:right w:val="nil"/>
            </w:tcBorders>
            <w:shd w:val="clear" w:color="auto" w:fill="auto"/>
            <w:noWrap/>
            <w:vAlign w:val="bottom"/>
            <w:hideMark/>
          </w:tcPr>
          <w:p w14:paraId="452E491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0.865</w:t>
            </w:r>
          </w:p>
        </w:tc>
        <w:tc>
          <w:tcPr>
            <w:tcW w:w="379" w:type="pct"/>
            <w:tcBorders>
              <w:top w:val="single" w:sz="4" w:space="0" w:color="auto"/>
              <w:left w:val="nil"/>
              <w:bottom w:val="single" w:sz="4" w:space="0" w:color="auto"/>
              <w:right w:val="nil"/>
            </w:tcBorders>
            <w:shd w:val="clear" w:color="auto" w:fill="auto"/>
            <w:noWrap/>
            <w:vAlign w:val="bottom"/>
            <w:hideMark/>
          </w:tcPr>
          <w:p w14:paraId="1BB801D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26.63</w:t>
            </w:r>
          </w:p>
        </w:tc>
        <w:tc>
          <w:tcPr>
            <w:tcW w:w="378" w:type="pct"/>
            <w:tcBorders>
              <w:top w:val="single" w:sz="4" w:space="0" w:color="auto"/>
              <w:left w:val="nil"/>
              <w:bottom w:val="single" w:sz="4" w:space="0" w:color="auto"/>
              <w:right w:val="nil"/>
            </w:tcBorders>
            <w:shd w:val="clear" w:color="auto" w:fill="auto"/>
            <w:noWrap/>
            <w:vAlign w:val="bottom"/>
            <w:hideMark/>
          </w:tcPr>
          <w:p w14:paraId="7D2BEE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69.71</w:t>
            </w:r>
          </w:p>
        </w:tc>
        <w:tc>
          <w:tcPr>
            <w:tcW w:w="381" w:type="pct"/>
            <w:tcBorders>
              <w:top w:val="single" w:sz="4" w:space="0" w:color="auto"/>
              <w:left w:val="nil"/>
              <w:bottom w:val="single" w:sz="4" w:space="0" w:color="auto"/>
              <w:right w:val="nil"/>
            </w:tcBorders>
            <w:shd w:val="clear" w:color="auto" w:fill="auto"/>
            <w:noWrap/>
            <w:vAlign w:val="bottom"/>
            <w:hideMark/>
          </w:tcPr>
          <w:p w14:paraId="197C8E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16.02</w:t>
            </w:r>
          </w:p>
        </w:tc>
        <w:tc>
          <w:tcPr>
            <w:tcW w:w="378" w:type="pct"/>
            <w:tcBorders>
              <w:top w:val="single" w:sz="4" w:space="0" w:color="auto"/>
              <w:left w:val="nil"/>
              <w:bottom w:val="single" w:sz="4" w:space="0" w:color="auto"/>
              <w:right w:val="nil"/>
            </w:tcBorders>
            <w:shd w:val="clear" w:color="auto" w:fill="auto"/>
            <w:noWrap/>
            <w:vAlign w:val="bottom"/>
            <w:hideMark/>
          </w:tcPr>
          <w:p w14:paraId="5A763A1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{"citationID":"a14qf6nm614","properties":{"formattedCitation":"[186]","plainCitation":"[186]","noteIndex":0},"citationItems":[{"id":210,"uris":["http://zotero.org/users/12909065/items/W9LSFJA9"],"itemData":{"id":210,"type":"article-journal","abstract":"Nowadays, organic solar cells (OSCs) with Y6 and its derivatives as electron acceptors provide the highest efficiencies among the studied binary OSCs. To further improve the performances of OSCs, the fabrication of ternary OSCs (TOSCs) is a convenient strategy. Essentially, morphology control and the trade-off between voltage and photocurrent are the main critical issues in TOSCs. Herein, we address these problems by constructing TOSCs where an alloy-like composite is formed between Y6 and a newly designed derivative, BTP-M. Employing an electron-pushing methyl substituent as a replacement for the electron-withdrawing F atoms on Y6, BTP-M shows higher energy levels and lower crystallinity than Y6. As a result, the obtained Y6:BTP-M alloy can simultaneously optimize energy levels to reduce energy loss as well as the morphologies of the active layers to favor photocurrent generation, leading to an enhanced open-circuit voltage (Voc) of 0.875 V together with a larger short-circuit current density (Jsc) of 26.56 mA cm-2 for TOSCs based on the polymer donor PM6 and Y6:BTP-M acceptor alloy. Consequently, a best efficiency of 17.03% is achieved for the corresponding TOSCs, which is among the best values for single-junction OSCs. In addition, our TOSCs also exhibit good thickness tolerance, and can reach 14.23% efficiency even though the active layer is as thick as 300 nm. © 2020 The Royal Society of Chemistry.","archive":"Scopus","container-title":"Energy and Environmental Science","DOI":"10.1039/c9ee03710a","ISSN":"1754-5692","issue":"2","language":"English","page":"635-645","source":"Scopus","title":"Over 17% efficiency ternary organic solar cells enabled by two non-fullerene acceptors working in an alloy-like model","volume":"13","author":[{"family":"Zhan","given":"L."},{"family":"Li","given":"S."},{"family":"Lau","given":"T.-K."},{"family":"Cui","given":"Y."},{"family":"Lu","given":"X."},{"family":"Shi","given":"M."},{"family":"Li","given":"C.-Z."},{"family":"Li","given":"H."},{"family":"Hou","given":"J."},{"family":"Chen","given":"H."}],"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[186]</w:t>
            </w:r>
            <w:r w:rsidRPr="00B55044">
              <w:rPr>
                <w:rFonts w:eastAsia="Times New Roman"/>
                <w:color w:val="0000FF"/>
                <w:sz w:val="16"/>
                <w:szCs w:val="16"/>
              </w:rPr>
              <w:fldChar w:fldCharType="end"/>
            </w:r>
          </w:p>
        </w:tc>
      </w:tr>
      <w:tr w:rsidR="00D47774" w:rsidRPr="00B55044" w14:paraId="158E584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FB16BC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342</w:t>
            </w:r>
          </w:p>
        </w:tc>
        <w:tc>
          <w:tcPr>
            <w:tcW w:w="1525" w:type="pct"/>
            <w:tcBorders>
              <w:top w:val="single" w:sz="4" w:space="0" w:color="auto"/>
              <w:left w:val="nil"/>
              <w:bottom w:val="single" w:sz="4" w:space="0" w:color="auto"/>
              <w:right w:val="nil"/>
            </w:tcBorders>
            <w:shd w:val="clear" w:color="auto" w:fill="auto"/>
            <w:noWrap/>
            <w:vAlign w:val="bottom"/>
            <w:hideMark/>
          </w:tcPr>
          <w:p w14:paraId="54805A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5B171D3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PM6:Y6:BTP-M (20%)</w:t>
            </w:r>
          </w:p>
        </w:tc>
        <w:tc>
          <w:tcPr>
            <w:tcW w:w="379" w:type="pct"/>
            <w:tcBorders>
              <w:top w:val="single" w:sz="4" w:space="0" w:color="auto"/>
              <w:left w:val="nil"/>
              <w:bottom w:val="single" w:sz="4" w:space="0" w:color="auto"/>
              <w:right w:val="nil"/>
            </w:tcBorders>
            <w:shd w:val="clear" w:color="auto" w:fill="auto"/>
            <w:noWrap/>
            <w:vAlign w:val="bottom"/>
            <w:hideMark/>
          </w:tcPr>
          <w:p w14:paraId="20C89DC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0.861</w:t>
            </w:r>
          </w:p>
        </w:tc>
        <w:tc>
          <w:tcPr>
            <w:tcW w:w="379" w:type="pct"/>
            <w:tcBorders>
              <w:top w:val="single" w:sz="4" w:space="0" w:color="auto"/>
              <w:left w:val="nil"/>
              <w:bottom w:val="single" w:sz="4" w:space="0" w:color="auto"/>
              <w:right w:val="nil"/>
            </w:tcBorders>
            <w:shd w:val="clear" w:color="auto" w:fill="auto"/>
            <w:noWrap/>
            <w:vAlign w:val="bottom"/>
            <w:hideMark/>
          </w:tcPr>
          <w:p w14:paraId="4B588F4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26.64</w:t>
            </w:r>
          </w:p>
        </w:tc>
        <w:tc>
          <w:tcPr>
            <w:tcW w:w="378" w:type="pct"/>
            <w:tcBorders>
              <w:top w:val="single" w:sz="4" w:space="0" w:color="auto"/>
              <w:left w:val="nil"/>
              <w:bottom w:val="single" w:sz="4" w:space="0" w:color="auto"/>
              <w:right w:val="nil"/>
            </w:tcBorders>
            <w:shd w:val="clear" w:color="auto" w:fill="auto"/>
            <w:noWrap/>
            <w:vAlign w:val="bottom"/>
            <w:hideMark/>
          </w:tcPr>
          <w:p w14:paraId="1F7CE63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66.19</w:t>
            </w:r>
          </w:p>
        </w:tc>
        <w:tc>
          <w:tcPr>
            <w:tcW w:w="381" w:type="pct"/>
            <w:tcBorders>
              <w:top w:val="single" w:sz="4" w:space="0" w:color="auto"/>
              <w:left w:val="nil"/>
              <w:bottom w:val="single" w:sz="4" w:space="0" w:color="auto"/>
              <w:right w:val="nil"/>
            </w:tcBorders>
            <w:shd w:val="clear" w:color="auto" w:fill="auto"/>
            <w:noWrap/>
            <w:vAlign w:val="bottom"/>
            <w:hideMark/>
          </w:tcPr>
          <w:p w14:paraId="1599976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15.15</w:t>
            </w:r>
          </w:p>
        </w:tc>
        <w:tc>
          <w:tcPr>
            <w:tcW w:w="378" w:type="pct"/>
            <w:tcBorders>
              <w:top w:val="single" w:sz="4" w:space="0" w:color="auto"/>
              <w:left w:val="nil"/>
              <w:bottom w:val="single" w:sz="4" w:space="0" w:color="auto"/>
              <w:right w:val="nil"/>
            </w:tcBorders>
            <w:shd w:val="clear" w:color="auto" w:fill="auto"/>
            <w:noWrap/>
            <w:vAlign w:val="bottom"/>
            <w:hideMark/>
          </w:tcPr>
          <w:p w14:paraId="40519A0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{"citationID":"acdfbns9nm","properties":{"formattedCitation":"[186]","plainCitation":"[186]","noteIndex":0},"citationItems":[{"id":210,"uris":["http://zotero.org/users/12909065/items/W9LSFJA9"],"itemData":{"id":210,"type":"article-journal","abstract":"Nowadays, organic solar cells (OSCs) with Y6 and its derivatives as electron acceptors provide the highest efficiencies among the studied binary OSCs. To further improve the performances of OSCs, the fabrication of ternary OSCs (TOSCs) is a convenient strategy. Essentially, morphology control and the trade-off between voltage and photocurrent are the main critical issues in TOSCs. Herein, we address these problems by constructing TOSCs where an alloy-like composite is formed between Y6 and a newly designed derivative, BTP-M. Employing an electron-pushing methyl substituent as a replacement for the electron-withdrawing F atoms on Y6, BTP-M shows higher energy levels and lower crystallinity than Y6. As a result, the obtained Y6:BTP-M alloy can simultaneously optimize energy levels to reduce energy loss as well as the morphologies of the active layers to favor photocurrent generation, leading to an enhanced open-circuit voltage (Voc) of 0.875 V together with a larger short-circuit current density (Jsc) of 26.56 mA cm-2 for TOSCs based on the polymer donor PM6 and Y6:BTP-M acceptor alloy. Consequently, a best efficiency of 17.03% is achieved for the corresponding TOSCs, which is among the best values for single-junction OSCs. In addition, our TOSCs also exhibit good thickness tolerance, and can reach 14.23% efficiency even though the active layer is as thick as 300 nm. © 2020 The Royal Society of Chemistry.","archive":"Scopus","container-title":"Energy and Environmental Science","DOI":"10.1039/c9ee03710a","ISSN":"1754-5692","issue":"2","language":"English","page":"635-645","source":"Scopus","title":"Over 17% efficiency ternary organic solar cells enabled by two non-fullerene acceptors working in an alloy-like model","volume":"13","author":[{"family":"Zhan","given":"L."},{"family":"Li","given":"S."},{"family":"Lau","given":"T.-K."},{"family":"Cui","given":"Y."},{"family":"Lu","given":"X."},{"family":"Shi","given":"M."},{"family":"Li","given":"C.-Z."},{"family":"Li","given":"H."},{"family":"Hou","given":"J."},{"family":"Chen","given":"H."}],"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[186]</w:t>
            </w:r>
            <w:r w:rsidRPr="00B55044">
              <w:rPr>
                <w:rFonts w:eastAsia="Times New Roman"/>
                <w:color w:val="0000FF"/>
                <w:sz w:val="16"/>
                <w:szCs w:val="16"/>
              </w:rPr>
              <w:fldChar w:fldCharType="end"/>
            </w:r>
          </w:p>
        </w:tc>
      </w:tr>
      <w:tr w:rsidR="00D47774" w:rsidRPr="00B55044" w14:paraId="77AADD6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0DC966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343</w:t>
            </w:r>
          </w:p>
        </w:tc>
        <w:tc>
          <w:tcPr>
            <w:tcW w:w="1525" w:type="pct"/>
            <w:tcBorders>
              <w:top w:val="single" w:sz="4" w:space="0" w:color="auto"/>
              <w:left w:val="nil"/>
              <w:bottom w:val="single" w:sz="4" w:space="0" w:color="auto"/>
              <w:right w:val="nil"/>
            </w:tcBorders>
            <w:shd w:val="clear" w:color="auto" w:fill="auto"/>
            <w:noWrap/>
            <w:vAlign w:val="bottom"/>
            <w:hideMark/>
          </w:tcPr>
          <w:p w14:paraId="79837AC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440A4AC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PM6:Y6:BTP-M (20%)</w:t>
            </w:r>
          </w:p>
        </w:tc>
        <w:tc>
          <w:tcPr>
            <w:tcW w:w="379" w:type="pct"/>
            <w:tcBorders>
              <w:top w:val="single" w:sz="4" w:space="0" w:color="auto"/>
              <w:left w:val="nil"/>
              <w:bottom w:val="single" w:sz="4" w:space="0" w:color="auto"/>
              <w:right w:val="nil"/>
            </w:tcBorders>
            <w:shd w:val="clear" w:color="auto" w:fill="auto"/>
            <w:noWrap/>
            <w:vAlign w:val="bottom"/>
            <w:hideMark/>
          </w:tcPr>
          <w:p w14:paraId="59E3CBD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0.855</w:t>
            </w:r>
          </w:p>
        </w:tc>
        <w:tc>
          <w:tcPr>
            <w:tcW w:w="379" w:type="pct"/>
            <w:tcBorders>
              <w:top w:val="single" w:sz="4" w:space="0" w:color="auto"/>
              <w:left w:val="nil"/>
              <w:bottom w:val="single" w:sz="4" w:space="0" w:color="auto"/>
              <w:right w:val="nil"/>
            </w:tcBorders>
            <w:shd w:val="clear" w:color="auto" w:fill="auto"/>
            <w:noWrap/>
            <w:vAlign w:val="bottom"/>
            <w:hideMark/>
          </w:tcPr>
          <w:p w14:paraId="1311157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26.87</w:t>
            </w:r>
          </w:p>
        </w:tc>
        <w:tc>
          <w:tcPr>
            <w:tcW w:w="378" w:type="pct"/>
            <w:tcBorders>
              <w:top w:val="single" w:sz="4" w:space="0" w:color="auto"/>
              <w:left w:val="nil"/>
              <w:bottom w:val="single" w:sz="4" w:space="0" w:color="auto"/>
              <w:right w:val="nil"/>
            </w:tcBorders>
            <w:shd w:val="clear" w:color="auto" w:fill="auto"/>
            <w:noWrap/>
            <w:vAlign w:val="bottom"/>
            <w:hideMark/>
          </w:tcPr>
          <w:p w14:paraId="1171157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62.06</w:t>
            </w:r>
          </w:p>
        </w:tc>
        <w:tc>
          <w:tcPr>
            <w:tcW w:w="381" w:type="pct"/>
            <w:tcBorders>
              <w:top w:val="single" w:sz="4" w:space="0" w:color="auto"/>
              <w:left w:val="nil"/>
              <w:bottom w:val="single" w:sz="4" w:space="0" w:color="auto"/>
              <w:right w:val="nil"/>
            </w:tcBorders>
            <w:shd w:val="clear" w:color="auto" w:fill="auto"/>
            <w:noWrap/>
            <w:vAlign w:val="bottom"/>
            <w:hideMark/>
          </w:tcPr>
          <w:p w14:paraId="3A51B95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14.23</w:t>
            </w:r>
          </w:p>
        </w:tc>
        <w:tc>
          <w:tcPr>
            <w:tcW w:w="378" w:type="pct"/>
            <w:tcBorders>
              <w:top w:val="single" w:sz="4" w:space="0" w:color="auto"/>
              <w:left w:val="nil"/>
              <w:bottom w:val="single" w:sz="4" w:space="0" w:color="auto"/>
              <w:right w:val="nil"/>
            </w:tcBorders>
            <w:shd w:val="clear" w:color="auto" w:fill="auto"/>
            <w:noWrap/>
            <w:vAlign w:val="bottom"/>
            <w:hideMark/>
          </w:tcPr>
          <w:p w14:paraId="6C403E8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{"citationID":"ab953o7hdi","properties":{"formattedCitation":"[186]","plainCitation":"[186]","noteIndex":0},"citationItems":[{"id":210,"uris":["http://zotero.org/users/12909065/items/W9LSFJA9"],"itemData":{"id":210,"type":"article-journal","abstract":"Nowadays, organic solar cells (OSCs) with Y6 and its derivatives as electron acceptors provide the highest efficiencies among the studied binary OSCs. To further improve the performances of OSCs, the fabrication of ternary OSCs (TOSCs) is a convenient strategy. Essentially, morphology control and the trade-off between voltage and photocurrent are the main critical issues in TOSCs. Herein, we address these problems by constructing TOSCs where an alloy-like composite is formed between Y6 and a newly designed derivative, BTP-M. Employing an electron-pushing methyl substituent as a replacement for the electron-withdrawing F atoms on Y6, BTP-M shows higher energy levels and lower crystallinity than Y6. As a result, the obtained Y6:BTP-M alloy can simultaneously optimize energy levels to reduce energy loss as well as the morphologies of the active layers to favor photocurrent generation, leading to an enhanced open-circuit voltage (Voc) of 0.875 V together with a larger short-circuit current density (Jsc) of 26.56 mA cm-2 for TOSCs based on the polymer donor PM6 and Y6:BTP-M acceptor alloy. Consequently, a best efficiency of 17.03% is achieved for the corresponding TOSCs, which is among the best values for single-junction OSCs. In addition, our TOSCs also exhibit good thickness tolerance, and can reach 14.23% efficiency even though the active layer is as thick as 300 nm. © 2020 The Royal Society of Chemistry.","archive":"Scopus","container-title":"Energy and Environmental Science","DOI":"10.1039/c9ee03710a","ISSN":"1754-5692","issue":"2","language":"English","page":"635-645","source":"Scopus","title":"Over 17% efficiency ternary organic solar cells enabled by two non-fullerene acceptors working in an alloy-like model","volume":"13","author":[{"family":"Zhan","given":"L."},{"family":"Li","given":"S."},{"family":"Lau","given":"T.-K."},{"family":"Cui","given":"Y."},{"family":"Lu","given":"X."},{"family":"Shi","given":"M."},{"family":"Li","given":"C.-Z."},{"family":"Li","given":"H."},{"family":"Hou","given":"J."},{"family":"Chen","given":"H."}],"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[186]</w:t>
            </w:r>
            <w:r w:rsidRPr="00B55044">
              <w:rPr>
                <w:rFonts w:eastAsia="Times New Roman"/>
                <w:color w:val="0000FF"/>
                <w:sz w:val="16"/>
                <w:szCs w:val="16"/>
              </w:rPr>
              <w:fldChar w:fldCharType="end"/>
            </w:r>
          </w:p>
        </w:tc>
      </w:tr>
      <w:tr w:rsidR="00D47774" w:rsidRPr="00B55044" w14:paraId="5C945F6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0FC08F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344</w:t>
            </w:r>
          </w:p>
        </w:tc>
        <w:tc>
          <w:tcPr>
            <w:tcW w:w="1525" w:type="pct"/>
            <w:tcBorders>
              <w:top w:val="single" w:sz="4" w:space="0" w:color="auto"/>
              <w:left w:val="nil"/>
              <w:bottom w:val="single" w:sz="4" w:space="0" w:color="auto"/>
              <w:right w:val="nil"/>
            </w:tcBorders>
            <w:shd w:val="clear" w:color="auto" w:fill="auto"/>
            <w:noWrap/>
            <w:vAlign w:val="bottom"/>
            <w:hideMark/>
          </w:tcPr>
          <w:p w14:paraId="0FF1ACA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457934F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PM6:Y6:BTP-M (20%)</w:t>
            </w:r>
          </w:p>
        </w:tc>
        <w:tc>
          <w:tcPr>
            <w:tcW w:w="379" w:type="pct"/>
            <w:tcBorders>
              <w:top w:val="single" w:sz="4" w:space="0" w:color="auto"/>
              <w:left w:val="nil"/>
              <w:bottom w:val="single" w:sz="4" w:space="0" w:color="auto"/>
              <w:right w:val="nil"/>
            </w:tcBorders>
            <w:shd w:val="clear" w:color="auto" w:fill="auto"/>
            <w:noWrap/>
            <w:vAlign w:val="bottom"/>
            <w:hideMark/>
          </w:tcPr>
          <w:p w14:paraId="55F0FD2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0.849</w:t>
            </w:r>
          </w:p>
        </w:tc>
        <w:tc>
          <w:tcPr>
            <w:tcW w:w="379" w:type="pct"/>
            <w:tcBorders>
              <w:top w:val="single" w:sz="4" w:space="0" w:color="auto"/>
              <w:left w:val="nil"/>
              <w:bottom w:val="single" w:sz="4" w:space="0" w:color="auto"/>
              <w:right w:val="nil"/>
            </w:tcBorders>
            <w:shd w:val="clear" w:color="auto" w:fill="auto"/>
            <w:noWrap/>
            <w:vAlign w:val="bottom"/>
            <w:hideMark/>
          </w:tcPr>
          <w:p w14:paraId="192DC2A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26.24</w:t>
            </w:r>
          </w:p>
        </w:tc>
        <w:tc>
          <w:tcPr>
            <w:tcW w:w="378" w:type="pct"/>
            <w:tcBorders>
              <w:top w:val="single" w:sz="4" w:space="0" w:color="auto"/>
              <w:left w:val="nil"/>
              <w:bottom w:val="single" w:sz="4" w:space="0" w:color="auto"/>
              <w:right w:val="nil"/>
            </w:tcBorders>
            <w:shd w:val="clear" w:color="auto" w:fill="auto"/>
            <w:noWrap/>
            <w:vAlign w:val="bottom"/>
            <w:hideMark/>
          </w:tcPr>
          <w:p w14:paraId="0B922F1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60.36</w:t>
            </w:r>
          </w:p>
        </w:tc>
        <w:tc>
          <w:tcPr>
            <w:tcW w:w="381" w:type="pct"/>
            <w:tcBorders>
              <w:top w:val="single" w:sz="4" w:space="0" w:color="auto"/>
              <w:left w:val="nil"/>
              <w:bottom w:val="single" w:sz="4" w:space="0" w:color="auto"/>
              <w:right w:val="nil"/>
            </w:tcBorders>
            <w:shd w:val="clear" w:color="auto" w:fill="auto"/>
            <w:noWrap/>
            <w:vAlign w:val="bottom"/>
            <w:hideMark/>
          </w:tcPr>
          <w:p w14:paraId="0224F00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13.48</w:t>
            </w:r>
          </w:p>
        </w:tc>
        <w:tc>
          <w:tcPr>
            <w:tcW w:w="378" w:type="pct"/>
            <w:tcBorders>
              <w:top w:val="single" w:sz="4" w:space="0" w:color="auto"/>
              <w:left w:val="nil"/>
              <w:bottom w:val="single" w:sz="4" w:space="0" w:color="auto"/>
              <w:right w:val="nil"/>
            </w:tcBorders>
            <w:shd w:val="clear" w:color="auto" w:fill="auto"/>
            <w:noWrap/>
            <w:vAlign w:val="bottom"/>
            <w:hideMark/>
          </w:tcPr>
          <w:p w14:paraId="5E1812C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{"citationID":"a22d5i9q2fp","properties":{"formattedCitation":"[186]","plainCitation":"[186]","noteIndex":0},"citationItems":[{"id":210,"uris":["http://zotero.org/users/12909065/items/W9LSFJA9"],"itemData":{"id":210,"type":"article-journal","abstract":"Nowadays, organic solar cells (OSCs) with Y6 and its derivatives as electron acceptors provide the highest efficiencies among the studied binary OSCs. To further improve the performances of OSCs, the fabrication of ternary OSCs (TOSCs) is a convenient strategy. Essentially, morphology control and the trade-off between voltage and photocurrent are the main critical issues in TOSCs. Herein, we address these problems by constructing TOSCs where an alloy-like composite is formed between Y6 and a newly designed derivative, BTP-M. Employing an electron-pushing methyl substituent as a replacement for the electron-withdrawing F atoms on Y6, BTP-M shows higher energy levels and lower crystallinity than Y6. As a result, the obtained Y6:BTP-M alloy can simultaneously optimize energy levels to reduce energy loss as well as the morphologies of the active layers to favor photocurrent generation, leading to an enhanced open-circuit voltage (Voc) of 0.875 V together with a larger short-circuit current density (Jsc) of 26.56 mA cm-2 for TOSCs based on the polymer donor PM6 and Y6:BTP-M acceptor alloy. Consequently, a best efficiency of 17.03% is achieved for the corresponding TOSCs, which is among the best values for single-junction OSCs. In addition, our TOSCs also exhibit good thickness tolerance, and can reach 14.23% efficiency even though the active layer is as thick as 300 nm. © 2020 The Royal Society of Chemistry.","archive":"Scopus","container-title":"Energy and Environmental Science","DOI":"10.1039/c9ee03710a","ISSN":"1754-5692","issue":"2","language":"English","page":"635-645","source":"Scopus","title":"Over 17% efficiency ternary organic solar cells enabled by two non-fullerene acceptors working in an alloy-like model","volume":"13","author":[{"family":"Zhan","given":"L."},{"family":"Li","given":"S."},{"family":"Lau","given":"T.-K."},{"family":"Cui","given":"Y."},{"family":"Lu","given":"X."},{"family":"Shi","given":"M."},{"family":"Li","given":"C.-Z."},{"family":"Li","given":"H."},{"family":"Hou","given":"J."},{"family":"Chen","given":"H."}],"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[186]</w:t>
            </w:r>
            <w:r w:rsidRPr="00B55044">
              <w:rPr>
                <w:rFonts w:eastAsia="Times New Roman"/>
                <w:color w:val="0000FF"/>
                <w:sz w:val="16"/>
                <w:szCs w:val="16"/>
              </w:rPr>
              <w:fldChar w:fldCharType="end"/>
            </w:r>
          </w:p>
        </w:tc>
      </w:tr>
      <w:tr w:rsidR="00D47774" w:rsidRPr="00B55044" w14:paraId="1B51307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31C51A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345</w:t>
            </w:r>
          </w:p>
        </w:tc>
        <w:tc>
          <w:tcPr>
            <w:tcW w:w="1525" w:type="pct"/>
            <w:tcBorders>
              <w:top w:val="single" w:sz="4" w:space="0" w:color="auto"/>
              <w:left w:val="nil"/>
              <w:bottom w:val="single" w:sz="4" w:space="0" w:color="auto"/>
              <w:right w:val="nil"/>
            </w:tcBorders>
            <w:shd w:val="clear" w:color="auto" w:fill="auto"/>
            <w:noWrap/>
            <w:vAlign w:val="bottom"/>
            <w:hideMark/>
          </w:tcPr>
          <w:p w14:paraId="3076253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3F7EF1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PM6:Y6:BTP-M (20%)</w:t>
            </w:r>
          </w:p>
        </w:tc>
        <w:tc>
          <w:tcPr>
            <w:tcW w:w="379" w:type="pct"/>
            <w:tcBorders>
              <w:top w:val="single" w:sz="4" w:space="0" w:color="auto"/>
              <w:left w:val="nil"/>
              <w:bottom w:val="single" w:sz="4" w:space="0" w:color="auto"/>
              <w:right w:val="nil"/>
            </w:tcBorders>
            <w:shd w:val="clear" w:color="auto" w:fill="auto"/>
            <w:noWrap/>
            <w:vAlign w:val="bottom"/>
            <w:hideMark/>
          </w:tcPr>
          <w:p w14:paraId="04063D2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0.865</w:t>
            </w:r>
          </w:p>
        </w:tc>
        <w:tc>
          <w:tcPr>
            <w:tcW w:w="379" w:type="pct"/>
            <w:tcBorders>
              <w:top w:val="single" w:sz="4" w:space="0" w:color="auto"/>
              <w:left w:val="nil"/>
              <w:bottom w:val="single" w:sz="4" w:space="0" w:color="auto"/>
              <w:right w:val="nil"/>
            </w:tcBorders>
            <w:shd w:val="clear" w:color="auto" w:fill="auto"/>
            <w:noWrap/>
            <w:vAlign w:val="bottom"/>
            <w:hideMark/>
          </w:tcPr>
          <w:p w14:paraId="7E6546E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26.59</w:t>
            </w:r>
          </w:p>
        </w:tc>
        <w:tc>
          <w:tcPr>
            <w:tcW w:w="378" w:type="pct"/>
            <w:tcBorders>
              <w:top w:val="single" w:sz="4" w:space="0" w:color="auto"/>
              <w:left w:val="nil"/>
              <w:bottom w:val="single" w:sz="4" w:space="0" w:color="auto"/>
              <w:right w:val="nil"/>
            </w:tcBorders>
            <w:shd w:val="clear" w:color="auto" w:fill="auto"/>
            <w:noWrap/>
            <w:vAlign w:val="bottom"/>
            <w:hideMark/>
          </w:tcPr>
          <w:p w14:paraId="0E5DF32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71.69</w:t>
            </w:r>
          </w:p>
        </w:tc>
        <w:tc>
          <w:tcPr>
            <w:tcW w:w="381" w:type="pct"/>
            <w:tcBorders>
              <w:top w:val="single" w:sz="4" w:space="0" w:color="auto"/>
              <w:left w:val="nil"/>
              <w:bottom w:val="single" w:sz="4" w:space="0" w:color="auto"/>
              <w:right w:val="nil"/>
            </w:tcBorders>
            <w:shd w:val="clear" w:color="auto" w:fill="auto"/>
            <w:noWrap/>
            <w:vAlign w:val="bottom"/>
            <w:hideMark/>
          </w:tcPr>
          <w:p w14:paraId="45469E2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16.41</w:t>
            </w:r>
          </w:p>
        </w:tc>
        <w:tc>
          <w:tcPr>
            <w:tcW w:w="378" w:type="pct"/>
            <w:tcBorders>
              <w:top w:val="single" w:sz="4" w:space="0" w:color="auto"/>
              <w:left w:val="nil"/>
              <w:bottom w:val="single" w:sz="4" w:space="0" w:color="auto"/>
              <w:right w:val="nil"/>
            </w:tcBorders>
            <w:shd w:val="clear" w:color="auto" w:fill="auto"/>
            <w:noWrap/>
            <w:vAlign w:val="bottom"/>
            <w:hideMark/>
          </w:tcPr>
          <w:p w14:paraId="412DF65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{"citationID":"a132pvun1rv","properties":{"formattedCitation":"[186]","plainCitation":"[186]","noteIndex":0},"citationItems":[{"id":210,"uris":["http://zotero.org/users/12909065/items/W9LSFJA9"],"itemData":{"id":210,"type":"article-journal","abstract":"Nowadays, organic solar cells (OSCs) with Y6 and its derivatives as electron acceptors provide the highest efficiencies among the studied binary OSCs. To further improve the performances of OSCs, the fabrication of ternary OSCs (TOSCs) is a convenient strategy. Essentially, morphology control and the trade-off between voltage and photocurrent are the main critical issues in TOSCs. Herein, we address these problems by constructing TOSCs where an alloy-like composite is formed between Y6 and a newly designed derivative, BTP-M. Employing an electron-pushing methyl substituent as a replacement for the electron-withdrawing F atoms on Y6, BTP-M shows higher energy levels and lower crystallinity than Y6. As a result, the obtained Y6:BTP-M alloy can simultaneously optimize energy levels to reduce energy loss as well as the morphologies of the active layers to favor photocurrent generation, leading to an enhanced open-circuit voltage (Voc) of 0.875 V together with a larger short-circuit current density (Jsc) of 26.56 mA cm-2 for TOSCs based on the polymer donor PM6 and Y6:BTP-M acceptor alloy. Consequently, a best efficiency of 17.03% is achieved for the corresponding TOSCs, which is among the best values for single-junction OSCs. In addition, our TOSCs also exhibit good thickness tolerance, and can reach 14.23% efficiency even though the active layer is as thick as 300 nm. © 2020 The Royal Society of Chemistry.","archive":"Scopus","container-title":"Energy and Environmental Science","DOI":"10.1039/c9ee03710a","ISSN":"1754-5692","issue":"2","language":"English","page":"635-645","source":"Scopus","title":"Over 17% efficiency ternary organic solar cells enabled by two non-fullerene acceptors working in an alloy-like model","volume":"13","author":[{"family":"Zhan","given":"L."},{"family":"Li","given":"S."},{"family":"Lau","given":"T.-K."},{"family":"Cui","given":"Y."},{"family":"Lu","given":"X."},{"family":"Shi","given":"M."},{"family":"Li","given":"C.-Z."},{"family":"Li","given":"H."},{"family":"Hou","given":"J."},{"family":"Chen","given":"H."}],"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[186]</w:t>
            </w:r>
            <w:r w:rsidRPr="00B55044">
              <w:rPr>
                <w:rFonts w:eastAsia="Times New Roman"/>
                <w:color w:val="0000FF"/>
                <w:sz w:val="16"/>
                <w:szCs w:val="16"/>
              </w:rPr>
              <w:fldChar w:fldCharType="end"/>
            </w:r>
          </w:p>
        </w:tc>
      </w:tr>
      <w:tr w:rsidR="00D47774" w:rsidRPr="00B55044" w14:paraId="4E16C54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4BD278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346</w:t>
            </w:r>
          </w:p>
        </w:tc>
        <w:tc>
          <w:tcPr>
            <w:tcW w:w="1525" w:type="pct"/>
            <w:tcBorders>
              <w:top w:val="single" w:sz="4" w:space="0" w:color="auto"/>
              <w:left w:val="nil"/>
              <w:bottom w:val="single" w:sz="4" w:space="0" w:color="auto"/>
              <w:right w:val="nil"/>
            </w:tcBorders>
            <w:shd w:val="clear" w:color="auto" w:fill="auto"/>
            <w:noWrap/>
            <w:vAlign w:val="bottom"/>
            <w:hideMark/>
          </w:tcPr>
          <w:p w14:paraId="37A2989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73C4F9A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PM6:BPR-SCl(15%):Y6</w:t>
            </w:r>
          </w:p>
        </w:tc>
        <w:tc>
          <w:tcPr>
            <w:tcW w:w="379" w:type="pct"/>
            <w:tcBorders>
              <w:top w:val="single" w:sz="4" w:space="0" w:color="auto"/>
              <w:left w:val="nil"/>
              <w:bottom w:val="single" w:sz="4" w:space="0" w:color="auto"/>
              <w:right w:val="nil"/>
            </w:tcBorders>
            <w:shd w:val="clear" w:color="auto" w:fill="auto"/>
            <w:noWrap/>
            <w:vAlign w:val="bottom"/>
            <w:hideMark/>
          </w:tcPr>
          <w:p w14:paraId="66AA4DD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2E79FB2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25.29</w:t>
            </w:r>
          </w:p>
        </w:tc>
        <w:tc>
          <w:tcPr>
            <w:tcW w:w="378" w:type="pct"/>
            <w:tcBorders>
              <w:top w:val="single" w:sz="4" w:space="0" w:color="auto"/>
              <w:left w:val="nil"/>
              <w:bottom w:val="single" w:sz="4" w:space="0" w:color="auto"/>
              <w:right w:val="nil"/>
            </w:tcBorders>
            <w:shd w:val="clear" w:color="auto" w:fill="auto"/>
            <w:noWrap/>
            <w:vAlign w:val="bottom"/>
            <w:hideMark/>
          </w:tcPr>
          <w:p w14:paraId="18A558F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w:t>
            </w:r>
          </w:p>
        </w:tc>
        <w:tc>
          <w:tcPr>
            <w:tcW w:w="381" w:type="pct"/>
            <w:tcBorders>
              <w:top w:val="single" w:sz="4" w:space="0" w:color="auto"/>
              <w:left w:val="nil"/>
              <w:bottom w:val="single" w:sz="4" w:space="0" w:color="auto"/>
              <w:right w:val="nil"/>
            </w:tcBorders>
            <w:shd w:val="clear" w:color="auto" w:fill="auto"/>
            <w:noWrap/>
            <w:vAlign w:val="bottom"/>
            <w:hideMark/>
          </w:tcPr>
          <w:p w14:paraId="1A52EC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16.09</w:t>
            </w:r>
          </w:p>
        </w:tc>
        <w:tc>
          <w:tcPr>
            <w:tcW w:w="378" w:type="pct"/>
            <w:tcBorders>
              <w:top w:val="single" w:sz="4" w:space="0" w:color="auto"/>
              <w:left w:val="nil"/>
              <w:bottom w:val="single" w:sz="4" w:space="0" w:color="auto"/>
              <w:right w:val="nil"/>
            </w:tcBorders>
            <w:shd w:val="clear" w:color="auto" w:fill="auto"/>
            <w:noWrap/>
            <w:vAlign w:val="bottom"/>
            <w:hideMark/>
          </w:tcPr>
          <w:p w14:paraId="7A41EC6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{"citationID":"a15g9cii096","properties":{"formattedCitation":"[187]","plainCitation":"[187]","noteIndex":0},"citationItems":[{"id":209,"uris":["http://zotero.org/users/12909065/items/IMED7FCA"],"itemData":{"id":209,"type":"article-journal","abstract":"Despite the impressive progress that has been achieved for organic solar cells (OSCs) in recent years, challenges remain for OSCs due to the presence of the trade-off between photovoltage and photocurrent that sets limitation on the performance enhancement of regular bulk heterojunction (BHJ) blends. Herein, a new small-molecule (SM) donor, BPR-SCl, with the deep-lying highest occupied molecular orbital and strong crystallinity has been developed, which, as the third component, is synergized with PM6:Y6 host blend. The introduction of BPR-SCl enhances molecular packing, exciton dissociation, as well as charge mobilities of ternary blends, yielding simultaneous enhancement of open-circuit voltage, short-circuit current density, and fill factor of ternary OSCs (TOSCs). As a result, an optimal power conversion efficiency (PCE) of 16.74% is obtained for TOSCs with 25 wt% BPR-SCl, accounting for 10% and 70% improvements over those of pristine PM6:Y6 and BPR-SCl:Y6 binary devices, respectively. Overall, herein, it is demonstrated that the design of SM donor as the third component is effective in achieving high-performance TOSCs. © 2020 Wiley-VCH GmbH","archive":"Scopus","container-title":"Solar RRL","DOI":"10.1002/solr.202000537","ISSN":"2367-198X","language":"English","source":"Scopus","title":"High-Efficiency Ternary Organic Solar Cells Based on the Synergized Polymeric and Small-Molecule Donors","author":[{"family":"Chen","given":"X."},{"family":"Zhang","given":"Q."},{"family":"Wang","given":"D."},{"family":"Xu","given":"X."},{"family":"Wang","given":"Z."},{"family":"Li","given":"Y."},{"family":"Zhu","given":"H."},{"family":"Lu","given":"X."},{"family":"Chen","given":"W."},{"family":"Qiu","given":"H."},{"family":"Li","given":"C.-Z."}],"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[187]</w:t>
            </w:r>
            <w:r w:rsidRPr="00B55044">
              <w:rPr>
                <w:rFonts w:eastAsia="Times New Roman"/>
                <w:color w:val="0000FF"/>
                <w:sz w:val="16"/>
                <w:szCs w:val="16"/>
              </w:rPr>
              <w:fldChar w:fldCharType="end"/>
            </w:r>
          </w:p>
        </w:tc>
      </w:tr>
      <w:tr w:rsidR="00D47774" w:rsidRPr="00B55044" w14:paraId="1958209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A9AB52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347</w:t>
            </w:r>
          </w:p>
        </w:tc>
        <w:tc>
          <w:tcPr>
            <w:tcW w:w="1525" w:type="pct"/>
            <w:tcBorders>
              <w:top w:val="single" w:sz="4" w:space="0" w:color="auto"/>
              <w:left w:val="nil"/>
              <w:bottom w:val="single" w:sz="4" w:space="0" w:color="auto"/>
              <w:right w:val="nil"/>
            </w:tcBorders>
            <w:shd w:val="clear" w:color="auto" w:fill="auto"/>
            <w:noWrap/>
            <w:vAlign w:val="bottom"/>
            <w:hideMark/>
          </w:tcPr>
          <w:p w14:paraId="7C2508E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33D4C29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PM6:BPR-SCl(25%):Y6</w:t>
            </w:r>
          </w:p>
        </w:tc>
        <w:tc>
          <w:tcPr>
            <w:tcW w:w="379" w:type="pct"/>
            <w:tcBorders>
              <w:top w:val="single" w:sz="4" w:space="0" w:color="auto"/>
              <w:left w:val="nil"/>
              <w:bottom w:val="single" w:sz="4" w:space="0" w:color="auto"/>
              <w:right w:val="nil"/>
            </w:tcBorders>
            <w:shd w:val="clear" w:color="auto" w:fill="auto"/>
            <w:noWrap/>
            <w:vAlign w:val="bottom"/>
            <w:hideMark/>
          </w:tcPr>
          <w:p w14:paraId="043B02B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66E4D03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25.77</w:t>
            </w:r>
          </w:p>
        </w:tc>
        <w:tc>
          <w:tcPr>
            <w:tcW w:w="378" w:type="pct"/>
            <w:tcBorders>
              <w:top w:val="single" w:sz="4" w:space="0" w:color="auto"/>
              <w:left w:val="nil"/>
              <w:bottom w:val="single" w:sz="4" w:space="0" w:color="auto"/>
              <w:right w:val="nil"/>
            </w:tcBorders>
            <w:shd w:val="clear" w:color="auto" w:fill="auto"/>
            <w:noWrap/>
            <w:vAlign w:val="bottom"/>
            <w:hideMark/>
          </w:tcPr>
          <w:p w14:paraId="7315D49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w:t>
            </w:r>
          </w:p>
        </w:tc>
        <w:tc>
          <w:tcPr>
            <w:tcW w:w="381" w:type="pct"/>
            <w:tcBorders>
              <w:top w:val="single" w:sz="4" w:space="0" w:color="auto"/>
              <w:left w:val="nil"/>
              <w:bottom w:val="single" w:sz="4" w:space="0" w:color="auto"/>
              <w:right w:val="nil"/>
            </w:tcBorders>
            <w:shd w:val="clear" w:color="auto" w:fill="auto"/>
            <w:noWrap/>
            <w:vAlign w:val="bottom"/>
            <w:hideMark/>
          </w:tcPr>
          <w:p w14:paraId="27892DD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16.74</w:t>
            </w:r>
          </w:p>
        </w:tc>
        <w:tc>
          <w:tcPr>
            <w:tcW w:w="378" w:type="pct"/>
            <w:tcBorders>
              <w:top w:val="single" w:sz="4" w:space="0" w:color="auto"/>
              <w:left w:val="nil"/>
              <w:bottom w:val="single" w:sz="4" w:space="0" w:color="auto"/>
              <w:right w:val="nil"/>
            </w:tcBorders>
            <w:shd w:val="clear" w:color="auto" w:fill="auto"/>
            <w:noWrap/>
            <w:vAlign w:val="bottom"/>
            <w:hideMark/>
          </w:tcPr>
          <w:p w14:paraId="54B0AFE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{"citationID":"a1163n0o3sa","properties":{"formattedCitation":"[187]","plainCitation":"[187]","noteIndex":0},"citationItems":[{"id":209,"uris":["http://zotero.org/users/12909065/items/IMED7FCA"],"itemData":{"id":209,"type":"article-journal","abstract":"Despite the impressive progress that has been achieved for organic solar cells (OSCs) in recent years, challenges remain for OSCs due to the presence of the trade-off between photovoltage and photocurrent that sets limitation on the performance enhancement of regular bulk heterojunction (BHJ) blends. Herein, a new small-molecule (SM) donor, BPR-SCl, with the deep-lying highest occupied molecular orbital and strong crystallinity has been developed, which, as the third component, is synergized with PM6:Y6 host blend. The introduction of BPR-SCl enhances molecular packing, exciton dissociation, as well as charge mobilities of ternary blends, yielding simultaneous enhancement of open-circuit voltage, short-circuit current density, and fill factor of ternary OSCs (TOSCs). As a result, an optimal power conversion efficiency (PCE) of 16.74% is obtained for TOSCs with 25 wt% BPR-SCl, accounting for 10% and 70% improvements over those of pristine PM6:Y6 and BPR-SCl:Y6 binary devices, respectively. Overall, herein, it is demonstrated that the design of SM donor as the third component is effective in achieving high-performance TOSCs. © 2020 Wiley-VCH GmbH","archive":"Scopus","container-title":"Solar RRL","DOI":"10.1002/solr.202000537","ISSN":"2367-198X","language":"English","source":"Scopus","title":"High-Efficiency Ternary Organic Solar Cells Based on the Synergized Polymeric and Small-Molecule Donors","author":[{"family":"Chen","given":"X."},{"family":"Zhang","given":"Q."},{"family":"Wang","given":"D."},{"family":"Xu","given":"X."},{"family":"Wang","given":"Z."},{"family":"Li","given":"Y."},{"family":"Zhu","given":"H."},{"family":"Lu","given":"X."},{"family":"Chen","given":"W."},{"family":"Qiu","given":"H."},{"family":"Li","given":"C.-Z."}],"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[187]</w:t>
            </w:r>
            <w:r w:rsidRPr="00B55044">
              <w:rPr>
                <w:rFonts w:eastAsia="Times New Roman"/>
                <w:color w:val="0000FF"/>
                <w:sz w:val="16"/>
                <w:szCs w:val="16"/>
              </w:rPr>
              <w:fldChar w:fldCharType="end"/>
            </w:r>
          </w:p>
        </w:tc>
      </w:tr>
      <w:tr w:rsidR="00D47774" w:rsidRPr="00B55044" w14:paraId="702D340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4E7BA4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348</w:t>
            </w:r>
          </w:p>
        </w:tc>
        <w:tc>
          <w:tcPr>
            <w:tcW w:w="1525" w:type="pct"/>
            <w:tcBorders>
              <w:top w:val="single" w:sz="4" w:space="0" w:color="auto"/>
              <w:left w:val="nil"/>
              <w:bottom w:val="single" w:sz="4" w:space="0" w:color="auto"/>
              <w:right w:val="nil"/>
            </w:tcBorders>
            <w:shd w:val="clear" w:color="auto" w:fill="auto"/>
            <w:noWrap/>
            <w:vAlign w:val="bottom"/>
            <w:hideMark/>
          </w:tcPr>
          <w:p w14:paraId="28E29CE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18A8F7B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PM6:BPR-SCl(35%):Y6</w:t>
            </w:r>
          </w:p>
        </w:tc>
        <w:tc>
          <w:tcPr>
            <w:tcW w:w="379" w:type="pct"/>
            <w:tcBorders>
              <w:top w:val="single" w:sz="4" w:space="0" w:color="auto"/>
              <w:left w:val="nil"/>
              <w:bottom w:val="single" w:sz="4" w:space="0" w:color="auto"/>
              <w:right w:val="nil"/>
            </w:tcBorders>
            <w:shd w:val="clear" w:color="auto" w:fill="auto"/>
            <w:noWrap/>
            <w:vAlign w:val="bottom"/>
            <w:hideMark/>
          </w:tcPr>
          <w:p w14:paraId="253520F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w:t>
            </w:r>
          </w:p>
        </w:tc>
        <w:tc>
          <w:tcPr>
            <w:tcW w:w="379" w:type="pct"/>
            <w:tcBorders>
              <w:top w:val="single" w:sz="4" w:space="0" w:color="auto"/>
              <w:left w:val="nil"/>
              <w:bottom w:val="single" w:sz="4" w:space="0" w:color="auto"/>
              <w:right w:val="nil"/>
            </w:tcBorders>
            <w:shd w:val="clear" w:color="auto" w:fill="auto"/>
            <w:noWrap/>
            <w:vAlign w:val="bottom"/>
            <w:hideMark/>
          </w:tcPr>
          <w:p w14:paraId="023EA7F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25.19</w:t>
            </w:r>
          </w:p>
        </w:tc>
        <w:tc>
          <w:tcPr>
            <w:tcW w:w="378" w:type="pct"/>
            <w:tcBorders>
              <w:top w:val="single" w:sz="4" w:space="0" w:color="auto"/>
              <w:left w:val="nil"/>
              <w:bottom w:val="single" w:sz="4" w:space="0" w:color="auto"/>
              <w:right w:val="nil"/>
            </w:tcBorders>
            <w:shd w:val="clear" w:color="auto" w:fill="auto"/>
            <w:noWrap/>
            <w:vAlign w:val="bottom"/>
            <w:hideMark/>
          </w:tcPr>
          <w:p w14:paraId="38BF128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w:t>
            </w:r>
          </w:p>
        </w:tc>
        <w:tc>
          <w:tcPr>
            <w:tcW w:w="381" w:type="pct"/>
            <w:tcBorders>
              <w:top w:val="single" w:sz="4" w:space="0" w:color="auto"/>
              <w:left w:val="nil"/>
              <w:bottom w:val="single" w:sz="4" w:space="0" w:color="auto"/>
              <w:right w:val="nil"/>
            </w:tcBorders>
            <w:shd w:val="clear" w:color="auto" w:fill="auto"/>
            <w:noWrap/>
            <w:vAlign w:val="bottom"/>
            <w:hideMark/>
          </w:tcPr>
          <w:p w14:paraId="15360CA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16.18</w:t>
            </w:r>
          </w:p>
        </w:tc>
        <w:tc>
          <w:tcPr>
            <w:tcW w:w="378" w:type="pct"/>
            <w:tcBorders>
              <w:top w:val="single" w:sz="4" w:space="0" w:color="auto"/>
              <w:left w:val="nil"/>
              <w:bottom w:val="single" w:sz="4" w:space="0" w:color="auto"/>
              <w:right w:val="nil"/>
            </w:tcBorders>
            <w:shd w:val="clear" w:color="auto" w:fill="auto"/>
            <w:noWrap/>
            <w:vAlign w:val="bottom"/>
            <w:hideMark/>
          </w:tcPr>
          <w:p w14:paraId="558F293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{"citationID":"af7t2vm1ca","properties":{"formattedCitation":"[187]","plainCitation":"[187]","noteIndex":0},"citationItems":[{"id":209,"uris":["http://zotero.org/users/12909065/items/IMED7FCA"],"itemData":{"id":209,"type":"article-journal","abstract":"Despite the impressive progress that has been achieved for organic solar cells (OSCs) in recent years, challenges remain for OSCs due to the presence of the trade-off between photovoltage and photocurrent that sets limitation on the performance enhancement of regular bulk heterojunction (BHJ) blends. Herein, a new small-molecule (SM) donor, BPR-SCl, with the deep-lying highest occupied molecular orbital and strong crystallinity has been developed, which, as the third component, is synergized with PM6:Y6 host blend. The introduction of BPR-SCl enhances molecular packing, exciton dissociation, as well as charge mobilities of ternary blends, yielding simultaneous enhancement of open-circuit voltage, short-circuit current density, and fill factor of ternary OSCs (TOSCs). As a result, an optimal power conversion efficiency (PCE) of 16.74% is obtained for TOSCs with 25 wt% BPR-SCl, accounting for 10% and 70% improvements over those of pristine PM6:Y6 and BPR-SCl:Y6 binary devices, respectively. Overall, herein, it is demonstrated that the design of SM donor as the third component is effective in achieving high-performance TOSCs. © 2020 Wiley-VCH GmbH","archive":"Scopus","container-title":"Solar RRL","DOI":"10.1002/solr.202000537","ISSN":"2367-198X","language":"English","source":"Scopus","title":"High-Efficiency Ternary Organic Solar Cells Based on the Synergized Polymeric and Small-Molecule Donors","author":[{"family":"Chen","given":"X."},{"family":"Zhang","given":"Q."},{"family":"Wang","given":"D."},{"family":"Xu","given":"X."},{"family":"Wang","given":"Z."},{"family":"Li","given":"Y."},{"family":"Zhu","given":"H."},{"family":"Lu","given":"X."},{"family":"Chen","given":"W."},{"family":"Qiu","given":"H."},{"family":"Li","given":"C.-Z."}],"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[187]</w:t>
            </w:r>
            <w:r w:rsidRPr="00B55044">
              <w:rPr>
                <w:rFonts w:eastAsia="Times New Roman"/>
                <w:color w:val="0000FF"/>
                <w:sz w:val="16"/>
                <w:szCs w:val="16"/>
              </w:rPr>
              <w:fldChar w:fldCharType="end"/>
            </w:r>
          </w:p>
        </w:tc>
      </w:tr>
      <w:tr w:rsidR="00D47774" w:rsidRPr="00B55044" w14:paraId="6D8FCE8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13256A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349</w:t>
            </w:r>
          </w:p>
        </w:tc>
        <w:tc>
          <w:tcPr>
            <w:tcW w:w="1525" w:type="pct"/>
            <w:tcBorders>
              <w:top w:val="single" w:sz="4" w:space="0" w:color="auto"/>
              <w:left w:val="nil"/>
              <w:bottom w:val="single" w:sz="4" w:space="0" w:color="auto"/>
              <w:right w:val="nil"/>
            </w:tcBorders>
            <w:shd w:val="clear" w:color="auto" w:fill="auto"/>
            <w:noWrap/>
            <w:vAlign w:val="bottom"/>
            <w:hideMark/>
          </w:tcPr>
          <w:p w14:paraId="5332F14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645E010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PM6:P1:Y6</w:t>
            </w:r>
          </w:p>
        </w:tc>
        <w:tc>
          <w:tcPr>
            <w:tcW w:w="379" w:type="pct"/>
            <w:tcBorders>
              <w:top w:val="single" w:sz="4" w:space="0" w:color="auto"/>
              <w:left w:val="nil"/>
              <w:bottom w:val="single" w:sz="4" w:space="0" w:color="auto"/>
              <w:right w:val="nil"/>
            </w:tcBorders>
            <w:shd w:val="clear" w:color="auto" w:fill="auto"/>
            <w:noWrap/>
            <w:vAlign w:val="bottom"/>
            <w:hideMark/>
          </w:tcPr>
          <w:p w14:paraId="0559A4F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5B1B29A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25.45</w:t>
            </w:r>
          </w:p>
        </w:tc>
        <w:tc>
          <w:tcPr>
            <w:tcW w:w="378" w:type="pct"/>
            <w:tcBorders>
              <w:top w:val="single" w:sz="4" w:space="0" w:color="auto"/>
              <w:left w:val="nil"/>
              <w:bottom w:val="single" w:sz="4" w:space="0" w:color="auto"/>
              <w:right w:val="nil"/>
            </w:tcBorders>
            <w:shd w:val="clear" w:color="auto" w:fill="auto"/>
            <w:noWrap/>
            <w:vAlign w:val="bottom"/>
            <w:hideMark/>
          </w:tcPr>
          <w:p w14:paraId="3C1A61F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73.23</w:t>
            </w:r>
          </w:p>
        </w:tc>
        <w:tc>
          <w:tcPr>
            <w:tcW w:w="381" w:type="pct"/>
            <w:tcBorders>
              <w:top w:val="single" w:sz="4" w:space="0" w:color="auto"/>
              <w:left w:val="nil"/>
              <w:bottom w:val="single" w:sz="4" w:space="0" w:color="auto"/>
              <w:right w:val="nil"/>
            </w:tcBorders>
            <w:shd w:val="clear" w:color="auto" w:fill="auto"/>
            <w:noWrap/>
            <w:vAlign w:val="bottom"/>
            <w:hideMark/>
          </w:tcPr>
          <w:p w14:paraId="5B2CCFD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16.21</w:t>
            </w:r>
          </w:p>
        </w:tc>
        <w:tc>
          <w:tcPr>
            <w:tcW w:w="378" w:type="pct"/>
            <w:tcBorders>
              <w:top w:val="single" w:sz="4" w:space="0" w:color="auto"/>
              <w:left w:val="nil"/>
              <w:bottom w:val="single" w:sz="4" w:space="0" w:color="auto"/>
              <w:right w:val="nil"/>
            </w:tcBorders>
            <w:shd w:val="clear" w:color="auto" w:fill="auto"/>
            <w:noWrap/>
            <w:vAlign w:val="bottom"/>
            <w:hideMark/>
          </w:tcPr>
          <w:p w14:paraId="612F45A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{"citationID":"a70dn1e854","properties":{"formattedCitation":"[188]","plainCitation":"[188]","noteIndex":0},"citationItems":[{"id":208,"uris":["http://zotero.org/users/12909065/items/WHKBN5X8"],"itemData":{"id":208,"type":"article-journal","abstract":"High-performance nonfullerene ternary organic solar cells (OSCs) with two polymer donors are less frequently reported because of the limited numbers of efficient polymer donors with good compatibility. Herein, a wide-bandgap polymer P1 with a deep-lying highest occupied molecular orbital (HOMO) level is incorporated as the third component into the benchmark PM6:Y6 binary system to fabricate ternary OSCs. The introduction of P1 not only leads to extended absorption coverage and forms a cascade-like energy level alignment but also shows excellent compatibility with PM6, resulting in a favorable morphology in the ternary blend. More importantly, P1 possesses a deeper HOMO level (−5.6 eV) than most well-known donor polymers, which enables resulting ternary OSCs with an improved open-circuit voltage. As a result, the optimized ternary OSCs with 40 wt% P1 in donors achieve a power conversion efficiency (PCE) of 16.2% with a small nonradiative recombination loss of 0.23 eV, which is among the highest values of ternary OSCs based on two polymer donors. In addition, the ternary OSCs show a broad composition tolerance with a high PCE of over 14% throughout the whole blend ratios. These results provide an effective approach to fabricate efficient ternary OSCs by synergizing two wide-bandgap polymer donors. © 2020 Wiley-VCH GmbH","archive":"Scopus","container-title":"Solar RRL","DOI":"10.1002/solr.202000396","ISSN":"2367-198X","language":"English","source":"Scopus","title":"Two Compatible Polymer Donors Enabling Ternary Organic Solar Cells with a Small Nonradiative Energy Loss and Broad Composition Tolerance","author":[{"family":"Tang","given":"Y."},{"family":"Yu","given":"J."},{"family":"Sun","given":"H."},{"family":"Wu","given":"Z."},{"family":"Koh","given":"C.W."},{"family":"Wu","given":"X."},{"family":"Liu","given":"B."},{"family":"Wang","given":"J."},{"family":"Liao","given":"Q."},{"family":"Li","given":"Y."},{"family":"Guo","given":"H."},{"family":"Woo","given":"H.Y."},{"family":"Gao","given":"F."},{"family":"Guo","given":"X."}],"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[188]</w:t>
            </w:r>
            <w:r w:rsidRPr="00B55044">
              <w:rPr>
                <w:rFonts w:eastAsia="Times New Roman"/>
                <w:color w:val="0000FF"/>
                <w:sz w:val="16"/>
                <w:szCs w:val="16"/>
              </w:rPr>
              <w:fldChar w:fldCharType="end"/>
            </w:r>
          </w:p>
        </w:tc>
      </w:tr>
      <w:tr w:rsidR="00D47774" w:rsidRPr="00B55044" w14:paraId="79FC1C0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0F2764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350</w:t>
            </w:r>
          </w:p>
        </w:tc>
        <w:tc>
          <w:tcPr>
            <w:tcW w:w="1525" w:type="pct"/>
            <w:tcBorders>
              <w:top w:val="single" w:sz="4" w:space="0" w:color="auto"/>
              <w:left w:val="nil"/>
              <w:bottom w:val="single" w:sz="4" w:space="0" w:color="auto"/>
              <w:right w:val="nil"/>
            </w:tcBorders>
            <w:shd w:val="clear" w:color="auto" w:fill="auto"/>
            <w:noWrap/>
            <w:vAlign w:val="bottom"/>
            <w:hideMark/>
          </w:tcPr>
          <w:p w14:paraId="30B0FB1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109D145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PM6:IT-4F:IDTS-4F</w:t>
            </w:r>
          </w:p>
        </w:tc>
        <w:tc>
          <w:tcPr>
            <w:tcW w:w="379" w:type="pct"/>
            <w:tcBorders>
              <w:top w:val="single" w:sz="4" w:space="0" w:color="auto"/>
              <w:left w:val="nil"/>
              <w:bottom w:val="single" w:sz="4" w:space="0" w:color="auto"/>
              <w:right w:val="nil"/>
            </w:tcBorders>
            <w:shd w:val="clear" w:color="auto" w:fill="auto"/>
            <w:noWrap/>
            <w:vAlign w:val="bottom"/>
            <w:hideMark/>
          </w:tcPr>
          <w:p w14:paraId="7521506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0.857</w:t>
            </w:r>
          </w:p>
        </w:tc>
        <w:tc>
          <w:tcPr>
            <w:tcW w:w="379" w:type="pct"/>
            <w:tcBorders>
              <w:top w:val="single" w:sz="4" w:space="0" w:color="auto"/>
              <w:left w:val="nil"/>
              <w:bottom w:val="single" w:sz="4" w:space="0" w:color="auto"/>
              <w:right w:val="nil"/>
            </w:tcBorders>
            <w:shd w:val="clear" w:color="auto" w:fill="auto"/>
            <w:noWrap/>
            <w:vAlign w:val="bottom"/>
            <w:hideMark/>
          </w:tcPr>
          <w:p w14:paraId="1A16454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21.33</w:t>
            </w:r>
          </w:p>
        </w:tc>
        <w:tc>
          <w:tcPr>
            <w:tcW w:w="378" w:type="pct"/>
            <w:tcBorders>
              <w:top w:val="single" w:sz="4" w:space="0" w:color="auto"/>
              <w:left w:val="nil"/>
              <w:bottom w:val="single" w:sz="4" w:space="0" w:color="auto"/>
              <w:right w:val="nil"/>
            </w:tcBorders>
            <w:shd w:val="clear" w:color="auto" w:fill="auto"/>
            <w:noWrap/>
            <w:vAlign w:val="bottom"/>
            <w:hideMark/>
          </w:tcPr>
          <w:p w14:paraId="636B8D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76.79</w:t>
            </w:r>
          </w:p>
        </w:tc>
        <w:tc>
          <w:tcPr>
            <w:tcW w:w="381" w:type="pct"/>
            <w:tcBorders>
              <w:top w:val="single" w:sz="4" w:space="0" w:color="auto"/>
              <w:left w:val="nil"/>
              <w:bottom w:val="single" w:sz="4" w:space="0" w:color="auto"/>
              <w:right w:val="nil"/>
            </w:tcBorders>
            <w:shd w:val="clear" w:color="auto" w:fill="auto"/>
            <w:noWrap/>
            <w:vAlign w:val="bottom"/>
            <w:hideMark/>
          </w:tcPr>
          <w:p w14:paraId="3013EAE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14.03</w:t>
            </w:r>
          </w:p>
        </w:tc>
        <w:tc>
          <w:tcPr>
            <w:tcW w:w="378" w:type="pct"/>
            <w:tcBorders>
              <w:top w:val="single" w:sz="4" w:space="0" w:color="auto"/>
              <w:left w:val="nil"/>
              <w:bottom w:val="single" w:sz="4" w:space="0" w:color="auto"/>
              <w:right w:val="nil"/>
            </w:tcBorders>
            <w:shd w:val="clear" w:color="auto" w:fill="auto"/>
            <w:noWrap/>
            <w:vAlign w:val="bottom"/>
            <w:hideMark/>
          </w:tcPr>
          <w:p w14:paraId="0726E3C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{"citationID":"a2fieidjptv","properties":{"formattedCitation":"[189]","plainCitation":"[189]","noteIndex":0},"citationItems":[{"id":207,"uris":["http://zotero.org/users/12909065/items/MIXLR5RD"],"itemData":{"id":207,"type":"article-journal","abstract":"Herein, an A–D–A-type nonfullerene acceptor (named IDTS-4F) with an alkyl thiophenyl side chain and dimethoxy thiophene bridging unit is reported. The use of an alkyl thiophenyl group is important, as the insertion of sulfur atoms can slightly downshift the highest occupied molecular orbital (HOMO) level of the molecule and allows IDTS-4F to match with state-of-the-art donor polymer PM6 (or PM7). Compared with conventional nonfullerene acceptors, IT-4F, the IDTS-4F molecule, has a smaller optical bandgap and higher lowest unoccupied molecular orbital (LUMO) level, which are beneficial to increase the Voc and Jsc of the devices. Nonfullerene organic solar cell devices are fabricated using IDTS-4F. Although the binary device based on IDTS-4F exhibits a lower fill factor (FF, 70%), the ternary device by incorporating 0.2 of IDTS-4F and 0.8 of IT-4F (with PM6 as the donor polymer) can simultaneously achieve a higher Voc and Jsc, while maintaining the high FF (77%) of IT-4F based system. Morphology characterizations indicate the formation of homogeneous film morphology, the large increase in phase purity and crystallinity, and the reduction in domain size upon addition of crystalline IDTS-4F, while the electron/hole mobilities and recombination losses of the IT-4F system are both maintained. © 2019 WILEY-VCH Verlag GmbH &amp; Co. KGaA, Weinheim","archive":"Scopus","container-title":"Solar RRL","DOI":"10.1002/solr.201900353","ISSN":"2367-198X","issue":"1","language":"English","source":"Scopus","title":"A Nonfullerene Acceptor with Alkylthio- and Dimethoxy-Thiophene-Groups Yielding High-Performance Ternary Organic Solar Cells","volume":"4","author":[{"family":"Zeng","given":"A."},{"family":"Pan","given":"M."},{"family":"Lin","given":"B."},{"family":"Lau","given":"T.-K."},{"family":"Qin","given":"M."},{"family":"Li","given":"K."},{"family":"Ma","given":"W."},{"family":"Lu","given":"X."},{"family":"Zhan","given":"C."},{"family":"Yan","given":"H."}],"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[189]</w:t>
            </w:r>
            <w:r w:rsidRPr="00B55044">
              <w:rPr>
                <w:rFonts w:eastAsia="Times New Roman"/>
                <w:color w:val="0000FF"/>
                <w:sz w:val="16"/>
                <w:szCs w:val="16"/>
              </w:rPr>
              <w:fldChar w:fldCharType="end"/>
            </w:r>
          </w:p>
        </w:tc>
      </w:tr>
      <w:tr w:rsidR="00D47774" w:rsidRPr="00B55044" w14:paraId="09E585D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tcPr>
          <w:p w14:paraId="57CD471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351</w:t>
            </w:r>
          </w:p>
        </w:tc>
        <w:tc>
          <w:tcPr>
            <w:tcW w:w="1525" w:type="pct"/>
            <w:tcBorders>
              <w:top w:val="single" w:sz="4" w:space="0" w:color="auto"/>
              <w:left w:val="nil"/>
              <w:bottom w:val="single" w:sz="4" w:space="0" w:color="auto"/>
              <w:right w:val="nil"/>
            </w:tcBorders>
            <w:shd w:val="clear" w:color="auto" w:fill="auto"/>
            <w:noWrap/>
            <w:vAlign w:val="bottom"/>
          </w:tcPr>
          <w:p w14:paraId="792CF68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ITO/PEDOT:PSS/AL/PDIN/Ag</w:t>
            </w:r>
          </w:p>
        </w:tc>
        <w:tc>
          <w:tcPr>
            <w:tcW w:w="1288" w:type="pct"/>
            <w:tcBorders>
              <w:top w:val="single" w:sz="4" w:space="0" w:color="auto"/>
              <w:left w:val="nil"/>
              <w:bottom w:val="single" w:sz="4" w:space="0" w:color="auto"/>
              <w:right w:val="nil"/>
            </w:tcBorders>
            <w:shd w:val="clear" w:color="auto" w:fill="auto"/>
            <w:noWrap/>
            <w:vAlign w:val="bottom"/>
          </w:tcPr>
          <w:p w14:paraId="4CFA633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PM6:Y6:BTF</w:t>
            </w:r>
          </w:p>
        </w:tc>
        <w:tc>
          <w:tcPr>
            <w:tcW w:w="379" w:type="pct"/>
            <w:tcBorders>
              <w:top w:val="single" w:sz="4" w:space="0" w:color="auto"/>
              <w:left w:val="nil"/>
              <w:bottom w:val="single" w:sz="4" w:space="0" w:color="auto"/>
              <w:right w:val="nil"/>
            </w:tcBorders>
            <w:shd w:val="clear" w:color="auto" w:fill="auto"/>
            <w:noWrap/>
            <w:vAlign w:val="bottom"/>
          </w:tcPr>
          <w:p w14:paraId="3CBD54F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0.845</w:t>
            </w:r>
          </w:p>
        </w:tc>
        <w:tc>
          <w:tcPr>
            <w:tcW w:w="379" w:type="pct"/>
            <w:tcBorders>
              <w:top w:val="single" w:sz="4" w:space="0" w:color="auto"/>
              <w:left w:val="nil"/>
              <w:bottom w:val="single" w:sz="4" w:space="0" w:color="auto"/>
              <w:right w:val="nil"/>
            </w:tcBorders>
            <w:shd w:val="clear" w:color="auto" w:fill="auto"/>
            <w:noWrap/>
            <w:vAlign w:val="bottom"/>
          </w:tcPr>
          <w:p w14:paraId="4670E6E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25.8</w:t>
            </w:r>
          </w:p>
        </w:tc>
        <w:tc>
          <w:tcPr>
            <w:tcW w:w="378" w:type="pct"/>
            <w:tcBorders>
              <w:top w:val="single" w:sz="4" w:space="0" w:color="auto"/>
              <w:left w:val="nil"/>
              <w:bottom w:val="single" w:sz="4" w:space="0" w:color="auto"/>
              <w:right w:val="nil"/>
            </w:tcBorders>
            <w:shd w:val="clear" w:color="auto" w:fill="auto"/>
            <w:noWrap/>
            <w:vAlign w:val="bottom"/>
          </w:tcPr>
          <w:p w14:paraId="745763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71.77</w:t>
            </w:r>
          </w:p>
        </w:tc>
        <w:tc>
          <w:tcPr>
            <w:tcW w:w="381" w:type="pct"/>
            <w:tcBorders>
              <w:top w:val="single" w:sz="4" w:space="0" w:color="auto"/>
              <w:left w:val="nil"/>
              <w:bottom w:val="single" w:sz="4" w:space="0" w:color="auto"/>
              <w:right w:val="nil"/>
            </w:tcBorders>
            <w:shd w:val="clear" w:color="auto" w:fill="auto"/>
            <w:noWrap/>
            <w:vAlign w:val="bottom"/>
          </w:tcPr>
          <w:p w14:paraId="578DD37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15.65</w:t>
            </w:r>
          </w:p>
        </w:tc>
        <w:tc>
          <w:tcPr>
            <w:tcW w:w="378" w:type="pct"/>
            <w:tcBorders>
              <w:top w:val="single" w:sz="4" w:space="0" w:color="auto"/>
              <w:left w:val="nil"/>
              <w:bottom w:val="single" w:sz="4" w:space="0" w:color="auto"/>
              <w:right w:val="nil"/>
            </w:tcBorders>
            <w:shd w:val="clear" w:color="auto" w:fill="auto"/>
            <w:noWrap/>
            <w:vAlign w:val="bottom"/>
          </w:tcPr>
          <w:p w14:paraId="76F7578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{"citationID":"afm9jb501l","properties":{"formattedCitation":"[190]","plainCitation":"[190]","noteIndex":0},"citationItems":[{"id":206,"uris":["http://zotero.org/users/12909065/items/IW3BFAXA"],"itemData":{"id":206,"type":"article-journal","abstract":"Ternary polymer solar cells (PSCs) with three active layer components (two donors with one acceptor, or two acceptors with one donor) have been demonstrated as an emerging strategy to improve the power conversion efficiencies (PCEs). So far, most of the third components utilized in the ternary PSCs are relatively complex molecules or polymers which are expensive due to complicated multi-step syntheses. Here, a simple small molecule of 4,7-bis(5-bromothiophen-2-yl)-5,6-difluorobenzo[c][1,2,5]thiadiazole (BTF), is first used as a second acceptor material to fabricate efficient ternary PSCs. The incorporation of BTF into a binary active layer based on a wide-bandgap polymer of J71 and a low-bandgap acceptor of ITIC, results in ternary PSCs with the best PCE of 12.35%, which is higher than the control J71:ITIC-based binary device with the best PCE of 10.79%. This significantly enhanced PCE results from the simultaneously improved short-circuit current density, open-circuit voltage, and fill factor in the ternary PSCs, and they are in part attributed to the increased light-harvesting with the BTF incorporation and in part attributed to the more balanced charge transportation induced by the improved polymer crystallinity. To determine the generality of BTF as a second acceptor in ternary PSCs, another benchmark binary active layer of PM6:Y6 has been incorporated with 10 wt% BTF, leading to a best-performance device with an outstanding PCE of 16.53% which is the highest among all ternary PSCs, to the best of our knowledge. Our work provides a simple strategy to efficiently boost the performance of ternary PSCs by using an easily available, low-cost acceptor of BTF. © 2019 The Royal Society of Chemistry.","archive":"Scopus","container-title":"Materials Horizons","DOI":"10.1039/c9mh00993k","ISSN":"2051-6347","issue":"1","language":"English","page":"117-124","source":"Scopus","title":"A minimal benzo[: C] [1,2,5]thiadiazole-based electron acceptor as a third component material for ternary polymer solar cells with efficiencies exceeding 16.0%","title-short":"A minimal benzo[","volume":"7","author":[{"family":"Ma","given":"Y."},{"family":"Zhou","given":"X."},{"family":"Cai","given":"D."},{"family":"Tu","given":"Q."},{"family":"Ma","given":"W."},{"family":"Zheng","given":"Q."}],"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[190]</w:t>
            </w:r>
            <w:r w:rsidRPr="00B55044">
              <w:rPr>
                <w:rFonts w:eastAsia="Times New Roman"/>
                <w:color w:val="0000FF"/>
                <w:sz w:val="16"/>
                <w:szCs w:val="16"/>
              </w:rPr>
              <w:fldChar w:fldCharType="end"/>
            </w:r>
          </w:p>
        </w:tc>
      </w:tr>
      <w:tr w:rsidR="00D47774" w:rsidRPr="00B55044" w14:paraId="49F81AE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tcPr>
          <w:p w14:paraId="454CAB7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352</w:t>
            </w:r>
          </w:p>
        </w:tc>
        <w:tc>
          <w:tcPr>
            <w:tcW w:w="1525" w:type="pct"/>
            <w:tcBorders>
              <w:top w:val="single" w:sz="4" w:space="0" w:color="auto"/>
              <w:left w:val="nil"/>
              <w:bottom w:val="single" w:sz="4" w:space="0" w:color="auto"/>
              <w:right w:val="nil"/>
            </w:tcBorders>
            <w:shd w:val="clear" w:color="auto" w:fill="auto"/>
            <w:noWrap/>
            <w:vAlign w:val="bottom"/>
          </w:tcPr>
          <w:p w14:paraId="295B326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ITO/PEDOT:PSS/AL/PDIN/Ag</w:t>
            </w:r>
          </w:p>
        </w:tc>
        <w:tc>
          <w:tcPr>
            <w:tcW w:w="1288" w:type="pct"/>
            <w:tcBorders>
              <w:top w:val="single" w:sz="4" w:space="0" w:color="auto"/>
              <w:left w:val="nil"/>
              <w:bottom w:val="single" w:sz="4" w:space="0" w:color="auto"/>
              <w:right w:val="nil"/>
            </w:tcBorders>
            <w:shd w:val="clear" w:color="auto" w:fill="auto"/>
            <w:noWrap/>
            <w:vAlign w:val="bottom"/>
          </w:tcPr>
          <w:p w14:paraId="2AA94D0C" w14:textId="77777777" w:rsidR="003D460F" w:rsidRPr="00B55044" w:rsidRDefault="003D460F" w:rsidP="00F26985">
            <w:pPr>
              <w:spacing w:line="360" w:lineRule="auto"/>
              <w:rPr>
                <w:rFonts w:eastAsia="Times New Roman"/>
                <w:noProof/>
                <w:color w:val="000000"/>
                <w:sz w:val="16"/>
                <w:szCs w:val="16"/>
              </w:rPr>
            </w:pPr>
            <w:r w:rsidRPr="00B55044">
              <w:rPr>
                <w:rFonts w:eastAsia="Times New Roman"/>
                <w:noProof/>
                <w:color w:val="000000"/>
                <w:sz w:val="16"/>
                <w:szCs w:val="16"/>
              </w:rPr>
              <w:t>PM6:Y6:BTF</w:t>
            </w:r>
          </w:p>
        </w:tc>
        <w:tc>
          <w:tcPr>
            <w:tcW w:w="379" w:type="pct"/>
            <w:tcBorders>
              <w:top w:val="single" w:sz="4" w:space="0" w:color="auto"/>
              <w:left w:val="nil"/>
              <w:bottom w:val="single" w:sz="4" w:space="0" w:color="auto"/>
              <w:right w:val="nil"/>
            </w:tcBorders>
            <w:shd w:val="clear" w:color="auto" w:fill="auto"/>
            <w:noWrap/>
            <w:vAlign w:val="bottom"/>
          </w:tcPr>
          <w:p w14:paraId="3BFD7E9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0.853</w:t>
            </w:r>
          </w:p>
        </w:tc>
        <w:tc>
          <w:tcPr>
            <w:tcW w:w="379" w:type="pct"/>
            <w:tcBorders>
              <w:top w:val="single" w:sz="4" w:space="0" w:color="auto"/>
              <w:left w:val="nil"/>
              <w:bottom w:val="single" w:sz="4" w:space="0" w:color="auto"/>
              <w:right w:val="nil"/>
            </w:tcBorders>
            <w:shd w:val="clear" w:color="auto" w:fill="auto"/>
            <w:noWrap/>
            <w:vAlign w:val="bottom"/>
          </w:tcPr>
          <w:p w14:paraId="06EED17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26.11</w:t>
            </w:r>
          </w:p>
        </w:tc>
        <w:tc>
          <w:tcPr>
            <w:tcW w:w="378" w:type="pct"/>
            <w:tcBorders>
              <w:top w:val="single" w:sz="4" w:space="0" w:color="auto"/>
              <w:left w:val="nil"/>
              <w:bottom w:val="single" w:sz="4" w:space="0" w:color="auto"/>
              <w:right w:val="nil"/>
            </w:tcBorders>
            <w:shd w:val="clear" w:color="auto" w:fill="auto"/>
            <w:noWrap/>
            <w:vAlign w:val="bottom"/>
          </w:tcPr>
          <w:p w14:paraId="12E6447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74.22</w:t>
            </w:r>
          </w:p>
        </w:tc>
        <w:tc>
          <w:tcPr>
            <w:tcW w:w="381" w:type="pct"/>
            <w:tcBorders>
              <w:top w:val="single" w:sz="4" w:space="0" w:color="auto"/>
              <w:left w:val="nil"/>
              <w:bottom w:val="single" w:sz="4" w:space="0" w:color="auto"/>
              <w:right w:val="nil"/>
            </w:tcBorders>
            <w:shd w:val="clear" w:color="auto" w:fill="auto"/>
            <w:noWrap/>
            <w:vAlign w:val="bottom"/>
          </w:tcPr>
          <w:p w14:paraId="26DDE76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16.53</w:t>
            </w:r>
          </w:p>
        </w:tc>
        <w:tc>
          <w:tcPr>
            <w:tcW w:w="378" w:type="pct"/>
            <w:tcBorders>
              <w:top w:val="single" w:sz="4" w:space="0" w:color="auto"/>
              <w:left w:val="nil"/>
              <w:bottom w:val="single" w:sz="4" w:space="0" w:color="auto"/>
              <w:right w:val="nil"/>
            </w:tcBorders>
            <w:shd w:val="clear" w:color="auto" w:fill="auto"/>
            <w:noWrap/>
            <w:vAlign w:val="bottom"/>
          </w:tcPr>
          <w:p w14:paraId="2A02D6D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{"citationID":"a1bhtlilj4n","properties":{"formattedCitation":"[190]","plainCitation":"[190]","noteIndex":0},"citationItems":[{"id":206,"uris":["http://zotero.org/users/12909065/items/IW3BFAXA"],"itemData":{"id":206,"type":"article-journal","abstract":"Ternary polymer solar cells (PSCs) with three active layer components (two donors with one acceptor, or two acceptors with one donor) have been demonstrated as an emerging strategy to improve the power conversion efficiencies (PCEs). So far, most of the third components utilized in the ternary PSCs are relatively complex molecules or polymers which are expensive due to complicated multi-step syntheses. Here, a simple small molecule of 4,7-bis(5-bromothiophen-2-yl)-5,6-difluorobenzo[c][1,2,5]thiadiazole (BTF), is first used as a second acceptor material to fabricate efficient ternary PSCs. The incorporation of BTF into a binary active layer based on a wide-bandgap polymer of J71 and a low-bandgap acceptor of ITIC, results in ternary PSCs with the best PCE of 12.35%, which is higher than the control J71:ITIC-based binary device with the best PCE of 10.79%. This significantly enhanced PCE results from the simultaneously improved short-circuit current density, open-circuit voltage, and fill factor in the ternary PSCs, and they are in part attributed to the increased light-harvesting with the BTF incorporation and in part attributed to the more balanced charge transportation induced by the improved polymer crystallinity. To determine the generality of BTF as a second acceptor in ternary PSCs, another benchmark binary active layer of PM6:Y6 has been incorporated with 10 wt% BTF, leading to a best-performance device with an outstanding PCE of 16.53% which is the highest among all ternary PSCs, to the best of our knowledge. Our work provides a simple strategy to efficiently boost the performance of ternary PSCs by using an easily available, low-cost acceptor of BTF. © 2019 The Royal Society of Chemistry.","archive":"Scopus","container-title":"Materials Horizons","DOI":"10.1039/c9mh00993k","ISSN":"2051-6347","issue":"1","language":"English","page":"117-124","source":"Scopus","title":"A minimal benzo[: C] [1,2,5]thiadiazole-based electron acceptor as a third component material for ternary polymer solar cells with efficiencies exceeding 16.0%","title-short":"A minimal benzo[","volume":"7","author":[{"family":"Ma","given":"Y."},{"family":"Zhou","given":"X."},{"family":"Cai","given":"D."},{"family":"Tu","given":"Q."},{"family":"Ma","given":"W."},{"family":"Zheng","given":"Q."}],"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[190]</w:t>
            </w:r>
            <w:r w:rsidRPr="00B55044">
              <w:rPr>
                <w:rFonts w:eastAsia="Times New Roman"/>
                <w:color w:val="0000FF"/>
                <w:sz w:val="16"/>
                <w:szCs w:val="16"/>
              </w:rPr>
              <w:fldChar w:fldCharType="end"/>
            </w:r>
          </w:p>
        </w:tc>
      </w:tr>
      <w:tr w:rsidR="00D47774" w:rsidRPr="00B55044" w14:paraId="649FD13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E2D810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353</w:t>
            </w:r>
          </w:p>
        </w:tc>
        <w:tc>
          <w:tcPr>
            <w:tcW w:w="1525" w:type="pct"/>
            <w:tcBorders>
              <w:top w:val="single" w:sz="4" w:space="0" w:color="auto"/>
              <w:left w:val="nil"/>
              <w:bottom w:val="single" w:sz="4" w:space="0" w:color="auto"/>
              <w:right w:val="nil"/>
            </w:tcBorders>
            <w:shd w:val="clear" w:color="auto" w:fill="auto"/>
            <w:noWrap/>
            <w:vAlign w:val="bottom"/>
            <w:hideMark/>
          </w:tcPr>
          <w:p w14:paraId="42BC240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46BF717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PM6:Y6:3TP3T-4F</w:t>
            </w:r>
          </w:p>
        </w:tc>
        <w:tc>
          <w:tcPr>
            <w:tcW w:w="379" w:type="pct"/>
            <w:tcBorders>
              <w:top w:val="single" w:sz="4" w:space="0" w:color="auto"/>
              <w:left w:val="nil"/>
              <w:bottom w:val="single" w:sz="4" w:space="0" w:color="auto"/>
              <w:right w:val="nil"/>
            </w:tcBorders>
            <w:shd w:val="clear" w:color="auto" w:fill="auto"/>
            <w:noWrap/>
            <w:vAlign w:val="bottom"/>
            <w:hideMark/>
          </w:tcPr>
          <w:p w14:paraId="396FE5C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14CEC21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25.9</w:t>
            </w:r>
          </w:p>
        </w:tc>
        <w:tc>
          <w:tcPr>
            <w:tcW w:w="378" w:type="pct"/>
            <w:tcBorders>
              <w:top w:val="single" w:sz="4" w:space="0" w:color="auto"/>
              <w:left w:val="nil"/>
              <w:bottom w:val="single" w:sz="4" w:space="0" w:color="auto"/>
              <w:right w:val="nil"/>
            </w:tcBorders>
            <w:shd w:val="clear" w:color="auto" w:fill="auto"/>
            <w:noWrap/>
            <w:vAlign w:val="bottom"/>
            <w:hideMark/>
          </w:tcPr>
          <w:p w14:paraId="5AF881B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74.9</w:t>
            </w:r>
          </w:p>
        </w:tc>
        <w:tc>
          <w:tcPr>
            <w:tcW w:w="381" w:type="pct"/>
            <w:tcBorders>
              <w:top w:val="single" w:sz="4" w:space="0" w:color="auto"/>
              <w:left w:val="nil"/>
              <w:bottom w:val="single" w:sz="4" w:space="0" w:color="auto"/>
              <w:right w:val="nil"/>
            </w:tcBorders>
            <w:shd w:val="clear" w:color="auto" w:fill="auto"/>
            <w:noWrap/>
            <w:vAlign w:val="bottom"/>
            <w:hideMark/>
          </w:tcPr>
          <w:p w14:paraId="0A94F40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16.5</w:t>
            </w:r>
          </w:p>
        </w:tc>
        <w:tc>
          <w:tcPr>
            <w:tcW w:w="378" w:type="pct"/>
            <w:tcBorders>
              <w:top w:val="single" w:sz="4" w:space="0" w:color="auto"/>
              <w:left w:val="nil"/>
              <w:bottom w:val="single" w:sz="4" w:space="0" w:color="auto"/>
              <w:right w:val="nil"/>
            </w:tcBorders>
            <w:shd w:val="clear" w:color="auto" w:fill="auto"/>
            <w:noWrap/>
            <w:vAlign w:val="bottom"/>
            <w:hideMark/>
          </w:tcPr>
          <w:p w14:paraId="0F63041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{"citationID":"a29da4gdu1h","properties":{"formattedCitation":"[191]","plainCitation":"[191]","noteIndex":0},"citationItems":[{"id":205,"uris":["http://zotero.org/users/12909065/items/5XNFWMTC"],"itemData":{"id":205,"type":"article-journal","abstract":"A ternary structure has been demonstrated as being an effective strategy to realize high power conversion efficiency (PCE) in organic solar cells (OSCs); however, general materials selection rules still remain incompletely understood. In this work, two nonfullerene small-molecule acceptors 3TP3T-4F and 3TP3T-IC are synthesized and incorporated as a third component in PM6:Y6 binary blends. The photovoltaic behaviors in the resultant ternary OSCs differ significantly, despite the comparable energy levels. It is found that incorporation of 15% 3TP3T-4F into the PM6:Y6 blend results in facilitating exciton dissociation, increasing charge transport, and reducing trap-assisted recombination. All these features are responsible for the enlarged PCE of 16.7% (certified as 16.2%) in the PM6:Y6:3TP3T-4F ternary OSCs, higher than that (15.6%) in the 3TP3T-IC containing ternary devices. The performance differences are mainly ascribed to the compatibility between the third component and the host materials. The 3TP3T-4F guest acceptor exhibits an excellent compatibility with Y6, tending to form well-mixed phases in the ternary blend without disrupting the favored bicontinuous transport networks, whereas 3TP3T-IC displays a morphological incompatibility with Y6. This work highlights the importance of considering the compatibility for materials selection toward high-efficiency ternary organic OSCs. © 2019 WILEY-VCH Verlag GmbH &amp; Co. KGaA, Weinheim","archive":"Scopus","container-title":"Advanced Materials","DOI":"10.1002/adma.201905645","ISSN":"0935-9648","issue":"52","language":"English","source":"Scopus","title":"Ternary Organic Solar Cells with Efficiency &gt;16.5% Based on Two Compatible Nonfullerene Acceptors","volume":"31","author":[{"family":"Song","given":"J."},{"family":"Li","given":"C."},{"family":"Zhu","given":"L."},{"family":"Guo","given":"J."},{"family":"Xu","given":"J."},{"family":"Zhang","given":"X."},{"family":"Weng","given":"K."},{"family":"Zhang","given":"K."},{"family":"Min","given":"J."},{"family":"Hao","given":"X."},{"family":"Zhang","given":"Y."},{"family":"Liu","given":"F."},{"family":"Sun","given":"Y."}],"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[191]</w:t>
            </w:r>
            <w:r w:rsidRPr="00B55044">
              <w:rPr>
                <w:rFonts w:eastAsia="Times New Roman"/>
                <w:color w:val="0000FF"/>
                <w:sz w:val="16"/>
                <w:szCs w:val="16"/>
              </w:rPr>
              <w:fldChar w:fldCharType="end"/>
            </w:r>
          </w:p>
        </w:tc>
      </w:tr>
      <w:tr w:rsidR="00D47774" w:rsidRPr="00B55044" w14:paraId="1B55B50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22B4C4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354</w:t>
            </w:r>
          </w:p>
        </w:tc>
        <w:tc>
          <w:tcPr>
            <w:tcW w:w="1525" w:type="pct"/>
            <w:tcBorders>
              <w:top w:val="single" w:sz="4" w:space="0" w:color="auto"/>
              <w:left w:val="nil"/>
              <w:bottom w:val="single" w:sz="4" w:space="0" w:color="auto"/>
              <w:right w:val="nil"/>
            </w:tcBorders>
            <w:shd w:val="clear" w:color="auto" w:fill="auto"/>
            <w:noWrap/>
            <w:vAlign w:val="bottom"/>
            <w:hideMark/>
          </w:tcPr>
          <w:p w14:paraId="321948C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0F0AF5F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PM6:Y6:3TP3T-IC</w:t>
            </w:r>
          </w:p>
        </w:tc>
        <w:tc>
          <w:tcPr>
            <w:tcW w:w="379" w:type="pct"/>
            <w:tcBorders>
              <w:top w:val="single" w:sz="4" w:space="0" w:color="auto"/>
              <w:left w:val="nil"/>
              <w:bottom w:val="single" w:sz="4" w:space="0" w:color="auto"/>
              <w:right w:val="nil"/>
            </w:tcBorders>
            <w:shd w:val="clear" w:color="auto" w:fill="auto"/>
            <w:noWrap/>
            <w:vAlign w:val="bottom"/>
            <w:hideMark/>
          </w:tcPr>
          <w:p w14:paraId="328A79C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056F26A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25.2</w:t>
            </w:r>
          </w:p>
        </w:tc>
        <w:tc>
          <w:tcPr>
            <w:tcW w:w="378" w:type="pct"/>
            <w:tcBorders>
              <w:top w:val="single" w:sz="4" w:space="0" w:color="auto"/>
              <w:left w:val="nil"/>
              <w:bottom w:val="single" w:sz="4" w:space="0" w:color="auto"/>
              <w:right w:val="nil"/>
            </w:tcBorders>
            <w:shd w:val="clear" w:color="auto" w:fill="auto"/>
            <w:noWrap/>
            <w:vAlign w:val="bottom"/>
            <w:hideMark/>
          </w:tcPr>
          <w:p w14:paraId="142AC09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71.6</w:t>
            </w:r>
          </w:p>
        </w:tc>
        <w:tc>
          <w:tcPr>
            <w:tcW w:w="381" w:type="pct"/>
            <w:tcBorders>
              <w:top w:val="single" w:sz="4" w:space="0" w:color="auto"/>
              <w:left w:val="nil"/>
              <w:bottom w:val="single" w:sz="4" w:space="0" w:color="auto"/>
              <w:right w:val="nil"/>
            </w:tcBorders>
            <w:shd w:val="clear" w:color="auto" w:fill="auto"/>
            <w:noWrap/>
            <w:vAlign w:val="bottom"/>
            <w:hideMark/>
          </w:tcPr>
          <w:p w14:paraId="472A43B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15.5</w:t>
            </w:r>
          </w:p>
        </w:tc>
        <w:tc>
          <w:tcPr>
            <w:tcW w:w="378" w:type="pct"/>
            <w:tcBorders>
              <w:top w:val="single" w:sz="4" w:space="0" w:color="auto"/>
              <w:left w:val="nil"/>
              <w:bottom w:val="single" w:sz="4" w:space="0" w:color="auto"/>
              <w:right w:val="nil"/>
            </w:tcBorders>
            <w:shd w:val="clear" w:color="auto" w:fill="auto"/>
            <w:noWrap/>
            <w:vAlign w:val="bottom"/>
            <w:hideMark/>
          </w:tcPr>
          <w:p w14:paraId="3B753A9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{"citationID":"a1goq9tji5t","properties":{"formattedCitation":"[191]","plainCitation":"[191]","noteIndex":0},"citationItems":[{"id":205,"uris":["http://zotero.org/users/12909065/items/5XNFWMTC"],"itemData":{"id":205,"type":"article-journal","abstract":"A ternary structure has been demonstrated as being an effective strategy to realize high power conversion efficiency (PCE) in organic solar cells (OSCs); however, general materials selection rules still remain incompletely understood. In this work, two nonfullerene small-molecule acceptors 3TP3T-4F and 3TP3T-IC are synthesized and incorporated as a third component in PM6:Y6 binary blends. The photovoltaic behaviors in the resultant ternary OSCs differ significantly, despite the comparable energy levels. It is found that incorporation of 15% 3TP3T-4F into the PM6:Y6 blend results in facilitating exciton dissociation, increasing charge transport, and reducing trap-assisted recombination. All these features are responsible for the enlarged PCE of 16.7% (certified as 16.2%) in the PM6:Y6:3TP3T-4F ternary OSCs, higher than that (15.6%) in the 3TP3T-IC containing ternary devices. The performance differences are mainly ascribed to the compatibility between the third component and the host materials. The 3TP3T-4F guest acceptor exhibits an excellent compatibility with Y6, tending to form well-mixed phases in the ternary blend without disrupting the favored bicontinuous transport networks, whereas 3TP3T-IC displays a morphological incompatibility with Y6. This work highlights the importance of considering the compatibility for materials selection toward high-efficiency ternary organic OSCs. © 2019 WILEY-VCH Verlag GmbH &amp; Co. KGaA, Weinheim","archive":"Scopus","container-title":"Advanced Materials","DOI":"10.1002/adma.201905645","ISSN":"0935-9648","issue":"52","language":"English","source":"Scopus","title":"Ternary Organic Solar Cells with Efficiency &gt;16.5% Based on Two Compatible Nonfullerene Acceptors","volume":"31","author":[{"family":"Song","given":"J."},{"family":"Li","given":"C."},{"family":"Zhu","given":"L."},{"family":"Guo","given":"J."},{"family":"Xu","given":"J."},{"family":"Zhang","given":"X."},{"family":"Weng","given":"K."},{"family":"Zhang","given":"K."},{"family":"Min","given":"J."},{"family":"Hao","given":"X."},{"family":"Zhang","given":"Y."},{"family":"Liu","given":"F."},{"family":"Sun","given":"Y."}],"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[191]</w:t>
            </w:r>
            <w:r w:rsidRPr="00B55044">
              <w:rPr>
                <w:rFonts w:eastAsia="Times New Roman"/>
                <w:color w:val="0000FF"/>
                <w:sz w:val="16"/>
                <w:szCs w:val="16"/>
              </w:rPr>
              <w:fldChar w:fldCharType="end"/>
            </w:r>
          </w:p>
        </w:tc>
      </w:tr>
      <w:tr w:rsidR="00D47774" w:rsidRPr="00B55044" w14:paraId="6823269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20DD4C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351</w:t>
            </w:r>
          </w:p>
        </w:tc>
        <w:tc>
          <w:tcPr>
            <w:tcW w:w="1525" w:type="pct"/>
            <w:tcBorders>
              <w:top w:val="single" w:sz="4" w:space="0" w:color="auto"/>
              <w:left w:val="nil"/>
              <w:bottom w:val="single" w:sz="4" w:space="0" w:color="auto"/>
              <w:right w:val="nil"/>
            </w:tcBorders>
            <w:shd w:val="clear" w:color="auto" w:fill="auto"/>
            <w:noWrap/>
            <w:vAlign w:val="bottom"/>
            <w:hideMark/>
          </w:tcPr>
          <w:p w14:paraId="27A7F7C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ITO/PEDOT:PSS/AL/Phen-NaDPO:Sn(SCN)2/Al</w:t>
            </w:r>
          </w:p>
        </w:tc>
        <w:tc>
          <w:tcPr>
            <w:tcW w:w="1288" w:type="pct"/>
            <w:tcBorders>
              <w:top w:val="single" w:sz="4" w:space="0" w:color="auto"/>
              <w:left w:val="nil"/>
              <w:bottom w:val="single" w:sz="4" w:space="0" w:color="auto"/>
              <w:right w:val="nil"/>
            </w:tcBorders>
            <w:shd w:val="clear" w:color="auto" w:fill="auto"/>
            <w:noWrap/>
            <w:vAlign w:val="bottom"/>
            <w:hideMark/>
          </w:tcPr>
          <w:p w14:paraId="71DA982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PM6:Y6:PC70BM</w:t>
            </w:r>
          </w:p>
        </w:tc>
        <w:tc>
          <w:tcPr>
            <w:tcW w:w="379" w:type="pct"/>
            <w:tcBorders>
              <w:top w:val="single" w:sz="4" w:space="0" w:color="auto"/>
              <w:left w:val="nil"/>
              <w:bottom w:val="single" w:sz="4" w:space="0" w:color="auto"/>
              <w:right w:val="nil"/>
            </w:tcBorders>
            <w:shd w:val="clear" w:color="auto" w:fill="auto"/>
            <w:noWrap/>
            <w:vAlign w:val="bottom"/>
            <w:hideMark/>
          </w:tcPr>
          <w:p w14:paraId="6A0C668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78C6898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26.2</w:t>
            </w:r>
          </w:p>
        </w:tc>
        <w:tc>
          <w:tcPr>
            <w:tcW w:w="378" w:type="pct"/>
            <w:tcBorders>
              <w:top w:val="single" w:sz="4" w:space="0" w:color="auto"/>
              <w:left w:val="nil"/>
              <w:bottom w:val="single" w:sz="4" w:space="0" w:color="auto"/>
              <w:right w:val="nil"/>
            </w:tcBorders>
            <w:shd w:val="clear" w:color="auto" w:fill="auto"/>
            <w:noWrap/>
            <w:vAlign w:val="bottom"/>
            <w:hideMark/>
          </w:tcPr>
          <w:p w14:paraId="7397189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w:t>
            </w:r>
          </w:p>
        </w:tc>
        <w:tc>
          <w:tcPr>
            <w:tcW w:w="381" w:type="pct"/>
            <w:tcBorders>
              <w:top w:val="single" w:sz="4" w:space="0" w:color="auto"/>
              <w:left w:val="nil"/>
              <w:bottom w:val="single" w:sz="4" w:space="0" w:color="auto"/>
              <w:right w:val="nil"/>
            </w:tcBorders>
            <w:shd w:val="clear" w:color="auto" w:fill="auto"/>
            <w:noWrap/>
            <w:vAlign w:val="bottom"/>
            <w:hideMark/>
          </w:tcPr>
          <w:p w14:paraId="0697788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15.6</w:t>
            </w:r>
          </w:p>
        </w:tc>
        <w:tc>
          <w:tcPr>
            <w:tcW w:w="378" w:type="pct"/>
            <w:tcBorders>
              <w:top w:val="single" w:sz="4" w:space="0" w:color="auto"/>
              <w:left w:val="nil"/>
              <w:bottom w:val="single" w:sz="4" w:space="0" w:color="auto"/>
              <w:right w:val="nil"/>
            </w:tcBorders>
            <w:shd w:val="clear" w:color="auto" w:fill="auto"/>
            <w:noWrap/>
            <w:vAlign w:val="bottom"/>
            <w:hideMark/>
          </w:tcPr>
          <w:p w14:paraId="7BF7AFE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{"citationID":"ap8iok0utv","properties":{"formattedCitation":"[192]","plainCitation":"[192]","noteIndex":0},"citationItems":[{"id":204,"uris":["http://zotero.org/users/12909065/items/LQH28UX5"],"itemData":{"id":204,"type":"article-journal","abstract":"A simple approach that enables a consistent enhancement of the electron extracting properties of the widely used small-molecule Phen-NaDPO and its application in organic solar cells (OSCs) is reported. It is shown that addition of minute amounts of the inorganic molecule Sn(SCN)2 into Phen-NaDPO improves both the electron transport and its film-forming properties. Use of Phen-NaDPO:Sn(SCN)2 blend as the electron transport layer (ETL) in binary PM6:IT-4F OSCs leads to a remarkable increase in the cells' power conversion efficiency (PCE) from 12.6% (Phen-NaDPO) to 13.5% (Phen-NaDPO:Sn(SCN)2). Combining the hybrid ETL with the best-in-class organic ternary PM6:Y6:PC70BM systems results to a similarly remarkable PCE increase from 14.2% (Phen-NaDPO) to 15.6% (Phen-NaDPO:Sn(SCN)2). The consistent PCE enhancement is attributed to reduced trap-assisted carrier recombination at the bulk-heterojunction/ETL interface due to the presence of new energy states formed upon chemical interaction of Phen-NaDPO with Sn(SCN)2. The versatility of this hybrid ETL is further demonstrated with its application in perovskite solar cells for which an increase in the PCE from 16.6% to 18.2% is also demonstrated. © 2019 WILEY-VCH Verlag GmbH &amp; Co. KGaA, Weinheim","archive":"Scopus","container-title":"Advanced Functional Materials","DOI":"10.1002/adfm.201905810","ISSN":"1616-301X","issue":"49","language":"English","source":"Scopus","title":"Use of the Phen-NaDPO:Sn(SCN)2 Blend as Electron Transport Layer Results to Consistent Efficiency Improvements in Organic and Hybrid Perovskite Solar Cells","title-short":"Use of the Phen-NaDPO","volume":"29","author":[{"family":"Seitkhan","given":"A."},{"family":"Neophytou","given":"M."},{"family":"Kirkus","given":"M."},{"family":"Abou-Hamad","given":"E."},{"family":"Hedhili","given":"M.N."},{"family":"Yengel","given":"E."},{"family":"Firdaus","given":"Y."},{"family":"Faber","given":"H."},{"family":"Lin","given":"Y."},{"family":"Tsetseris","given":"L."},{"family":"McCulloch","given":"I."},{"family":"Anthopoulos","given":"T.D."}],"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[192]</w:t>
            </w:r>
            <w:r w:rsidRPr="00B55044">
              <w:rPr>
                <w:rFonts w:eastAsia="Times New Roman"/>
                <w:color w:val="0000FF"/>
                <w:sz w:val="16"/>
                <w:szCs w:val="16"/>
              </w:rPr>
              <w:fldChar w:fldCharType="end"/>
            </w:r>
          </w:p>
        </w:tc>
      </w:tr>
      <w:tr w:rsidR="00D47774" w:rsidRPr="00B55044" w14:paraId="53436D5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78CB01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356</w:t>
            </w:r>
          </w:p>
        </w:tc>
        <w:tc>
          <w:tcPr>
            <w:tcW w:w="1525" w:type="pct"/>
            <w:tcBorders>
              <w:top w:val="single" w:sz="4" w:space="0" w:color="auto"/>
              <w:left w:val="nil"/>
              <w:bottom w:val="single" w:sz="4" w:space="0" w:color="auto"/>
              <w:right w:val="nil"/>
            </w:tcBorders>
            <w:shd w:val="clear" w:color="auto" w:fill="auto"/>
            <w:noWrap/>
            <w:vAlign w:val="bottom"/>
            <w:hideMark/>
          </w:tcPr>
          <w:p w14:paraId="5B4C73D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1F05DBC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3ECC0EE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35643F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w:t>
            </w:r>
          </w:p>
        </w:tc>
        <w:tc>
          <w:tcPr>
            <w:tcW w:w="378" w:type="pct"/>
            <w:tcBorders>
              <w:top w:val="single" w:sz="4" w:space="0" w:color="auto"/>
              <w:left w:val="nil"/>
              <w:bottom w:val="single" w:sz="4" w:space="0" w:color="auto"/>
              <w:right w:val="nil"/>
            </w:tcBorders>
            <w:shd w:val="clear" w:color="auto" w:fill="auto"/>
            <w:noWrap/>
            <w:vAlign w:val="bottom"/>
            <w:hideMark/>
          </w:tcPr>
          <w:p w14:paraId="61DAA4A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76.35</w:t>
            </w:r>
          </w:p>
        </w:tc>
        <w:tc>
          <w:tcPr>
            <w:tcW w:w="381" w:type="pct"/>
            <w:tcBorders>
              <w:top w:val="single" w:sz="4" w:space="0" w:color="auto"/>
              <w:left w:val="nil"/>
              <w:bottom w:val="single" w:sz="4" w:space="0" w:color="auto"/>
              <w:right w:val="nil"/>
            </w:tcBorders>
            <w:shd w:val="clear" w:color="auto" w:fill="auto"/>
            <w:noWrap/>
            <w:vAlign w:val="bottom"/>
            <w:hideMark/>
          </w:tcPr>
          <w:p w14:paraId="1BEC96C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16.67</w:t>
            </w:r>
          </w:p>
        </w:tc>
        <w:tc>
          <w:tcPr>
            <w:tcW w:w="378" w:type="pct"/>
            <w:tcBorders>
              <w:top w:val="single" w:sz="4" w:space="0" w:color="auto"/>
              <w:left w:val="nil"/>
              <w:bottom w:val="single" w:sz="4" w:space="0" w:color="auto"/>
              <w:right w:val="nil"/>
            </w:tcBorders>
            <w:shd w:val="clear" w:color="auto" w:fill="auto"/>
            <w:noWrap/>
            <w:vAlign w:val="bottom"/>
            <w:hideMark/>
          </w:tcPr>
          <w:p w14:paraId="5E613BE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{"citationID":"a2k6vtut99o","properties":{"formattedCitation":"[193]","plainCitation":"[193]","noteIndex":0},"citationItems":[{"id":203,"uris":["http://zotero.org/users/12909065/items/5ZV3PJKH"],"itemData":{"id":203,"type":"article-journal","abstract":"Ternary heterojunction strategies appear to be an efficient approach to improve the efficiency of organic solar cells (OSCs) through harvesting more sunlight. Ternary OSCs are fabricated by employing wide bandgap polymer donor (PM6), narrow bandgap nonfullerene acceptor (Y6), and PC71BM as the third component to tune the light absorption and morphologies of the blend films. A record power conversion efficiency (PCE) of 16.67% (certified as 16.0%) on rigid substrate is achieved in an optimized PM6:Y6:PC71BM blend ratio of 1:1:0.2. The introduction of PC71BM endows the blend with enhanced absorption in the range of 300–500 nm and optimises interpenetrating morphologies to promote photogenerated charge dissociation and extraction. More importantly, a PCE of 14.06% for flexible ITO-free ternary OSCs is obtained based on this ternary heterojunction system, which is the highest PCE reported for flexible state-of-the-art OSCs. A very promising ternary heterojunction strategy to develop highly efficient rigid and flexible OSCs is presented. © 2019 WILEY-VCH Verlag GmbH &amp; Co. KGaA, Weinheim","archive":"Scopus","container-title":"Advanced Materials","DOI":"10.1002/adma.201902210","ISSN":"0935-9648","issue":"39","language":"English","source":"Scopus","title":"16.67% Rigid and 14.06% Flexible Organic Solar Cells Enabled by Ternary Heterojunction Strategy","volume":"31","author":[{"family":"Yan","given":"T."},{"family":"Song","given":"W."},{"family":"Huang","given":"J."},{"family":"Peng","given":"R."},{"family":"Huang","given":"L."},{"family":"Ge","given":"Z."}],"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[193]</w:t>
            </w:r>
            <w:r w:rsidRPr="00B55044">
              <w:rPr>
                <w:rFonts w:eastAsia="Times New Roman"/>
                <w:color w:val="0000FF"/>
                <w:sz w:val="16"/>
                <w:szCs w:val="16"/>
              </w:rPr>
              <w:fldChar w:fldCharType="end"/>
            </w:r>
          </w:p>
        </w:tc>
      </w:tr>
      <w:tr w:rsidR="00D47774" w:rsidRPr="00B55044" w14:paraId="70D6169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CC7C3A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357</w:t>
            </w:r>
          </w:p>
        </w:tc>
        <w:tc>
          <w:tcPr>
            <w:tcW w:w="1525" w:type="pct"/>
            <w:tcBorders>
              <w:top w:val="single" w:sz="4" w:space="0" w:color="auto"/>
              <w:left w:val="nil"/>
              <w:bottom w:val="single" w:sz="4" w:space="0" w:color="auto"/>
              <w:right w:val="nil"/>
            </w:tcBorders>
            <w:shd w:val="clear" w:color="auto" w:fill="auto"/>
            <w:noWrap/>
            <w:vAlign w:val="bottom"/>
            <w:hideMark/>
          </w:tcPr>
          <w:p w14:paraId="76A9DE5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6DC2C4E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PM6:C8-SF:Y-MODF</w:t>
            </w:r>
          </w:p>
        </w:tc>
        <w:tc>
          <w:tcPr>
            <w:tcW w:w="379" w:type="pct"/>
            <w:tcBorders>
              <w:top w:val="single" w:sz="4" w:space="0" w:color="auto"/>
              <w:left w:val="nil"/>
              <w:bottom w:val="single" w:sz="4" w:space="0" w:color="auto"/>
              <w:right w:val="nil"/>
            </w:tcBorders>
            <w:shd w:val="clear" w:color="auto" w:fill="auto"/>
            <w:noWrap/>
            <w:vAlign w:val="bottom"/>
            <w:hideMark/>
          </w:tcPr>
          <w:p w14:paraId="6408DF4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0.845</w:t>
            </w:r>
          </w:p>
        </w:tc>
        <w:tc>
          <w:tcPr>
            <w:tcW w:w="379" w:type="pct"/>
            <w:tcBorders>
              <w:top w:val="single" w:sz="4" w:space="0" w:color="auto"/>
              <w:left w:val="nil"/>
              <w:bottom w:val="single" w:sz="4" w:space="0" w:color="auto"/>
              <w:right w:val="nil"/>
            </w:tcBorders>
            <w:shd w:val="clear" w:color="auto" w:fill="auto"/>
            <w:noWrap/>
            <w:vAlign w:val="bottom"/>
            <w:hideMark/>
          </w:tcPr>
          <w:p w14:paraId="436BAA3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20.88</w:t>
            </w:r>
          </w:p>
        </w:tc>
        <w:tc>
          <w:tcPr>
            <w:tcW w:w="378" w:type="pct"/>
            <w:tcBorders>
              <w:top w:val="single" w:sz="4" w:space="0" w:color="auto"/>
              <w:left w:val="nil"/>
              <w:bottom w:val="single" w:sz="4" w:space="0" w:color="auto"/>
              <w:right w:val="nil"/>
            </w:tcBorders>
            <w:shd w:val="clear" w:color="auto" w:fill="auto"/>
            <w:noWrap/>
            <w:vAlign w:val="bottom"/>
            <w:hideMark/>
          </w:tcPr>
          <w:p w14:paraId="146F16D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75.87</w:t>
            </w:r>
          </w:p>
        </w:tc>
        <w:tc>
          <w:tcPr>
            <w:tcW w:w="381" w:type="pct"/>
            <w:tcBorders>
              <w:top w:val="single" w:sz="4" w:space="0" w:color="auto"/>
              <w:left w:val="nil"/>
              <w:bottom w:val="single" w:sz="4" w:space="0" w:color="auto"/>
              <w:right w:val="nil"/>
            </w:tcBorders>
            <w:shd w:val="clear" w:color="auto" w:fill="auto"/>
            <w:noWrap/>
            <w:vAlign w:val="bottom"/>
            <w:hideMark/>
          </w:tcPr>
          <w:p w14:paraId="04CC1BC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13.39</w:t>
            </w:r>
          </w:p>
        </w:tc>
        <w:tc>
          <w:tcPr>
            <w:tcW w:w="378" w:type="pct"/>
            <w:tcBorders>
              <w:top w:val="single" w:sz="4" w:space="0" w:color="auto"/>
              <w:left w:val="nil"/>
              <w:bottom w:val="single" w:sz="4" w:space="0" w:color="auto"/>
              <w:right w:val="nil"/>
            </w:tcBorders>
            <w:shd w:val="clear" w:color="auto" w:fill="auto"/>
            <w:noWrap/>
            <w:vAlign w:val="bottom"/>
            <w:hideMark/>
          </w:tcPr>
          <w:p w14:paraId="2552B42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{"citationID":"asdcg4b5hi","properties":{"formattedCitation":"[194]","plainCitation":"[194]","noteIndex":0},"citationItems":[{"id":202,"uris":["http://zotero.org/users/12909065/items/AM8VLAGM"],"itemData":{"id":202,"type":"article-journal","abstract":"Two n-type organic semiconductor (n-OS) acceptors, C8-SF and Y-MODF, were designed and synthesized for application in organic solar cells (OSCs). C8-SF shows a lower lowest unoccupied molecular orbital (LUMO) energy level and lower bandgap with an absorption edge at 822 nm. Y-MODF possesses a relatively larger bandgap and higher LUMO and lower HOMO (highest occupied molecular orbital) energy levels than C8-SF. With the polymer PM6 as the donor, the OSC with C8-SF as the acceptor delivers a power conversion efficiency (PCE) of 11.59% with a lower open circuit voltage (Voc) of 0.787 V, while the device with Y-MODF as the acceptor exhibits a lower PCE of 8.63% but a higher Voc of 0.984 V benefitting from the higher LUMO of the Y-MODF acceptor. Then, a series of ternary OSCs were fabricated with PM6:C8-SF as the host system and Y-MODF as a third component. The optimal ternary OSCs with 25% Y-MODF incorporated into the acceptor achieve a higher PCE of 13.39%, with an improved Voc of 0.845 V, a Jsc of 20.88 mA cm-2 and a FF of 75.87%. It was found that adding Y-MODF to the PM6:C8-SF binary system suppressed monomolecular recombination and improved the utilization of 450-600 nm range photons. Molecular packing is further optimized with more balanced hole and electron transport, thus resulting in the enhanced Jsc and FF for the ternary OSCs. These results indicate that the addition of a wide bandgap acceptor with a higher LUMO energy level to a binary donor/acceptor system may have potential for Voc and PCE improvement of ternary OSCs. © 2019 The Royal Society of Chemistry.","archive":"Scopus","container-title":"Journal of Materials Chemistry A","DOI":"10.1039/c9ta09268d","ISSN":"2050-7488","issue":"48","language":"English","page":"27423-27431","source":"Scopus","title":"Enhanced performance of ternary organic solar cells with a wide bandgap acceptor as the third component","volume":"7","author":[{"family":"Huang","given":"H."},{"family":"Li","given":"X."},{"family":"Chen","given":"S."},{"family":"Qiu","given":"B."},{"family":"Du","given":"J."},{"family":"Meng","given":"L."},{"family":"Zhang","given":"Z."},{"family":"Yang","given":"C."},{"family":"Li","given":"Y."}],"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[194]</w:t>
            </w:r>
            <w:r w:rsidRPr="00B55044">
              <w:rPr>
                <w:rFonts w:eastAsia="Times New Roman"/>
                <w:color w:val="0000FF"/>
                <w:sz w:val="16"/>
                <w:szCs w:val="16"/>
              </w:rPr>
              <w:fldChar w:fldCharType="end"/>
            </w:r>
          </w:p>
        </w:tc>
      </w:tr>
      <w:tr w:rsidR="00D47774" w:rsidRPr="00B55044" w14:paraId="7E4C014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02E1B5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358</w:t>
            </w:r>
          </w:p>
        </w:tc>
        <w:tc>
          <w:tcPr>
            <w:tcW w:w="1525" w:type="pct"/>
            <w:tcBorders>
              <w:top w:val="single" w:sz="4" w:space="0" w:color="auto"/>
              <w:left w:val="nil"/>
              <w:bottom w:val="single" w:sz="4" w:space="0" w:color="auto"/>
              <w:right w:val="nil"/>
            </w:tcBorders>
            <w:shd w:val="clear" w:color="auto" w:fill="auto"/>
            <w:noWrap/>
            <w:vAlign w:val="bottom"/>
            <w:hideMark/>
          </w:tcPr>
          <w:p w14:paraId="63DC9DB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219B7B0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PM6:SM1(10%):Y6</w:t>
            </w:r>
          </w:p>
        </w:tc>
        <w:tc>
          <w:tcPr>
            <w:tcW w:w="379" w:type="pct"/>
            <w:tcBorders>
              <w:top w:val="single" w:sz="4" w:space="0" w:color="auto"/>
              <w:left w:val="nil"/>
              <w:bottom w:val="single" w:sz="4" w:space="0" w:color="auto"/>
              <w:right w:val="nil"/>
            </w:tcBorders>
            <w:shd w:val="clear" w:color="auto" w:fill="auto"/>
            <w:noWrap/>
            <w:vAlign w:val="bottom"/>
            <w:hideMark/>
          </w:tcPr>
          <w:p w14:paraId="64CAA31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0.833</w:t>
            </w:r>
          </w:p>
        </w:tc>
        <w:tc>
          <w:tcPr>
            <w:tcW w:w="379" w:type="pct"/>
            <w:tcBorders>
              <w:top w:val="single" w:sz="4" w:space="0" w:color="auto"/>
              <w:left w:val="nil"/>
              <w:bottom w:val="single" w:sz="4" w:space="0" w:color="auto"/>
              <w:right w:val="nil"/>
            </w:tcBorders>
            <w:shd w:val="clear" w:color="auto" w:fill="auto"/>
            <w:noWrap/>
            <w:vAlign w:val="bottom"/>
            <w:hideMark/>
          </w:tcPr>
          <w:p w14:paraId="4CDE848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w:t>
            </w:r>
          </w:p>
        </w:tc>
        <w:tc>
          <w:tcPr>
            <w:tcW w:w="378" w:type="pct"/>
            <w:tcBorders>
              <w:top w:val="single" w:sz="4" w:space="0" w:color="auto"/>
              <w:left w:val="nil"/>
              <w:bottom w:val="single" w:sz="4" w:space="0" w:color="auto"/>
              <w:right w:val="nil"/>
            </w:tcBorders>
            <w:shd w:val="clear" w:color="auto" w:fill="auto"/>
            <w:noWrap/>
            <w:vAlign w:val="bottom"/>
            <w:hideMark/>
          </w:tcPr>
          <w:p w14:paraId="0F8E7E6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76.5</w:t>
            </w:r>
          </w:p>
        </w:tc>
        <w:tc>
          <w:tcPr>
            <w:tcW w:w="381" w:type="pct"/>
            <w:tcBorders>
              <w:top w:val="single" w:sz="4" w:space="0" w:color="auto"/>
              <w:left w:val="nil"/>
              <w:bottom w:val="single" w:sz="4" w:space="0" w:color="auto"/>
              <w:right w:val="nil"/>
            </w:tcBorders>
            <w:shd w:val="clear" w:color="auto" w:fill="auto"/>
            <w:noWrap/>
            <w:vAlign w:val="bottom"/>
            <w:hideMark/>
          </w:tcPr>
          <w:p w14:paraId="689486C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16.37</w:t>
            </w:r>
          </w:p>
        </w:tc>
        <w:tc>
          <w:tcPr>
            <w:tcW w:w="378" w:type="pct"/>
            <w:tcBorders>
              <w:top w:val="single" w:sz="4" w:space="0" w:color="auto"/>
              <w:left w:val="nil"/>
              <w:bottom w:val="single" w:sz="4" w:space="0" w:color="auto"/>
              <w:right w:val="nil"/>
            </w:tcBorders>
            <w:shd w:val="clear" w:color="auto" w:fill="auto"/>
            <w:noWrap/>
            <w:vAlign w:val="bottom"/>
            <w:hideMark/>
          </w:tcPr>
          <w:p w14:paraId="2502FA6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{"citationID":"a1ggi72q0ia","properties":{"formattedCitation":"[195]","plainCitation":"[195]","noteIndex":0},"citationItems":[{"id":201,"uris":["http://zotero.org/users/12909065/items/J25LKRQ4"],"itemData":{"id":201,"type":"article-journal","abstract":"The introduction of a third component into the binary system to construct a ternary architecture is widely applied to improve the power conversion efficiency (PCE) of organic solar cells (OSCs). Herein, a small molecule donor, SM1, was introduced into the PM6:Y6 binary system where a high PCE of up to 16.55% was achieved after the addition of 15 wt% of SM1 in the donors with an open-circuit voltage (Voc) of 0.831 V, a short-circuit current density (Jsc) of 25.7 mA cm-2, and a fill factor (FF) of 77.5%, which was much higher than that of the PM6:Y6 binary systems (15.75%), presenting a Voc of 0.845 V, a Jsc of 25.3 mA cm-2, and a FF of 73.7%. The introduction of SM1 improved the charge extraction, exciton dissociation, and blend of the morphology while effectively reducing bimolecular recombination. As a result, the Jsc and FF of the ternary devices greatly improved. This study presents an effective method to improve the PCE by adopting a ternary strategy, while at the same time, promoting a simple fabrication technology. © 2019 The Royal Society of Chemistry.","archive":"Scopus","container-title":"Journal of Materials Chemistry A","DOI":"10.1039/c9ta10145d","ISSN":"2050-7488","issue":"45","language":"English","page":"25894-25899","source":"Scopus","title":"16.55% efficiency ternary organic solar cells enabled by incorporating a small molecular donor","volume":"7","author":[{"family":"Yan","given":"T."},{"family":"Ge","given":"J."},{"family":"Lei","given":"T."},{"family":"Zhang","given":"W."},{"family":"Song","given":"W."},{"family":"Fanady","given":"B."},{"family":"Zhang","given":"D."},{"family":"Chen","given":"S."},{"family":"Peng","given":"R."},{"family":"Ge","given":"Z."}],"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[195]</w:t>
            </w:r>
            <w:r w:rsidRPr="00B55044">
              <w:rPr>
                <w:rFonts w:eastAsia="Times New Roman"/>
                <w:color w:val="0000FF"/>
                <w:sz w:val="16"/>
                <w:szCs w:val="16"/>
              </w:rPr>
              <w:fldChar w:fldCharType="end"/>
            </w:r>
          </w:p>
        </w:tc>
      </w:tr>
      <w:tr w:rsidR="00D47774" w:rsidRPr="00B55044" w14:paraId="12C149C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4DACB4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359</w:t>
            </w:r>
          </w:p>
        </w:tc>
        <w:tc>
          <w:tcPr>
            <w:tcW w:w="1525" w:type="pct"/>
            <w:tcBorders>
              <w:top w:val="single" w:sz="4" w:space="0" w:color="auto"/>
              <w:left w:val="nil"/>
              <w:bottom w:val="single" w:sz="4" w:space="0" w:color="auto"/>
              <w:right w:val="nil"/>
            </w:tcBorders>
            <w:shd w:val="clear" w:color="auto" w:fill="auto"/>
            <w:noWrap/>
            <w:vAlign w:val="bottom"/>
            <w:hideMark/>
          </w:tcPr>
          <w:p w14:paraId="18B62B3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1FA448C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PM6:SM1(15%):Y6</w:t>
            </w:r>
          </w:p>
        </w:tc>
        <w:tc>
          <w:tcPr>
            <w:tcW w:w="379" w:type="pct"/>
            <w:tcBorders>
              <w:top w:val="single" w:sz="4" w:space="0" w:color="auto"/>
              <w:left w:val="nil"/>
              <w:bottom w:val="single" w:sz="4" w:space="0" w:color="auto"/>
              <w:right w:val="nil"/>
            </w:tcBorders>
            <w:shd w:val="clear" w:color="auto" w:fill="auto"/>
            <w:noWrap/>
            <w:vAlign w:val="bottom"/>
            <w:hideMark/>
          </w:tcPr>
          <w:p w14:paraId="7C87C5F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0.831</w:t>
            </w:r>
          </w:p>
        </w:tc>
        <w:tc>
          <w:tcPr>
            <w:tcW w:w="379" w:type="pct"/>
            <w:tcBorders>
              <w:top w:val="single" w:sz="4" w:space="0" w:color="auto"/>
              <w:left w:val="nil"/>
              <w:bottom w:val="single" w:sz="4" w:space="0" w:color="auto"/>
              <w:right w:val="nil"/>
            </w:tcBorders>
            <w:shd w:val="clear" w:color="auto" w:fill="auto"/>
            <w:noWrap/>
            <w:vAlign w:val="bottom"/>
            <w:hideMark/>
          </w:tcPr>
          <w:p w14:paraId="7FC1805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w:t>
            </w:r>
          </w:p>
        </w:tc>
        <w:tc>
          <w:tcPr>
            <w:tcW w:w="378" w:type="pct"/>
            <w:tcBorders>
              <w:top w:val="single" w:sz="4" w:space="0" w:color="auto"/>
              <w:left w:val="nil"/>
              <w:bottom w:val="single" w:sz="4" w:space="0" w:color="auto"/>
              <w:right w:val="nil"/>
            </w:tcBorders>
            <w:shd w:val="clear" w:color="auto" w:fill="auto"/>
            <w:noWrap/>
            <w:vAlign w:val="bottom"/>
            <w:hideMark/>
          </w:tcPr>
          <w:p w14:paraId="3D66A3D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77.5</w:t>
            </w:r>
          </w:p>
        </w:tc>
        <w:tc>
          <w:tcPr>
            <w:tcW w:w="381" w:type="pct"/>
            <w:tcBorders>
              <w:top w:val="single" w:sz="4" w:space="0" w:color="auto"/>
              <w:left w:val="nil"/>
              <w:bottom w:val="single" w:sz="4" w:space="0" w:color="auto"/>
              <w:right w:val="nil"/>
            </w:tcBorders>
            <w:shd w:val="clear" w:color="auto" w:fill="auto"/>
            <w:noWrap/>
            <w:vAlign w:val="bottom"/>
            <w:hideMark/>
          </w:tcPr>
          <w:p w14:paraId="25A8352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16.55</w:t>
            </w:r>
          </w:p>
        </w:tc>
        <w:tc>
          <w:tcPr>
            <w:tcW w:w="378" w:type="pct"/>
            <w:tcBorders>
              <w:top w:val="single" w:sz="4" w:space="0" w:color="auto"/>
              <w:left w:val="nil"/>
              <w:bottom w:val="single" w:sz="4" w:space="0" w:color="auto"/>
              <w:right w:val="nil"/>
            </w:tcBorders>
            <w:shd w:val="clear" w:color="auto" w:fill="auto"/>
            <w:noWrap/>
            <w:vAlign w:val="bottom"/>
            <w:hideMark/>
          </w:tcPr>
          <w:p w14:paraId="410C5FB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{"citationID":"ajubn2aio6","properties":{"formattedCitation":"[195]","plainCitation":"[195]","noteIndex":0},"citationItems":[{"id":201,"uris":["http://zotero.org/users/12909065/items/J25LKRQ4"],"itemData":{"id":201,"type":"article-journal","abstract":"The introduction of a third component into the binary system to construct a ternary architecture is widely applied to improve the power conversion efficiency (PCE) of organic solar cells (OSCs). Herein, a small molecule donor, SM1, was introduced into the PM6:Y6 binary system where a high PCE of up to 16.55% was achieved after the addition of 15 wt% of SM1 in the donors with an open-circuit voltage (Voc) of 0.831 V, a short-circuit current density (Jsc) of 25.7 mA cm-2, and a fill factor (FF) of 77.5%, which was much higher than that of the PM6:Y6 binary systems (15.75%), presenting a Voc of 0.845 V, a Jsc of 25.3 mA cm-2, and a FF of 73.7%. The introduction of SM1 improved the charge extraction, exciton dissociation, and blend of the morphology while effectively reducing bimolecular recombination. As a result, the Jsc and FF of the ternary devices greatly improved. This study presents an effective method to improve the PCE by adopting a ternary strategy, while at the same time, promoting a simple fabrication technology. © 2019 The Royal Society of Chemistry.","archive":"Scopus","container-title":"Journal of Materials Chemistry A","DOI":"10.1039/c9ta10145d","ISSN":"2050-7488","issue":"45","language":"English","page":"25894-25899","source":"Scopus","title":"16.55% efficiency ternary organic solar cells enabled by incorporating a small molecular donor","volume":"7","author":[{"family":"Yan","given":"T."},{"family":"Ge","given":"J."},{"family":"Lei","given":"T."},{"family":"Zhang","given":"W."},{"family":"Song","given":"W."},{"family":"Fanady","given":"B."},{"family":"Zhang","given":"D."},{"family":"Chen","given":"S."},{"family":"Peng","given":"R."},{"family":"Ge","given":"Z."}],"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[195]</w:t>
            </w:r>
            <w:r w:rsidRPr="00B55044">
              <w:rPr>
                <w:rFonts w:eastAsia="Times New Roman"/>
                <w:color w:val="0000FF"/>
                <w:sz w:val="16"/>
                <w:szCs w:val="16"/>
              </w:rPr>
              <w:fldChar w:fldCharType="end"/>
            </w:r>
          </w:p>
        </w:tc>
      </w:tr>
      <w:tr w:rsidR="00D47774" w:rsidRPr="00B55044" w14:paraId="496E589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C3702C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360</w:t>
            </w:r>
          </w:p>
        </w:tc>
        <w:tc>
          <w:tcPr>
            <w:tcW w:w="1525" w:type="pct"/>
            <w:tcBorders>
              <w:top w:val="single" w:sz="4" w:space="0" w:color="auto"/>
              <w:left w:val="nil"/>
              <w:bottom w:val="single" w:sz="4" w:space="0" w:color="auto"/>
              <w:right w:val="nil"/>
            </w:tcBorders>
            <w:shd w:val="clear" w:color="auto" w:fill="auto"/>
            <w:noWrap/>
            <w:vAlign w:val="bottom"/>
            <w:hideMark/>
          </w:tcPr>
          <w:p w14:paraId="057320D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2CC035B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PM6:SM1(20%):Y6</w:t>
            </w:r>
          </w:p>
        </w:tc>
        <w:tc>
          <w:tcPr>
            <w:tcW w:w="379" w:type="pct"/>
            <w:tcBorders>
              <w:top w:val="single" w:sz="4" w:space="0" w:color="auto"/>
              <w:left w:val="nil"/>
              <w:bottom w:val="single" w:sz="4" w:space="0" w:color="auto"/>
              <w:right w:val="nil"/>
            </w:tcBorders>
            <w:shd w:val="clear" w:color="auto" w:fill="auto"/>
            <w:noWrap/>
            <w:vAlign w:val="bottom"/>
            <w:hideMark/>
          </w:tcPr>
          <w:p w14:paraId="64DA9F1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0.826</w:t>
            </w:r>
          </w:p>
        </w:tc>
        <w:tc>
          <w:tcPr>
            <w:tcW w:w="379" w:type="pct"/>
            <w:tcBorders>
              <w:top w:val="single" w:sz="4" w:space="0" w:color="auto"/>
              <w:left w:val="nil"/>
              <w:bottom w:val="single" w:sz="4" w:space="0" w:color="auto"/>
              <w:right w:val="nil"/>
            </w:tcBorders>
            <w:shd w:val="clear" w:color="auto" w:fill="auto"/>
            <w:noWrap/>
            <w:vAlign w:val="bottom"/>
            <w:hideMark/>
          </w:tcPr>
          <w:p w14:paraId="3216838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25.9</w:t>
            </w:r>
          </w:p>
        </w:tc>
        <w:tc>
          <w:tcPr>
            <w:tcW w:w="378" w:type="pct"/>
            <w:tcBorders>
              <w:top w:val="single" w:sz="4" w:space="0" w:color="auto"/>
              <w:left w:val="nil"/>
              <w:bottom w:val="single" w:sz="4" w:space="0" w:color="auto"/>
              <w:right w:val="nil"/>
            </w:tcBorders>
            <w:shd w:val="clear" w:color="auto" w:fill="auto"/>
            <w:noWrap/>
            <w:vAlign w:val="bottom"/>
            <w:hideMark/>
          </w:tcPr>
          <w:p w14:paraId="24C1D9F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75.9</w:t>
            </w:r>
          </w:p>
        </w:tc>
        <w:tc>
          <w:tcPr>
            <w:tcW w:w="381" w:type="pct"/>
            <w:tcBorders>
              <w:top w:val="single" w:sz="4" w:space="0" w:color="auto"/>
              <w:left w:val="nil"/>
              <w:bottom w:val="single" w:sz="4" w:space="0" w:color="auto"/>
              <w:right w:val="nil"/>
            </w:tcBorders>
            <w:shd w:val="clear" w:color="auto" w:fill="auto"/>
            <w:noWrap/>
            <w:vAlign w:val="bottom"/>
            <w:hideMark/>
          </w:tcPr>
          <w:p w14:paraId="3BD4C55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16.22</w:t>
            </w:r>
          </w:p>
        </w:tc>
        <w:tc>
          <w:tcPr>
            <w:tcW w:w="378" w:type="pct"/>
            <w:tcBorders>
              <w:top w:val="single" w:sz="4" w:space="0" w:color="auto"/>
              <w:left w:val="nil"/>
              <w:bottom w:val="single" w:sz="4" w:space="0" w:color="auto"/>
              <w:right w:val="nil"/>
            </w:tcBorders>
            <w:shd w:val="clear" w:color="auto" w:fill="auto"/>
            <w:noWrap/>
            <w:vAlign w:val="bottom"/>
            <w:hideMark/>
          </w:tcPr>
          <w:p w14:paraId="6CA3227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{"citationID":"a1t8p9ikacl","properties":{"formattedCitation":"[195]","plainCitation":"[195]","noteIndex":0},"citationItems":[{"id":201,"uris":["http://zotero.org/users/12909065/items/J25LKRQ4"],"itemData":{"id":201,"type":"article-journal","abstract":"The introduction of a third component into the binary system to construct a ternary architecture is widely applied to improve the power conversion efficiency (PCE) of organic solar cells (OSCs). Herein, a small molecule donor, SM1, was introduced into the PM6:Y6 binary system where a high PCE of up to 16.55% was achieved after the addition of 15 wt% of SM1 in the donors with an open-circuit voltage (Voc) of 0.831 V, a short-circuit current density (Jsc) of 25.7 mA cm-2, and a fill factor (FF) of 77.5%, which was much higher than that of the PM6:Y6 binary systems (15.75%), presenting a Voc of 0.845 V, a Jsc of 25.3 mA cm-2, and a FF of 73.7%. The introduction of SM1 improved the charge extraction, exciton dissociation, and blend of the morphology while effectively reducing bimolecular recombination. As a result, the Jsc and FF of the ternary devices greatly improved. This study presents an effective method to improve the PCE by adopting a ternary strategy, while at the same time, promoting a simple fabrication technology. © 2019 The Royal Society of Chemistry.","archive":"Scopus","container-title":"Journal of Materials Chemistry A","DOI":"10.1039/c9ta10145d","ISSN":"2050-7488","issue":"45","language":"English","page":"25894-25899","source":"Scopus","title":"16.55% efficiency ternary organic solar cells enabled by incorporating a small molecular donor","volume":"7","author":[{"family":"Yan","given":"T."},{"family":"Ge","given":"J."},{"family":"Lei","given":"T."},{"family":"Zhang","given":"W."},{"family":"Song","given":"W."},{"family":"Fanady","given":"B."},{"family":"Zhang","given":"D."},{"family":"Chen","given":"S."},{"family":"Peng","given":"R."},{"family":"Ge","given":"Z."}],"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[195]</w:t>
            </w:r>
            <w:r w:rsidRPr="00B55044">
              <w:rPr>
                <w:rFonts w:eastAsia="Times New Roman"/>
                <w:color w:val="0000FF"/>
                <w:sz w:val="16"/>
                <w:szCs w:val="16"/>
              </w:rPr>
              <w:fldChar w:fldCharType="end"/>
            </w:r>
          </w:p>
        </w:tc>
      </w:tr>
      <w:tr w:rsidR="00D47774" w:rsidRPr="00B55044" w14:paraId="0C04BAA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9489FF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361</w:t>
            </w:r>
          </w:p>
        </w:tc>
        <w:tc>
          <w:tcPr>
            <w:tcW w:w="1525" w:type="pct"/>
            <w:tcBorders>
              <w:top w:val="single" w:sz="4" w:space="0" w:color="auto"/>
              <w:left w:val="nil"/>
              <w:bottom w:val="single" w:sz="4" w:space="0" w:color="auto"/>
              <w:right w:val="nil"/>
            </w:tcBorders>
            <w:shd w:val="clear" w:color="auto" w:fill="auto"/>
            <w:noWrap/>
            <w:vAlign w:val="bottom"/>
            <w:hideMark/>
          </w:tcPr>
          <w:p w14:paraId="622ED40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3987E01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PM6:SM1(30%):Y6</w:t>
            </w:r>
          </w:p>
        </w:tc>
        <w:tc>
          <w:tcPr>
            <w:tcW w:w="379" w:type="pct"/>
            <w:tcBorders>
              <w:top w:val="single" w:sz="4" w:space="0" w:color="auto"/>
              <w:left w:val="nil"/>
              <w:bottom w:val="single" w:sz="4" w:space="0" w:color="auto"/>
              <w:right w:val="nil"/>
            </w:tcBorders>
            <w:shd w:val="clear" w:color="auto" w:fill="auto"/>
            <w:noWrap/>
            <w:vAlign w:val="bottom"/>
            <w:hideMark/>
          </w:tcPr>
          <w:p w14:paraId="2CAC8EE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0.815</w:t>
            </w:r>
          </w:p>
        </w:tc>
        <w:tc>
          <w:tcPr>
            <w:tcW w:w="379" w:type="pct"/>
            <w:tcBorders>
              <w:top w:val="single" w:sz="4" w:space="0" w:color="auto"/>
              <w:left w:val="nil"/>
              <w:bottom w:val="single" w:sz="4" w:space="0" w:color="auto"/>
              <w:right w:val="nil"/>
            </w:tcBorders>
            <w:shd w:val="clear" w:color="auto" w:fill="auto"/>
            <w:noWrap/>
            <w:vAlign w:val="bottom"/>
            <w:hideMark/>
          </w:tcPr>
          <w:p w14:paraId="72F2DE6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24.9</w:t>
            </w:r>
          </w:p>
        </w:tc>
        <w:tc>
          <w:tcPr>
            <w:tcW w:w="378" w:type="pct"/>
            <w:tcBorders>
              <w:top w:val="single" w:sz="4" w:space="0" w:color="auto"/>
              <w:left w:val="nil"/>
              <w:bottom w:val="single" w:sz="4" w:space="0" w:color="auto"/>
              <w:right w:val="nil"/>
            </w:tcBorders>
            <w:shd w:val="clear" w:color="auto" w:fill="auto"/>
            <w:noWrap/>
            <w:vAlign w:val="bottom"/>
            <w:hideMark/>
          </w:tcPr>
          <w:p w14:paraId="6A4AEEE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71.4</w:t>
            </w:r>
          </w:p>
        </w:tc>
        <w:tc>
          <w:tcPr>
            <w:tcW w:w="381" w:type="pct"/>
            <w:tcBorders>
              <w:top w:val="single" w:sz="4" w:space="0" w:color="auto"/>
              <w:left w:val="nil"/>
              <w:bottom w:val="single" w:sz="4" w:space="0" w:color="auto"/>
              <w:right w:val="nil"/>
            </w:tcBorders>
            <w:shd w:val="clear" w:color="auto" w:fill="auto"/>
            <w:noWrap/>
            <w:vAlign w:val="bottom"/>
            <w:hideMark/>
          </w:tcPr>
          <w:p w14:paraId="57BB297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14.48</w:t>
            </w:r>
          </w:p>
        </w:tc>
        <w:tc>
          <w:tcPr>
            <w:tcW w:w="378" w:type="pct"/>
            <w:tcBorders>
              <w:top w:val="single" w:sz="4" w:space="0" w:color="auto"/>
              <w:left w:val="nil"/>
              <w:bottom w:val="single" w:sz="4" w:space="0" w:color="auto"/>
              <w:right w:val="nil"/>
            </w:tcBorders>
            <w:shd w:val="clear" w:color="auto" w:fill="auto"/>
            <w:noWrap/>
            <w:vAlign w:val="bottom"/>
            <w:hideMark/>
          </w:tcPr>
          <w:p w14:paraId="4231CFF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{"citationID":"a1lcqe8alm7","properties":{"formattedCitation":"[195]","plainCitation":"[195]","noteIndex":0},"citationItems":[{"id":201,"uris":["http://zotero.org/users/12909065/items/J25LKRQ4"],"itemData":{"id":201,"type":"article-journal","abstract":"The introduction of a third component into the binary system to construct a ternary architecture is widely applied to improve the power conversion efficiency (PCE) of organic solar cells (OSCs). Herein, a small molecule donor, SM1, was introduced into the PM6:Y6 binary system where a high PCE of up to 16.55% was achieved after the addition of 15 wt% of SM1 in the donors with an open-circuit voltage (Voc) of 0.831 V, a short-circuit current density (Jsc) of 25.7 mA cm-2, and a fill factor (FF) of 77.5%, which was much higher than that of the PM6:Y6 binary systems (15.75%), presenting a Voc of 0.845 V, a Jsc of 25.3 mA cm-2, and a FF of 73.7%. The introduction of SM1 improved the charge extraction, exciton dissociation, and blend of the morphology while effectively reducing bimolecular recombination. As a result, the Jsc and FF of the ternary devices greatly improved. This study presents an effective method to improve the PCE by adopting a ternary strategy, while at the same time, promoting a simple fabrication technology. © 2019 The Royal Society of Chemistry.","archive":"Scopus","container-title":"Journal of Materials Chemistry A","DOI":"10.1039/c9ta10145d","ISSN":"2050-7488","issue":"45","language":"English","page":"25894-25899","source":"Scopus","title":"16.55% efficiency ternary organic solar cells enabled by incorporating a small molecular donor","volume":"7","author":[{"family":"Yan","given":"T."},{"family":"Ge","given":"J."},{"family":"Lei","given":"T."},{"family":"Zhang","given":"W."},{"family":"Song","given":"W."},{"family":"Fanady","given":"B."},{"family":"Zhang","given":"D."},{"family":"Chen","given":"S."},{"family":"Peng","given":"R."},{"family":"Ge","given":"Z."}],"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[195]</w:t>
            </w:r>
            <w:r w:rsidRPr="00B55044">
              <w:rPr>
                <w:rFonts w:eastAsia="Times New Roman"/>
                <w:color w:val="0000FF"/>
                <w:sz w:val="16"/>
                <w:szCs w:val="16"/>
              </w:rPr>
              <w:fldChar w:fldCharType="end"/>
            </w:r>
          </w:p>
        </w:tc>
      </w:tr>
      <w:tr w:rsidR="00D47774" w:rsidRPr="00B55044" w14:paraId="1959F26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C799D2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362</w:t>
            </w:r>
          </w:p>
        </w:tc>
        <w:tc>
          <w:tcPr>
            <w:tcW w:w="1525" w:type="pct"/>
            <w:tcBorders>
              <w:top w:val="single" w:sz="4" w:space="0" w:color="auto"/>
              <w:left w:val="nil"/>
              <w:bottom w:val="single" w:sz="4" w:space="0" w:color="auto"/>
              <w:right w:val="nil"/>
            </w:tcBorders>
            <w:shd w:val="clear" w:color="auto" w:fill="auto"/>
            <w:noWrap/>
            <w:vAlign w:val="bottom"/>
            <w:hideMark/>
          </w:tcPr>
          <w:p w14:paraId="508E4D5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7E38CAB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PM6:SM1(50%):Y6</w:t>
            </w:r>
          </w:p>
        </w:tc>
        <w:tc>
          <w:tcPr>
            <w:tcW w:w="379" w:type="pct"/>
            <w:tcBorders>
              <w:top w:val="single" w:sz="4" w:space="0" w:color="auto"/>
              <w:left w:val="nil"/>
              <w:bottom w:val="single" w:sz="4" w:space="0" w:color="auto"/>
              <w:right w:val="nil"/>
            </w:tcBorders>
            <w:shd w:val="clear" w:color="auto" w:fill="auto"/>
            <w:noWrap/>
            <w:vAlign w:val="bottom"/>
            <w:hideMark/>
          </w:tcPr>
          <w:p w14:paraId="63C64B8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0.809</w:t>
            </w:r>
          </w:p>
        </w:tc>
        <w:tc>
          <w:tcPr>
            <w:tcW w:w="379" w:type="pct"/>
            <w:tcBorders>
              <w:top w:val="single" w:sz="4" w:space="0" w:color="auto"/>
              <w:left w:val="nil"/>
              <w:bottom w:val="single" w:sz="4" w:space="0" w:color="auto"/>
              <w:right w:val="nil"/>
            </w:tcBorders>
            <w:shd w:val="clear" w:color="auto" w:fill="auto"/>
            <w:noWrap/>
            <w:vAlign w:val="bottom"/>
            <w:hideMark/>
          </w:tcPr>
          <w:p w14:paraId="494BC9D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23.6</w:t>
            </w:r>
          </w:p>
        </w:tc>
        <w:tc>
          <w:tcPr>
            <w:tcW w:w="378" w:type="pct"/>
            <w:tcBorders>
              <w:top w:val="single" w:sz="4" w:space="0" w:color="auto"/>
              <w:left w:val="nil"/>
              <w:bottom w:val="single" w:sz="4" w:space="0" w:color="auto"/>
              <w:right w:val="nil"/>
            </w:tcBorders>
            <w:shd w:val="clear" w:color="auto" w:fill="auto"/>
            <w:noWrap/>
            <w:vAlign w:val="bottom"/>
            <w:hideMark/>
          </w:tcPr>
          <w:p w14:paraId="7B8C04F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64</w:t>
            </w:r>
          </w:p>
        </w:tc>
        <w:tc>
          <w:tcPr>
            <w:tcW w:w="381" w:type="pct"/>
            <w:tcBorders>
              <w:top w:val="single" w:sz="4" w:space="0" w:color="auto"/>
              <w:left w:val="nil"/>
              <w:bottom w:val="single" w:sz="4" w:space="0" w:color="auto"/>
              <w:right w:val="nil"/>
            </w:tcBorders>
            <w:shd w:val="clear" w:color="auto" w:fill="auto"/>
            <w:noWrap/>
            <w:vAlign w:val="bottom"/>
            <w:hideMark/>
          </w:tcPr>
          <w:p w14:paraId="45A858B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12.23</w:t>
            </w:r>
          </w:p>
        </w:tc>
        <w:tc>
          <w:tcPr>
            <w:tcW w:w="378" w:type="pct"/>
            <w:tcBorders>
              <w:top w:val="single" w:sz="4" w:space="0" w:color="auto"/>
              <w:left w:val="nil"/>
              <w:bottom w:val="single" w:sz="4" w:space="0" w:color="auto"/>
              <w:right w:val="nil"/>
            </w:tcBorders>
            <w:shd w:val="clear" w:color="auto" w:fill="auto"/>
            <w:noWrap/>
            <w:vAlign w:val="bottom"/>
            <w:hideMark/>
          </w:tcPr>
          <w:p w14:paraId="6660599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{"citationID":"a186mmrrvtd","properties":{"formattedCitation":"[195]","plainCitation":"[195]","noteIndex":0},"citationItems":[{"id":201,"uris":["http://zotero.org/users/12909065/items/J25LKRQ4"],"itemData":{"id":201,"type":"article-journal","abstract":"The introduction of a third component into the binary system to construct a ternary architecture is widely applied to improve the power conversion efficiency (PCE) of organic solar cells (OSCs). Herein, a small molecule donor, SM1, was introduced into the PM6:Y6 binary system where a high PCE of up to 16.55% was achieved after the addition of 15 wt% of SM1 in the donors with an open-circuit voltage (Voc) of 0.831 V, a short-circuit current density (Jsc) of 25.7 mA cm-2, and a fill factor (FF) of 77.5%, which was much higher than that of the PM6:Y6 binary systems (15.75%), presenting a Voc of 0.845 V, a Jsc of 25.3 mA cm-2, and a FF of 73.7%. The introduction of SM1 improved the charge extraction, exciton dissociation, and blend of the morphology while effectively reducing bimolecular recombination. As a result, the Jsc and FF of the ternary devices greatly improved. This study presents an effective method to improve the PCE by adopting a ternary strategy, while at the same time, promoting a simple fabrication technology. © 2019 The Royal Society of Chemistry.","archive":"Scopus","container-title":"Journal of Materials Chemistry A","DOI":"10.1039/c9ta10145d","ISSN":"2050-7488","issue":"45","language":"English","page":"25894-25899","source":"Scopus","title":"16.55% efficiency ternary organic solar cells enabled by incorporating a small molecular donor","volume":"7","author":[{"family":"Yan","given":"T."},{"family":"Ge","given":"J."},{"family":"Lei","given":"T."},{"family":"Zhang","given":"W."},{"family":"Song","given":"W."},{"family":"Fanady","given":"B."},{"family":"Zhang","given":"D."},{"family":"Chen","given":"S."},{"family":"Peng","given":"R."},{"family":"Ge","given":"Z."}],"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[195]</w:t>
            </w:r>
            <w:r w:rsidRPr="00B55044">
              <w:rPr>
                <w:rFonts w:eastAsia="Times New Roman"/>
                <w:color w:val="0000FF"/>
                <w:sz w:val="16"/>
                <w:szCs w:val="16"/>
              </w:rPr>
              <w:fldChar w:fldCharType="end"/>
            </w:r>
          </w:p>
        </w:tc>
      </w:tr>
      <w:tr w:rsidR="00D47774" w:rsidRPr="00B55044" w14:paraId="634AA92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AB4957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363</w:t>
            </w:r>
          </w:p>
        </w:tc>
        <w:tc>
          <w:tcPr>
            <w:tcW w:w="1525" w:type="pct"/>
            <w:tcBorders>
              <w:top w:val="single" w:sz="4" w:space="0" w:color="auto"/>
              <w:left w:val="nil"/>
              <w:bottom w:val="single" w:sz="4" w:space="0" w:color="auto"/>
              <w:right w:val="nil"/>
            </w:tcBorders>
            <w:shd w:val="clear" w:color="auto" w:fill="auto"/>
            <w:noWrap/>
            <w:vAlign w:val="bottom"/>
            <w:hideMark/>
          </w:tcPr>
          <w:p w14:paraId="6CD68D0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7DEC67F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PM6:SM1(70%):Y6</w:t>
            </w:r>
          </w:p>
        </w:tc>
        <w:tc>
          <w:tcPr>
            <w:tcW w:w="379" w:type="pct"/>
            <w:tcBorders>
              <w:top w:val="single" w:sz="4" w:space="0" w:color="auto"/>
              <w:left w:val="nil"/>
              <w:bottom w:val="single" w:sz="4" w:space="0" w:color="auto"/>
              <w:right w:val="nil"/>
            </w:tcBorders>
            <w:shd w:val="clear" w:color="auto" w:fill="auto"/>
            <w:noWrap/>
            <w:vAlign w:val="bottom"/>
            <w:hideMark/>
          </w:tcPr>
          <w:p w14:paraId="715D00E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0.763</w:t>
            </w:r>
          </w:p>
        </w:tc>
        <w:tc>
          <w:tcPr>
            <w:tcW w:w="379" w:type="pct"/>
            <w:tcBorders>
              <w:top w:val="single" w:sz="4" w:space="0" w:color="auto"/>
              <w:left w:val="nil"/>
              <w:bottom w:val="single" w:sz="4" w:space="0" w:color="auto"/>
              <w:right w:val="nil"/>
            </w:tcBorders>
            <w:shd w:val="clear" w:color="auto" w:fill="auto"/>
            <w:noWrap/>
            <w:vAlign w:val="bottom"/>
            <w:hideMark/>
          </w:tcPr>
          <w:p w14:paraId="17F9D66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22.68</w:t>
            </w:r>
          </w:p>
        </w:tc>
        <w:tc>
          <w:tcPr>
            <w:tcW w:w="378" w:type="pct"/>
            <w:tcBorders>
              <w:top w:val="single" w:sz="4" w:space="0" w:color="auto"/>
              <w:left w:val="nil"/>
              <w:bottom w:val="single" w:sz="4" w:space="0" w:color="auto"/>
              <w:right w:val="nil"/>
            </w:tcBorders>
            <w:shd w:val="clear" w:color="auto" w:fill="auto"/>
            <w:noWrap/>
            <w:vAlign w:val="bottom"/>
            <w:hideMark/>
          </w:tcPr>
          <w:p w14:paraId="66A3C1F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54.2</w:t>
            </w:r>
          </w:p>
        </w:tc>
        <w:tc>
          <w:tcPr>
            <w:tcW w:w="381" w:type="pct"/>
            <w:tcBorders>
              <w:top w:val="single" w:sz="4" w:space="0" w:color="auto"/>
              <w:left w:val="nil"/>
              <w:bottom w:val="single" w:sz="4" w:space="0" w:color="auto"/>
              <w:right w:val="nil"/>
            </w:tcBorders>
            <w:shd w:val="clear" w:color="auto" w:fill="auto"/>
            <w:noWrap/>
            <w:vAlign w:val="bottom"/>
            <w:hideMark/>
          </w:tcPr>
          <w:p w14:paraId="33557E5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9.4</w:t>
            </w:r>
          </w:p>
        </w:tc>
        <w:tc>
          <w:tcPr>
            <w:tcW w:w="378" w:type="pct"/>
            <w:tcBorders>
              <w:top w:val="single" w:sz="4" w:space="0" w:color="auto"/>
              <w:left w:val="nil"/>
              <w:bottom w:val="single" w:sz="4" w:space="0" w:color="auto"/>
              <w:right w:val="nil"/>
            </w:tcBorders>
            <w:shd w:val="clear" w:color="auto" w:fill="auto"/>
            <w:noWrap/>
            <w:vAlign w:val="bottom"/>
            <w:hideMark/>
          </w:tcPr>
          <w:p w14:paraId="71DDC13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{"citationID":"a1vnt6o16f1","properties":{"formattedCitation":"[195]","plainCitation":"[195]","noteIndex":0},"citationItems":[{"id":201,"uris":["http://zotero.org/users/12909065/items/J25LKRQ4"],"itemData":{"id":201,"type":"article-journal","abstract":"The introduction of a third component into the binary system to construct a ternary architecture is widely applied to improve the power conversion efficiency (PCE) of organic solar cells (OSCs). Herein, a small molecule donor, SM1, was introduced into the PM6:Y6 binary system where a high PCE of up to 16.55% was achieved after the addition of 15 wt% of SM1 in the donors with an open-circuit voltage (Voc) of 0.831 V, a short-circuit current density (Jsc) of 25.7 mA cm-2, and a fill factor (FF) of 77.5%, which was much higher than that of the PM6:Y6 binary systems (15.75%), presenting a Voc of 0.845 V, a Jsc of 25.3 mA cm-2, and a FF of 73.7%. The introduction of SM1 improved the charge extraction, exciton dissociation, and blend of the morphology while effectively reducing bimolecular recombination. As a result, the Jsc and FF of the ternary devices greatly improved. This study presents an effective method to improve the PCE by adopting a ternary strategy, while at the same time, promoting a simple fabrication technology. © 2019 The Royal Society of Chemistry.","archive":"Scopus","container-title":"Journal of Materials Chemistry A","DOI":"10.1039/c9ta10145d","ISSN":"2050-7488","issue":"45","language":"English","page":"25894-25899","source":"Scopus","title":"16.55% efficiency ternary organic solar cells enabled by incorporating a small molecular donor","volume":"7","author":[{"family":"Yan","given":"T."},{"family":"Ge","given":"J."},{"family":"Lei","given":"T."},{"family":"Zhang","given":"W."},{"family":"Song","given":"W."},{"family":"Fanady","given":"B."},{"family":"Zhang","given":"D."},{"family":"Chen","given":"S."},{"family":"Peng","given":"R."},{"family":"Ge","given":"Z."}],"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[195]</w:t>
            </w:r>
            <w:r w:rsidRPr="00B55044">
              <w:rPr>
                <w:rFonts w:eastAsia="Times New Roman"/>
                <w:color w:val="0000FF"/>
                <w:sz w:val="16"/>
                <w:szCs w:val="16"/>
              </w:rPr>
              <w:fldChar w:fldCharType="end"/>
            </w:r>
          </w:p>
        </w:tc>
      </w:tr>
      <w:tr w:rsidR="00D47774" w:rsidRPr="00B55044" w14:paraId="68EC8DB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249451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364</w:t>
            </w:r>
          </w:p>
        </w:tc>
        <w:tc>
          <w:tcPr>
            <w:tcW w:w="1525" w:type="pct"/>
            <w:tcBorders>
              <w:top w:val="single" w:sz="4" w:space="0" w:color="auto"/>
              <w:left w:val="nil"/>
              <w:bottom w:val="single" w:sz="4" w:space="0" w:color="auto"/>
              <w:right w:val="nil"/>
            </w:tcBorders>
            <w:shd w:val="clear" w:color="auto" w:fill="auto"/>
            <w:noWrap/>
            <w:vAlign w:val="bottom"/>
            <w:hideMark/>
          </w:tcPr>
          <w:p w14:paraId="0FED6FF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ITO/PEDOT:PSS/AL/Zracac/Al</w:t>
            </w:r>
          </w:p>
        </w:tc>
        <w:tc>
          <w:tcPr>
            <w:tcW w:w="1288" w:type="pct"/>
            <w:tcBorders>
              <w:top w:val="single" w:sz="4" w:space="0" w:color="auto"/>
              <w:left w:val="nil"/>
              <w:bottom w:val="single" w:sz="4" w:space="0" w:color="auto"/>
              <w:right w:val="nil"/>
            </w:tcBorders>
            <w:shd w:val="clear" w:color="auto" w:fill="auto"/>
            <w:noWrap/>
            <w:vAlign w:val="bottom"/>
            <w:hideMark/>
          </w:tcPr>
          <w:p w14:paraId="22ECDE9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PM6:ITCPTC:MeIC</w:t>
            </w:r>
          </w:p>
        </w:tc>
        <w:tc>
          <w:tcPr>
            <w:tcW w:w="379" w:type="pct"/>
            <w:tcBorders>
              <w:top w:val="single" w:sz="4" w:space="0" w:color="auto"/>
              <w:left w:val="nil"/>
              <w:bottom w:val="single" w:sz="4" w:space="0" w:color="auto"/>
              <w:right w:val="nil"/>
            </w:tcBorders>
            <w:shd w:val="clear" w:color="auto" w:fill="auto"/>
            <w:noWrap/>
            <w:vAlign w:val="bottom"/>
            <w:hideMark/>
          </w:tcPr>
          <w:p w14:paraId="7424703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0.981</w:t>
            </w:r>
          </w:p>
        </w:tc>
        <w:tc>
          <w:tcPr>
            <w:tcW w:w="379" w:type="pct"/>
            <w:tcBorders>
              <w:top w:val="single" w:sz="4" w:space="0" w:color="auto"/>
              <w:left w:val="nil"/>
              <w:bottom w:val="single" w:sz="4" w:space="0" w:color="auto"/>
              <w:right w:val="nil"/>
            </w:tcBorders>
            <w:shd w:val="clear" w:color="auto" w:fill="auto"/>
            <w:noWrap/>
            <w:vAlign w:val="bottom"/>
            <w:hideMark/>
          </w:tcPr>
          <w:p w14:paraId="34F0F51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18.42</w:t>
            </w:r>
          </w:p>
        </w:tc>
        <w:tc>
          <w:tcPr>
            <w:tcW w:w="378" w:type="pct"/>
            <w:tcBorders>
              <w:top w:val="single" w:sz="4" w:space="0" w:color="auto"/>
              <w:left w:val="nil"/>
              <w:bottom w:val="single" w:sz="4" w:space="0" w:color="auto"/>
              <w:right w:val="nil"/>
            </w:tcBorders>
            <w:shd w:val="clear" w:color="auto" w:fill="auto"/>
            <w:noWrap/>
            <w:vAlign w:val="bottom"/>
            <w:hideMark/>
          </w:tcPr>
          <w:p w14:paraId="1AF880B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78.2</w:t>
            </w:r>
          </w:p>
        </w:tc>
        <w:tc>
          <w:tcPr>
            <w:tcW w:w="381" w:type="pct"/>
            <w:tcBorders>
              <w:top w:val="single" w:sz="4" w:space="0" w:color="auto"/>
              <w:left w:val="nil"/>
              <w:bottom w:val="single" w:sz="4" w:space="0" w:color="auto"/>
              <w:right w:val="nil"/>
            </w:tcBorders>
            <w:shd w:val="clear" w:color="auto" w:fill="auto"/>
            <w:noWrap/>
            <w:vAlign w:val="bottom"/>
            <w:hideMark/>
          </w:tcPr>
          <w:p w14:paraId="4A6E361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14.13</w:t>
            </w:r>
          </w:p>
        </w:tc>
        <w:tc>
          <w:tcPr>
            <w:tcW w:w="378" w:type="pct"/>
            <w:tcBorders>
              <w:top w:val="single" w:sz="4" w:space="0" w:color="auto"/>
              <w:left w:val="nil"/>
              <w:bottom w:val="single" w:sz="4" w:space="0" w:color="auto"/>
              <w:right w:val="nil"/>
            </w:tcBorders>
            <w:shd w:val="clear" w:color="auto" w:fill="auto"/>
            <w:noWrap/>
            <w:vAlign w:val="bottom"/>
            <w:hideMark/>
          </w:tcPr>
          <w:p w14:paraId="011DA26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{"citationID":"a1u55ansbv","properties":{"formattedCitation":"[196]","plainCitation":"[196]","noteIndex":0},"citationItems":[{"id":200,"uris":["http://zotero.org/users/12909065/items/ERD8UMVB"],"itemData":{"id":200,"type":"article-journal","abstract":"Ternary blends have shown great potential to increase the power conversion efficiency (PCE) of organic solar cells (OSCs). In this work, we studied a ternary OSC system with a donor polymer (PM6) and two structurally similar non-fullerene acceptors (named ITCPTC and MeIC). Although these two small molecular acceptors (SMAs) exhibit similar absorption spectra, they introduce a surprising synergistic effect on tuning the domain size and crystallinity of the OSC blend. More specifically, MeIC is a SMA with strong crystallinity, which results in excessive phase segregation and large domain size for the PM6:MeIC binary blend. By adding a structurally similar and less crystalline SMA (ITCPTC) into the binary blend, the domain size and morphology of the blend are much improved without sacrificing the electron mobility of the blend. As a result, the optimal blend ratio of PM6:ITCPTC:MeIC (1:.4:0.6) led to an impressive FF of 78.2% and PCE of 14.13%, which are the highest values reported for ternary non-fullerene OSCs reported to date. © The Royal Society of Chemistry 2018.","archive":"Scopus","container-title":"Energy and Environmental Science","DOI":"10.1039/c8ee01700j","ISSN":"1754-5692","issue":"11","language":"English","page":"3275-3282","source":"Scopus","title":"Use of two structurally similar small molecular acceptors enabling ternary organic solar cells with high efficiencies and fill factors","volume":"11","author":[{"family":"Liu","given":"T."},{"family":"Luo","given":"Z."},{"family":"Fan","given":"Q."},{"family":"Zhang","given":"G."},{"family":"Zhang","given":"L."},{"family":"Gao","given":"W."},{"family":"Guo","given":"X."},{"family":"Ma","given":"W."},{"family":"Zhang","given":"M."},{"family":"Yang","given":"C."},{"family":"Li","given":"Y."},{"family":"Yan","given":"H."}],"issued":{"date-parts":[["2018"]]}}}],"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[196]</w:t>
            </w:r>
            <w:r w:rsidRPr="00B55044">
              <w:rPr>
                <w:rFonts w:eastAsia="Times New Roman"/>
                <w:color w:val="0000FF"/>
                <w:sz w:val="16"/>
                <w:szCs w:val="16"/>
              </w:rPr>
              <w:fldChar w:fldCharType="end"/>
            </w:r>
          </w:p>
        </w:tc>
      </w:tr>
      <w:tr w:rsidR="00D47774" w:rsidRPr="00B55044" w14:paraId="1B637EB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60614E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365</w:t>
            </w:r>
          </w:p>
        </w:tc>
        <w:tc>
          <w:tcPr>
            <w:tcW w:w="1525" w:type="pct"/>
            <w:tcBorders>
              <w:top w:val="single" w:sz="4" w:space="0" w:color="auto"/>
              <w:left w:val="nil"/>
              <w:bottom w:val="single" w:sz="4" w:space="0" w:color="auto"/>
              <w:right w:val="nil"/>
            </w:tcBorders>
            <w:shd w:val="clear" w:color="auto" w:fill="auto"/>
            <w:noWrap/>
            <w:vAlign w:val="bottom"/>
            <w:hideMark/>
          </w:tcPr>
          <w:p w14:paraId="425BC7C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560C783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PM6:PYT:PY2F-T</w:t>
            </w:r>
          </w:p>
        </w:tc>
        <w:tc>
          <w:tcPr>
            <w:tcW w:w="379" w:type="pct"/>
            <w:tcBorders>
              <w:top w:val="single" w:sz="4" w:space="0" w:color="auto"/>
              <w:left w:val="nil"/>
              <w:bottom w:val="single" w:sz="4" w:space="0" w:color="auto"/>
              <w:right w:val="nil"/>
            </w:tcBorders>
            <w:shd w:val="clear" w:color="auto" w:fill="auto"/>
            <w:noWrap/>
            <w:vAlign w:val="bottom"/>
            <w:hideMark/>
          </w:tcPr>
          <w:p w14:paraId="376D663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w:t>
            </w:r>
          </w:p>
        </w:tc>
        <w:tc>
          <w:tcPr>
            <w:tcW w:w="379" w:type="pct"/>
            <w:tcBorders>
              <w:top w:val="single" w:sz="4" w:space="0" w:color="auto"/>
              <w:left w:val="nil"/>
              <w:bottom w:val="single" w:sz="4" w:space="0" w:color="auto"/>
              <w:right w:val="nil"/>
            </w:tcBorders>
            <w:shd w:val="clear" w:color="auto" w:fill="auto"/>
            <w:noWrap/>
            <w:vAlign w:val="bottom"/>
            <w:hideMark/>
          </w:tcPr>
          <w:p w14:paraId="7AF6622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25.2</w:t>
            </w:r>
          </w:p>
        </w:tc>
        <w:tc>
          <w:tcPr>
            <w:tcW w:w="378" w:type="pct"/>
            <w:tcBorders>
              <w:top w:val="single" w:sz="4" w:space="0" w:color="auto"/>
              <w:left w:val="nil"/>
              <w:bottom w:val="single" w:sz="4" w:space="0" w:color="auto"/>
              <w:right w:val="nil"/>
            </w:tcBorders>
            <w:shd w:val="clear" w:color="auto" w:fill="auto"/>
            <w:noWrap/>
            <w:vAlign w:val="bottom"/>
            <w:hideMark/>
          </w:tcPr>
          <w:p w14:paraId="59216CA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w:t>
            </w:r>
          </w:p>
        </w:tc>
        <w:tc>
          <w:tcPr>
            <w:tcW w:w="381" w:type="pct"/>
            <w:tcBorders>
              <w:top w:val="single" w:sz="4" w:space="0" w:color="auto"/>
              <w:left w:val="nil"/>
              <w:bottom w:val="single" w:sz="4" w:space="0" w:color="auto"/>
              <w:right w:val="nil"/>
            </w:tcBorders>
            <w:shd w:val="clear" w:color="auto" w:fill="auto"/>
            <w:noWrap/>
            <w:vAlign w:val="bottom"/>
            <w:hideMark/>
          </w:tcPr>
          <w:p w14:paraId="7251484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17.2</w:t>
            </w:r>
          </w:p>
        </w:tc>
        <w:tc>
          <w:tcPr>
            <w:tcW w:w="378" w:type="pct"/>
            <w:tcBorders>
              <w:top w:val="single" w:sz="4" w:space="0" w:color="auto"/>
              <w:left w:val="nil"/>
              <w:bottom w:val="single" w:sz="4" w:space="0" w:color="auto"/>
              <w:right w:val="nil"/>
            </w:tcBorders>
            <w:shd w:val="clear" w:color="auto" w:fill="auto"/>
            <w:noWrap/>
            <w:vAlign w:val="bottom"/>
            <w:hideMark/>
          </w:tcPr>
          <w:p w14:paraId="334FE72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{"citationID":"a1nkft1vhre","properties":{"formattedCitation":"[197]","plainCitation":"[197]","noteIndex":0},"citationItems":[{"id":199,"uris":["http://zotero.org/users/12909065/items/BFUB3FM3"],"itemData":{"id":199,"type":"article-journal","abstract":"The field of all-polymer solar cells (all-PSCs) has experienced rapid development during the past few years, mainly driven by the design of efficient polymer acceptors (PAs). However, the polymer/polymer blend systems still lag far behind polymer/small molecule acceptor counterparts in power conversion efficiencies (PCEs). Here, we designed a near-infrared PA PY2F-T and paired it with polymer donor PM6 to fabricate all-PSCs with 15.0% PCE. Afterwards, PYT as the third component was introduced into the PM6:PY2F-T host system. Because of the complementary absorption bands and finely tuned microstructures of the ternary blend, the PCE is improved up to 17.2%, with the external quantum efficiency over 80% in visible and near-infrared spectral regions. Impressively, the ternary blend exhibited less energy loss, better light-soaking and photo-thermal stabilities than did the corresponding binary systems. This work promotes the development of high-performance ternary all-polymer systems and heralds a brighter future for accelerating the possible applications of all-PSCs. © 2021 Elsevier Inc.","archive":"Scopus","container-title":"Joule","DOI":"10.1016/j.joule.2021.04.007","ISSN":"2542-4351","issue":"6","language":"English","page":"1548-1565","source":"Scopus","title":"Achieving over 17% efficiency of ternary all-polymer solar cells with two well-compatible polymer acceptors","volume":"5","author":[{"family":"Sun","given":"R."},{"family":"Wang","given":"W."},{"family":"Yu","given":"H."},{"family":"Chen","given":"Z."},{"family":"Xia","given":"X."},{"family":"Shen","given":"H."},{"family":"Guo","given":"J."},{"family":"Shi","given":"M."},{"family":"Zheng","given":"Y."},{"family":"Wu","given":"Y."},{"family":"Yang","given":"W."},{"family":"Wang","given":"T."},{"family":"Wu","given":"Q."},{"family":"Yang","given":"Y.M."},{"family":"Lu","given":"X."},{"family":"Xia","given":"J."},{"family":"Brabec","given":"C.J."},{"family":"Yan","given":"H."},{"family":"Li","given":"Y."},{"family":"Min","given":"J."}],"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[197]</w:t>
            </w:r>
            <w:r w:rsidRPr="00B55044">
              <w:rPr>
                <w:rFonts w:eastAsia="Times New Roman"/>
                <w:color w:val="0000FF"/>
                <w:sz w:val="16"/>
                <w:szCs w:val="16"/>
              </w:rPr>
              <w:fldChar w:fldCharType="end"/>
            </w:r>
          </w:p>
        </w:tc>
      </w:tr>
      <w:tr w:rsidR="00D47774" w:rsidRPr="00B55044" w14:paraId="189FA62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301DBA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366</w:t>
            </w:r>
          </w:p>
        </w:tc>
        <w:tc>
          <w:tcPr>
            <w:tcW w:w="1525" w:type="pct"/>
            <w:tcBorders>
              <w:top w:val="single" w:sz="4" w:space="0" w:color="auto"/>
              <w:left w:val="nil"/>
              <w:bottom w:val="single" w:sz="4" w:space="0" w:color="auto"/>
              <w:right w:val="nil"/>
            </w:tcBorders>
            <w:shd w:val="clear" w:color="auto" w:fill="auto"/>
            <w:noWrap/>
            <w:vAlign w:val="bottom"/>
            <w:hideMark/>
          </w:tcPr>
          <w:p w14:paraId="0954319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ITO/2PACz/AL/PDINO/Al</w:t>
            </w:r>
          </w:p>
        </w:tc>
        <w:tc>
          <w:tcPr>
            <w:tcW w:w="1288" w:type="pct"/>
            <w:tcBorders>
              <w:top w:val="single" w:sz="4" w:space="0" w:color="auto"/>
              <w:left w:val="nil"/>
              <w:bottom w:val="single" w:sz="4" w:space="0" w:color="auto"/>
              <w:right w:val="nil"/>
            </w:tcBorders>
            <w:shd w:val="clear" w:color="auto" w:fill="auto"/>
            <w:noWrap/>
            <w:vAlign w:val="bottom"/>
            <w:hideMark/>
          </w:tcPr>
          <w:p w14:paraId="7E004AB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PM6:Y6:MXene (0.02%)</w:t>
            </w:r>
          </w:p>
        </w:tc>
        <w:tc>
          <w:tcPr>
            <w:tcW w:w="379" w:type="pct"/>
            <w:tcBorders>
              <w:top w:val="single" w:sz="4" w:space="0" w:color="auto"/>
              <w:left w:val="nil"/>
              <w:bottom w:val="single" w:sz="4" w:space="0" w:color="auto"/>
              <w:right w:val="nil"/>
            </w:tcBorders>
            <w:shd w:val="clear" w:color="auto" w:fill="auto"/>
            <w:noWrap/>
            <w:vAlign w:val="bottom"/>
            <w:hideMark/>
          </w:tcPr>
          <w:p w14:paraId="6C3F6A4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0.824</w:t>
            </w:r>
          </w:p>
        </w:tc>
        <w:tc>
          <w:tcPr>
            <w:tcW w:w="379" w:type="pct"/>
            <w:tcBorders>
              <w:top w:val="single" w:sz="4" w:space="0" w:color="auto"/>
              <w:left w:val="nil"/>
              <w:bottom w:val="single" w:sz="4" w:space="0" w:color="auto"/>
              <w:right w:val="nil"/>
            </w:tcBorders>
            <w:shd w:val="clear" w:color="auto" w:fill="auto"/>
            <w:noWrap/>
            <w:vAlign w:val="bottom"/>
            <w:hideMark/>
          </w:tcPr>
          <w:p w14:paraId="57DC31B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w:t>
            </w:r>
          </w:p>
        </w:tc>
        <w:tc>
          <w:tcPr>
            <w:tcW w:w="378" w:type="pct"/>
            <w:tcBorders>
              <w:top w:val="single" w:sz="4" w:space="0" w:color="auto"/>
              <w:left w:val="nil"/>
              <w:bottom w:val="single" w:sz="4" w:space="0" w:color="auto"/>
              <w:right w:val="nil"/>
            </w:tcBorders>
            <w:shd w:val="clear" w:color="auto" w:fill="auto"/>
            <w:noWrap/>
            <w:vAlign w:val="bottom"/>
            <w:hideMark/>
          </w:tcPr>
          <w:p w14:paraId="356C9EF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72.4</w:t>
            </w:r>
          </w:p>
        </w:tc>
        <w:tc>
          <w:tcPr>
            <w:tcW w:w="381" w:type="pct"/>
            <w:tcBorders>
              <w:top w:val="single" w:sz="4" w:space="0" w:color="auto"/>
              <w:left w:val="nil"/>
              <w:bottom w:val="single" w:sz="4" w:space="0" w:color="auto"/>
              <w:right w:val="nil"/>
            </w:tcBorders>
            <w:shd w:val="clear" w:color="auto" w:fill="auto"/>
            <w:noWrap/>
            <w:vAlign w:val="bottom"/>
            <w:hideMark/>
          </w:tcPr>
          <w:p w14:paraId="231C116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15.5</w:t>
            </w:r>
          </w:p>
        </w:tc>
        <w:tc>
          <w:tcPr>
            <w:tcW w:w="378" w:type="pct"/>
            <w:tcBorders>
              <w:top w:val="single" w:sz="4" w:space="0" w:color="auto"/>
              <w:left w:val="nil"/>
              <w:bottom w:val="single" w:sz="4" w:space="0" w:color="auto"/>
              <w:right w:val="nil"/>
            </w:tcBorders>
            <w:shd w:val="clear" w:color="auto" w:fill="auto"/>
            <w:noWrap/>
            <w:vAlign w:val="bottom"/>
            <w:hideMark/>
          </w:tcPr>
          <w:p w14:paraId="06D4467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{"citationID":"a254l4o9qjp","properties":{"formattedCitation":"[198]","plainCitation":"[198]","noteIndex":0},"citationItems":[{"id":197,"uris":["http://zotero.org/users/12909065/items/6TFNMWTI"],"itemData":{"id":197,"type":"article-journal","abstract":"The surge of Internet-of-everything applications over the past decade demands the adoption of novel material design and device engineering strategies for the development of state-of-the-art organic photovoltaics (OPVs) in low-light indoor environments. Owing to their excellent optoelectronic properties, two-dimensional MXenes possess outstanding potential in this regard. Herein, an unprecedented indoor power conversion efficiency (PCE) of 33.8% under light-emitting-diode (LED) illumination (1000-lx) is secured by additive-induced treatment of MXene in polymer-donor:non-fullerene-acceptor-based organic photoactive layer. The remarkable indoor performance of MXene OPVs mainly originates from the enhanced absorption, compact molecular packing, and smooth surface morphology with a reduced number of grain boundaries in the photoactive layer, resulting in an improved fill factor and balanced charge transport and extraction characteristics with suppressed recombination, thereby producing an impressive indoor PCE. In addition, the presence of MXene in the photoactive layer facilitates polaron-pair dissociation owing to improved free-charge generation, leading to enhanced photoconductivity. This performance represents the highest PCE among the OPVs measured under indoor illumination. This work highlights the promising prospect of 2D MXene and its composites for indoor light energy harvesting applications.","container-title":"Advanced Optical Materials","DOI":"10.1002/adom.202202135","ISSN":"2195-1071","issue":"1","language":"en","note":"_eprint: https://onlinelibrary.wiley.com/doi/pdf/10.1002/adom.202202135","page":"2202135","source":"Wiley Online Library","title":"2D MXene Additive-Induced Treatment Enabling High-Efficiency Indoor Organic Photovoltaics","volume":"11","author":[{"family":"Saeed","given":"Muhammad Ahsan"},{"family":"Kim","given":"Tae Hyuk"},{"family":"Ahn","given":"Hyungju"},{"family":"Park","given":"Na Won"},{"family":"Park","given":"JaeHong"},{"family":"Choi","given":"Hyosung"},{"family":"Shahzad","given":"Asif"},{"family":"Shim","given":"Jae Won"}],"issued":{"date-parts":[["2023"]]}}}],"schema":"https://github.com/citation-style-language/schema/raw/master/csl-citation.json"}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[198]</w:t>
            </w:r>
            <w:r w:rsidRPr="00B55044">
              <w:rPr>
                <w:rFonts w:eastAsia="Times New Roman"/>
                <w:color w:val="0000FF"/>
                <w:sz w:val="16"/>
                <w:szCs w:val="16"/>
              </w:rPr>
              <w:fldChar w:fldCharType="end"/>
            </w:r>
          </w:p>
        </w:tc>
      </w:tr>
      <w:tr w:rsidR="00D47774" w:rsidRPr="00B55044" w14:paraId="0C8CF03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FB63A7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367</w:t>
            </w:r>
          </w:p>
        </w:tc>
        <w:tc>
          <w:tcPr>
            <w:tcW w:w="1525" w:type="pct"/>
            <w:tcBorders>
              <w:top w:val="single" w:sz="4" w:space="0" w:color="auto"/>
              <w:left w:val="nil"/>
              <w:bottom w:val="single" w:sz="4" w:space="0" w:color="auto"/>
              <w:right w:val="nil"/>
            </w:tcBorders>
            <w:shd w:val="clear" w:color="auto" w:fill="auto"/>
            <w:noWrap/>
            <w:vAlign w:val="bottom"/>
            <w:hideMark/>
          </w:tcPr>
          <w:p w14:paraId="4CED398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ITO/2PACz/AL/PDINO/Al</w:t>
            </w:r>
          </w:p>
        </w:tc>
        <w:tc>
          <w:tcPr>
            <w:tcW w:w="1288" w:type="pct"/>
            <w:tcBorders>
              <w:top w:val="single" w:sz="4" w:space="0" w:color="auto"/>
              <w:left w:val="nil"/>
              <w:bottom w:val="single" w:sz="4" w:space="0" w:color="auto"/>
              <w:right w:val="nil"/>
            </w:tcBorders>
            <w:shd w:val="clear" w:color="auto" w:fill="auto"/>
            <w:noWrap/>
            <w:vAlign w:val="bottom"/>
            <w:hideMark/>
          </w:tcPr>
          <w:p w14:paraId="43C4AB2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PM6:Y6:MXene (0.04%)</w:t>
            </w:r>
          </w:p>
        </w:tc>
        <w:tc>
          <w:tcPr>
            <w:tcW w:w="379" w:type="pct"/>
            <w:tcBorders>
              <w:top w:val="single" w:sz="4" w:space="0" w:color="auto"/>
              <w:left w:val="nil"/>
              <w:bottom w:val="single" w:sz="4" w:space="0" w:color="auto"/>
              <w:right w:val="nil"/>
            </w:tcBorders>
            <w:shd w:val="clear" w:color="auto" w:fill="auto"/>
            <w:noWrap/>
            <w:vAlign w:val="bottom"/>
            <w:hideMark/>
          </w:tcPr>
          <w:p w14:paraId="6AE729C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0.828</w:t>
            </w:r>
          </w:p>
        </w:tc>
        <w:tc>
          <w:tcPr>
            <w:tcW w:w="379" w:type="pct"/>
            <w:tcBorders>
              <w:top w:val="single" w:sz="4" w:space="0" w:color="auto"/>
              <w:left w:val="nil"/>
              <w:bottom w:val="single" w:sz="4" w:space="0" w:color="auto"/>
              <w:right w:val="nil"/>
            </w:tcBorders>
            <w:shd w:val="clear" w:color="auto" w:fill="auto"/>
            <w:noWrap/>
            <w:vAlign w:val="bottom"/>
            <w:hideMark/>
          </w:tcPr>
          <w:p w14:paraId="413B522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26.2</w:t>
            </w:r>
          </w:p>
        </w:tc>
        <w:tc>
          <w:tcPr>
            <w:tcW w:w="378" w:type="pct"/>
            <w:tcBorders>
              <w:top w:val="single" w:sz="4" w:space="0" w:color="auto"/>
              <w:left w:val="nil"/>
              <w:bottom w:val="single" w:sz="4" w:space="0" w:color="auto"/>
              <w:right w:val="nil"/>
            </w:tcBorders>
            <w:shd w:val="clear" w:color="auto" w:fill="auto"/>
            <w:noWrap/>
            <w:vAlign w:val="bottom"/>
            <w:hideMark/>
          </w:tcPr>
          <w:p w14:paraId="1BCB49F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73.1</w:t>
            </w:r>
          </w:p>
        </w:tc>
        <w:tc>
          <w:tcPr>
            <w:tcW w:w="381" w:type="pct"/>
            <w:tcBorders>
              <w:top w:val="single" w:sz="4" w:space="0" w:color="auto"/>
              <w:left w:val="nil"/>
              <w:bottom w:val="single" w:sz="4" w:space="0" w:color="auto"/>
              <w:right w:val="nil"/>
            </w:tcBorders>
            <w:shd w:val="clear" w:color="auto" w:fill="auto"/>
            <w:noWrap/>
            <w:vAlign w:val="bottom"/>
            <w:hideMark/>
          </w:tcPr>
          <w:p w14:paraId="60E100C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15.9</w:t>
            </w:r>
          </w:p>
        </w:tc>
        <w:tc>
          <w:tcPr>
            <w:tcW w:w="378" w:type="pct"/>
            <w:tcBorders>
              <w:top w:val="single" w:sz="4" w:space="0" w:color="auto"/>
              <w:left w:val="nil"/>
              <w:bottom w:val="single" w:sz="4" w:space="0" w:color="auto"/>
              <w:right w:val="nil"/>
            </w:tcBorders>
            <w:shd w:val="clear" w:color="auto" w:fill="auto"/>
            <w:noWrap/>
            <w:vAlign w:val="bottom"/>
            <w:hideMark/>
          </w:tcPr>
          <w:p w14:paraId="32E8157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{"citationID":"atd2k04l3e","properties":{"formattedCitation":"[198]","plainCitation":"[198]","noteIndex":0},"citationItems":[{"id":197,"uris":["http://zotero.org/users/12909065/items/6TFNMWTI"],"itemData":{"id":197,"type":"article-journal","abstract":"The surge of Internet-of-everything applications over the past decade demands the adoption of novel material design and device engineering strategies for the development of state-of-the-art organic photovoltaics (OPVs) in low-light indoor environments. Owing to their excellent optoelectronic properties, two-dimensional MXenes possess outstanding potential in this regard. Herein, an unprecedented indoor power conversion efficiency (PCE) of 33.8% under light-emitting-diode (LED) illumination (1000-lx) is secured by additive-induced treatment of MXene in polymer-donor:non-fullerene-acceptor-based organic photoactive layer. The remarkable indoor performance of MXene OPVs mainly originates from the enhanced absorption, compact molecular packing, and smooth surface morphology with a reduced number of grain boundaries in the photoactive layer, resulting in an improved fill factor and balanced charge transport and extraction characteristics with suppressed recombination, thereby producing an impressive indoor PCE. In addition, the presence of MXene in the photoactive layer facilitates polaron-pair dissociation owing to improved free-charge generation, leading to enhanced photoconductivity. This performance represents the highest PCE among the OPVs measured under indoor illumination. This work highlights the promising prospect of 2D MXene and its composites for indoor light energy harvesting applications.","container-title":"Advanced Optical Materials","DOI":"10.1002/adom.202202135","ISSN":"2195-1071","issue":"1","language":"en","note":"_eprint: https://onlinelibrary.wiley.com/doi/pdf/10.1002/adom.202202135","page":"2202135","source":"Wiley Online Library","title":"2D MXene Additive-Induced Treatment Enabling High-Efficiency Indoor Organic Photovoltaics","volume":"11","author":[{"family":"Saeed","given":"Muhammad Ahsan"},{"family":"Kim","given":"Tae Hyuk"},{"family":"Ahn","given":"Hyungju"},{"family":"Park","given":"Na Won"},{"family":"Park","given":"JaeHong"},{"family":"Choi","given":"Hyosung"},{"family":"Shahzad","given":"Asif"},{"family":"Shim","given":"Jae Won"}],"issued":{"date-parts":[["2023"]]}}}],"schema":"https://github.com/citation-style-language/schema/raw/master/csl-citation.json"}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[198]</w:t>
            </w:r>
            <w:r w:rsidRPr="00B55044">
              <w:rPr>
                <w:rFonts w:eastAsia="Times New Roman"/>
                <w:color w:val="0000FF"/>
                <w:sz w:val="16"/>
                <w:szCs w:val="16"/>
              </w:rPr>
              <w:fldChar w:fldCharType="end"/>
            </w:r>
          </w:p>
        </w:tc>
      </w:tr>
      <w:tr w:rsidR="00D47774" w:rsidRPr="00B55044" w14:paraId="7440016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5E75FD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368</w:t>
            </w:r>
          </w:p>
        </w:tc>
        <w:tc>
          <w:tcPr>
            <w:tcW w:w="1525" w:type="pct"/>
            <w:tcBorders>
              <w:top w:val="single" w:sz="4" w:space="0" w:color="auto"/>
              <w:left w:val="nil"/>
              <w:bottom w:val="single" w:sz="4" w:space="0" w:color="auto"/>
              <w:right w:val="nil"/>
            </w:tcBorders>
            <w:shd w:val="clear" w:color="auto" w:fill="auto"/>
            <w:noWrap/>
            <w:vAlign w:val="bottom"/>
            <w:hideMark/>
          </w:tcPr>
          <w:p w14:paraId="6854A5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ITO/2PACz/AL/PDINO/Al</w:t>
            </w:r>
          </w:p>
        </w:tc>
        <w:tc>
          <w:tcPr>
            <w:tcW w:w="1288" w:type="pct"/>
            <w:tcBorders>
              <w:top w:val="single" w:sz="4" w:space="0" w:color="auto"/>
              <w:left w:val="nil"/>
              <w:bottom w:val="single" w:sz="4" w:space="0" w:color="auto"/>
              <w:right w:val="nil"/>
            </w:tcBorders>
            <w:shd w:val="clear" w:color="auto" w:fill="auto"/>
            <w:noWrap/>
            <w:vAlign w:val="bottom"/>
            <w:hideMark/>
          </w:tcPr>
          <w:p w14:paraId="12585D4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PM6:Y6:MXene (0.06%)</w:t>
            </w:r>
          </w:p>
        </w:tc>
        <w:tc>
          <w:tcPr>
            <w:tcW w:w="379" w:type="pct"/>
            <w:tcBorders>
              <w:top w:val="single" w:sz="4" w:space="0" w:color="auto"/>
              <w:left w:val="nil"/>
              <w:bottom w:val="single" w:sz="4" w:space="0" w:color="auto"/>
              <w:right w:val="nil"/>
            </w:tcBorders>
            <w:shd w:val="clear" w:color="auto" w:fill="auto"/>
            <w:noWrap/>
            <w:vAlign w:val="bottom"/>
            <w:hideMark/>
          </w:tcPr>
          <w:p w14:paraId="62FEBEE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0.823</w:t>
            </w:r>
          </w:p>
        </w:tc>
        <w:tc>
          <w:tcPr>
            <w:tcW w:w="379" w:type="pct"/>
            <w:tcBorders>
              <w:top w:val="single" w:sz="4" w:space="0" w:color="auto"/>
              <w:left w:val="nil"/>
              <w:bottom w:val="single" w:sz="4" w:space="0" w:color="auto"/>
              <w:right w:val="nil"/>
            </w:tcBorders>
            <w:shd w:val="clear" w:color="auto" w:fill="auto"/>
            <w:noWrap/>
            <w:vAlign w:val="bottom"/>
            <w:hideMark/>
          </w:tcPr>
          <w:p w14:paraId="61EFD0B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w:t>
            </w:r>
          </w:p>
        </w:tc>
        <w:tc>
          <w:tcPr>
            <w:tcW w:w="378" w:type="pct"/>
            <w:tcBorders>
              <w:top w:val="single" w:sz="4" w:space="0" w:color="auto"/>
              <w:left w:val="nil"/>
              <w:bottom w:val="single" w:sz="4" w:space="0" w:color="auto"/>
              <w:right w:val="nil"/>
            </w:tcBorders>
            <w:shd w:val="clear" w:color="auto" w:fill="auto"/>
            <w:noWrap/>
            <w:vAlign w:val="bottom"/>
            <w:hideMark/>
          </w:tcPr>
          <w:p w14:paraId="482784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73.3</w:t>
            </w:r>
          </w:p>
        </w:tc>
        <w:tc>
          <w:tcPr>
            <w:tcW w:w="381" w:type="pct"/>
            <w:tcBorders>
              <w:top w:val="single" w:sz="4" w:space="0" w:color="auto"/>
              <w:left w:val="nil"/>
              <w:bottom w:val="single" w:sz="4" w:space="0" w:color="auto"/>
              <w:right w:val="nil"/>
            </w:tcBorders>
            <w:shd w:val="clear" w:color="auto" w:fill="auto"/>
            <w:noWrap/>
            <w:vAlign w:val="bottom"/>
            <w:hideMark/>
          </w:tcPr>
          <w:p w14:paraId="2F02CD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16.1</w:t>
            </w:r>
          </w:p>
        </w:tc>
        <w:tc>
          <w:tcPr>
            <w:tcW w:w="378" w:type="pct"/>
            <w:tcBorders>
              <w:top w:val="single" w:sz="4" w:space="0" w:color="auto"/>
              <w:left w:val="nil"/>
              <w:bottom w:val="single" w:sz="4" w:space="0" w:color="auto"/>
              <w:right w:val="nil"/>
            </w:tcBorders>
            <w:shd w:val="clear" w:color="auto" w:fill="auto"/>
            <w:noWrap/>
            <w:vAlign w:val="bottom"/>
            <w:hideMark/>
          </w:tcPr>
          <w:p w14:paraId="199495B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{"citationID":"aqotc9ajo9","properties":{"formattedCitation":"[198]","plainCitation":"[198]","noteIndex":0},"citationItems":[{"id":197,"uris":["http://zotero.org/users/12909065/items/6TFNMWTI"],"itemData":{"id":197,"type":"article-journal","abstract":"The surge of Internet-of-everything applications over the past decade demands the adoption of novel material design and device engineering strategies for the development of state-of-the-art organic photovoltaics (OPVs) in low-light indoor environments. Owing to their excellent optoelectronic properties, two-dimensional MXenes possess outstanding potential in this regard. Herein, an unprecedented indoor power conversion efficiency (PCE) of 33.8% under light-emitting-diode (LED) illumination (1000-lx) is secured by additive-induced treatment of MXene in polymer-donor:non-fullerene-acceptor-based organic photoactive layer. The remarkable indoor performance of MXene OPVs mainly originates from the enhanced absorption, compact molecular packing, and smooth surface morphology with a reduced number of grain boundaries in the photoactive layer, resulting in an improved fill factor and balanced charge transport and extraction characteristics with suppressed recombination, thereby producing an impressive indoor PCE. In addition, the presence of MXene in the photoactive layer facilitates polaron-pair dissociation owing to improved free-charge generation, leading to enhanced photoconductivity. This performance represents the highest PCE among the OPVs measured under indoor illumination. This work highlights the promising prospect of 2D MXene and its composites for indoor light energy harvesting applications.","container-title":"Advanced Optical Materials","DOI":"10.1002/adom.202202135","ISSN":"2195-1071","issue":"1","language":"en","note":"_eprint: https://onlinelibrary.wiley.com/doi/pdf/10.1002/adom.202202135","page":"2202135","source":"Wiley Online Library","title":"2D MXene Additive-Induced Treatment Enabling High-Efficiency Indoor Organic Photovoltaics","volume":"11","author":[{"family":"Saeed","given":"Muhammad Ahsan"},{"family":"Kim","given":"Tae Hyuk"},{"family":"Ahn","given":"Hyungju"},{"family":"Park","given":"Na Won"},{"family":"Park","given":"JaeHong"},{"family":"Choi","given":"Hyosung"},{"family":"Shahzad","given":"Asif"},{"family":"Shim","given":"Jae Won"}],"issued":{"date-parts":[["2023"]]}}}],"schema":"https://github.com/citation-style-language/schema/raw/master/csl-citation.json"}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[198]</w:t>
            </w:r>
            <w:r w:rsidRPr="00B55044">
              <w:rPr>
                <w:rFonts w:eastAsia="Times New Roman"/>
                <w:color w:val="0000FF"/>
                <w:sz w:val="16"/>
                <w:szCs w:val="16"/>
              </w:rPr>
              <w:fldChar w:fldCharType="end"/>
            </w:r>
          </w:p>
        </w:tc>
      </w:tr>
      <w:tr w:rsidR="00D47774" w:rsidRPr="00B55044" w14:paraId="6842D14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683365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369</w:t>
            </w:r>
          </w:p>
        </w:tc>
        <w:tc>
          <w:tcPr>
            <w:tcW w:w="1525" w:type="pct"/>
            <w:tcBorders>
              <w:top w:val="single" w:sz="4" w:space="0" w:color="auto"/>
              <w:left w:val="nil"/>
              <w:bottom w:val="single" w:sz="4" w:space="0" w:color="auto"/>
              <w:right w:val="nil"/>
            </w:tcBorders>
            <w:shd w:val="clear" w:color="auto" w:fill="auto"/>
            <w:noWrap/>
            <w:vAlign w:val="bottom"/>
            <w:hideMark/>
          </w:tcPr>
          <w:p w14:paraId="02C8AB1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ITO/2PACz/AL/PDINO/Al</w:t>
            </w:r>
          </w:p>
        </w:tc>
        <w:tc>
          <w:tcPr>
            <w:tcW w:w="1288" w:type="pct"/>
            <w:tcBorders>
              <w:top w:val="single" w:sz="4" w:space="0" w:color="auto"/>
              <w:left w:val="nil"/>
              <w:bottom w:val="single" w:sz="4" w:space="0" w:color="auto"/>
              <w:right w:val="nil"/>
            </w:tcBorders>
            <w:shd w:val="clear" w:color="auto" w:fill="auto"/>
            <w:noWrap/>
            <w:vAlign w:val="bottom"/>
            <w:hideMark/>
          </w:tcPr>
          <w:p w14:paraId="6758FC2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PM6:Y6:MXene (0.10%)</w:t>
            </w:r>
          </w:p>
        </w:tc>
        <w:tc>
          <w:tcPr>
            <w:tcW w:w="379" w:type="pct"/>
            <w:tcBorders>
              <w:top w:val="single" w:sz="4" w:space="0" w:color="auto"/>
              <w:left w:val="nil"/>
              <w:bottom w:val="single" w:sz="4" w:space="0" w:color="auto"/>
              <w:right w:val="nil"/>
            </w:tcBorders>
            <w:shd w:val="clear" w:color="auto" w:fill="auto"/>
            <w:noWrap/>
            <w:vAlign w:val="bottom"/>
            <w:hideMark/>
          </w:tcPr>
          <w:p w14:paraId="5BCF549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0.824</w:t>
            </w:r>
          </w:p>
        </w:tc>
        <w:tc>
          <w:tcPr>
            <w:tcW w:w="379" w:type="pct"/>
            <w:tcBorders>
              <w:top w:val="single" w:sz="4" w:space="0" w:color="auto"/>
              <w:left w:val="nil"/>
              <w:bottom w:val="single" w:sz="4" w:space="0" w:color="auto"/>
              <w:right w:val="nil"/>
            </w:tcBorders>
            <w:shd w:val="clear" w:color="auto" w:fill="auto"/>
            <w:noWrap/>
            <w:vAlign w:val="bottom"/>
            <w:hideMark/>
          </w:tcPr>
          <w:p w14:paraId="3BED1A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25.9</w:t>
            </w:r>
          </w:p>
        </w:tc>
        <w:tc>
          <w:tcPr>
            <w:tcW w:w="378" w:type="pct"/>
            <w:tcBorders>
              <w:top w:val="single" w:sz="4" w:space="0" w:color="auto"/>
              <w:left w:val="nil"/>
              <w:bottom w:val="single" w:sz="4" w:space="0" w:color="auto"/>
              <w:right w:val="nil"/>
            </w:tcBorders>
            <w:shd w:val="clear" w:color="auto" w:fill="auto"/>
            <w:noWrap/>
            <w:vAlign w:val="bottom"/>
            <w:hideMark/>
          </w:tcPr>
          <w:p w14:paraId="1221143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72.3</w:t>
            </w:r>
          </w:p>
        </w:tc>
        <w:tc>
          <w:tcPr>
            <w:tcW w:w="381" w:type="pct"/>
            <w:tcBorders>
              <w:top w:val="single" w:sz="4" w:space="0" w:color="auto"/>
              <w:left w:val="nil"/>
              <w:bottom w:val="single" w:sz="4" w:space="0" w:color="auto"/>
              <w:right w:val="nil"/>
            </w:tcBorders>
            <w:shd w:val="clear" w:color="auto" w:fill="auto"/>
            <w:noWrap/>
            <w:vAlign w:val="bottom"/>
            <w:hideMark/>
          </w:tcPr>
          <w:p w14:paraId="1A11CFF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15.6</w:t>
            </w:r>
          </w:p>
        </w:tc>
        <w:tc>
          <w:tcPr>
            <w:tcW w:w="378" w:type="pct"/>
            <w:tcBorders>
              <w:top w:val="single" w:sz="4" w:space="0" w:color="auto"/>
              <w:left w:val="nil"/>
              <w:bottom w:val="single" w:sz="4" w:space="0" w:color="auto"/>
              <w:right w:val="nil"/>
            </w:tcBorders>
            <w:shd w:val="clear" w:color="auto" w:fill="auto"/>
            <w:noWrap/>
            <w:vAlign w:val="bottom"/>
            <w:hideMark/>
          </w:tcPr>
          <w:p w14:paraId="3863D08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{"citationID":"a2q8p2fiqqn","properties":{"formattedCitation":"[198]","plainCitation":"[198]","noteIndex":0},"citationItems":[{"id":197,"uris":["http://zotero.org/users/12909065/items/6TFNMWTI"],"itemData":{"id":197,"type":"article-journal","abstract":"The surge of Internet-of-everything applications over the past decade demands the adoption of novel material design and device engineering strategies for the development of state-of-the-art organic photovoltaics (OPVs) in low-light indoor environments. Owing to their excellent optoelectronic properties, two-dimensional MXenes possess outstanding potential in this regard. Herein, an unprecedented indoor power conversion efficiency (PCE) of 33.8% under light-emitting-diode (LED) illumination (1000-lx) is secured by additive-induced treatment of MXene in polymer-donor:non-fullerene-acceptor-based organic photoactive layer. The remarkable indoor performance of MXene OPVs mainly originates from the enhanced absorption, compact molecular packing, and smooth surface morphology with a reduced number of grain boundaries in the photoactive layer, resulting in an improved fill factor and balanced charge transport and extraction characteristics with suppressed recombination, thereby producing an impressive indoor PCE. In addition, the presence of MXene in the photoactive layer facilitates polaron-pair dissociation owing to improved free-charge generation, leading to enhanced photoconductivity. This performance represents the highest PCE among the OPVs measured under indoor illumination. This work highlights the promising prospect of 2D MXene and its composites for indoor light energy harvesting applications.","container-title":"Advanced Optical Materials","DOI":"10.1002/adom.202202135","ISSN":"2195-1071","issue":"1","language":"en","note":"_eprint: https://onlinelibrary.wiley.com/doi/pdf/10.1002/adom.202202135","page":"2202135","source":"Wiley Online Library","title":"2D MXene Additive-Induced Treatment Enabling High-Efficiency Indoor Organic Photovoltaics","volume":"11","author":[{"family":"Saeed","given":"Muhammad Ahsan"},{"family":"Kim","given":"Tae Hyuk"},{"family":"Ahn","given":"Hyungju"},{"family":"Park","given":"Na Won"},{"family":"Park","given":"JaeHong"},{"family":"Choi","given":"Hyosung"},{"family":"Shahzad","given":"Asif"},{"family":"Shim","given":"Jae Won"}],"issued":{"date-parts":[["2023"]]}}}],"schema":"https://github.com/citation-style-language/schema/raw/master/csl-citation.json"}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[198]</w:t>
            </w:r>
            <w:r w:rsidRPr="00B55044">
              <w:rPr>
                <w:rFonts w:eastAsia="Times New Roman"/>
                <w:color w:val="0000FF"/>
                <w:sz w:val="16"/>
                <w:szCs w:val="16"/>
              </w:rPr>
              <w:fldChar w:fldCharType="end"/>
            </w:r>
          </w:p>
        </w:tc>
      </w:tr>
      <w:tr w:rsidR="00D47774" w:rsidRPr="00B55044" w14:paraId="419A687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663B0F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370</w:t>
            </w:r>
          </w:p>
        </w:tc>
        <w:tc>
          <w:tcPr>
            <w:tcW w:w="1525" w:type="pct"/>
            <w:tcBorders>
              <w:top w:val="single" w:sz="4" w:space="0" w:color="auto"/>
              <w:left w:val="nil"/>
              <w:bottom w:val="single" w:sz="4" w:space="0" w:color="auto"/>
              <w:right w:val="nil"/>
            </w:tcBorders>
            <w:shd w:val="clear" w:color="auto" w:fill="auto"/>
            <w:noWrap/>
            <w:vAlign w:val="bottom"/>
            <w:hideMark/>
          </w:tcPr>
          <w:p w14:paraId="1989C11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4C1476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PM6:Y6:MXene</w:t>
            </w:r>
          </w:p>
        </w:tc>
        <w:tc>
          <w:tcPr>
            <w:tcW w:w="379" w:type="pct"/>
            <w:tcBorders>
              <w:top w:val="single" w:sz="4" w:space="0" w:color="auto"/>
              <w:left w:val="nil"/>
              <w:bottom w:val="single" w:sz="4" w:space="0" w:color="auto"/>
              <w:right w:val="nil"/>
            </w:tcBorders>
            <w:shd w:val="clear" w:color="auto" w:fill="auto"/>
            <w:noWrap/>
            <w:vAlign w:val="bottom"/>
            <w:hideMark/>
          </w:tcPr>
          <w:p w14:paraId="15DD0F2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0.839</w:t>
            </w:r>
          </w:p>
        </w:tc>
        <w:tc>
          <w:tcPr>
            <w:tcW w:w="379" w:type="pct"/>
            <w:tcBorders>
              <w:top w:val="single" w:sz="4" w:space="0" w:color="auto"/>
              <w:left w:val="nil"/>
              <w:bottom w:val="single" w:sz="4" w:space="0" w:color="auto"/>
              <w:right w:val="nil"/>
            </w:tcBorders>
            <w:shd w:val="clear" w:color="auto" w:fill="auto"/>
            <w:noWrap/>
            <w:vAlign w:val="bottom"/>
            <w:hideMark/>
          </w:tcPr>
          <w:p w14:paraId="5C9B827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27.02</w:t>
            </w:r>
          </w:p>
        </w:tc>
        <w:tc>
          <w:tcPr>
            <w:tcW w:w="378" w:type="pct"/>
            <w:tcBorders>
              <w:top w:val="single" w:sz="4" w:space="0" w:color="auto"/>
              <w:left w:val="nil"/>
              <w:bottom w:val="single" w:sz="4" w:space="0" w:color="auto"/>
              <w:right w:val="nil"/>
            </w:tcBorders>
            <w:shd w:val="clear" w:color="auto" w:fill="auto"/>
            <w:noWrap/>
            <w:vAlign w:val="bottom"/>
            <w:hideMark/>
          </w:tcPr>
          <w:p w14:paraId="54E80E2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71.7</w:t>
            </w:r>
          </w:p>
        </w:tc>
        <w:tc>
          <w:tcPr>
            <w:tcW w:w="381" w:type="pct"/>
            <w:tcBorders>
              <w:top w:val="single" w:sz="4" w:space="0" w:color="auto"/>
              <w:left w:val="nil"/>
              <w:bottom w:val="single" w:sz="4" w:space="0" w:color="auto"/>
              <w:right w:val="nil"/>
            </w:tcBorders>
            <w:shd w:val="clear" w:color="auto" w:fill="auto"/>
            <w:noWrap/>
            <w:vAlign w:val="bottom"/>
            <w:hideMark/>
          </w:tcPr>
          <w:p w14:paraId="6572E3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16.25</w:t>
            </w:r>
          </w:p>
        </w:tc>
        <w:tc>
          <w:tcPr>
            <w:tcW w:w="378" w:type="pct"/>
            <w:tcBorders>
              <w:top w:val="single" w:sz="4" w:space="0" w:color="auto"/>
              <w:left w:val="nil"/>
              <w:bottom w:val="single" w:sz="4" w:space="0" w:color="auto"/>
              <w:right w:val="nil"/>
            </w:tcBorders>
            <w:shd w:val="clear" w:color="auto" w:fill="auto"/>
            <w:noWrap/>
            <w:vAlign w:val="bottom"/>
            <w:hideMark/>
          </w:tcPr>
          <w:p w14:paraId="037F317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{"citationID":"aj6akt1ru1","properties":{"formattedCitation":"[199]","plainCitation":"[199]","noteIndex":0},"citationItems":[{"id":196,"uris":["http://zotero.org/users/12909065/items/YYUQKSX4"],"itemData":{"id":196,"type":"article-journal","abstract":"Solution-processed 2D Ti3C2Tx nanosheets are incorporated into the active layer of organic solar cells (OSCs) as a third component to obtain an enhancement of the photovoltaic device performance. The power conversion efficiency (PCE) of the devices is boosted from 9.34% to 10.72% for the PBDB-T:ITIC blend and from 14.64% to 16.25% for the PM6:Y6 blend after adding 2D Ti3C2Tx nanosheets. The light scattering of the 2D flakes in Ti3C2Tx nanosheets not only increases the short-circuit current density (JSC) but also improves the carrier dissociation and transfer efficiency in devices, thus leading to reduced bimolecular recombination. Furthermore, Ti3C2Tx with appropriate content has little effect on the interpenetrating network morphology and instead provides an additional pathway for charge transport in photoactive layers. Herein, a potential direction for the application of 2D Ti3C2Tx materials in the field of OSCs is provided.","container-title":"Solar RRL","DOI":"10.1002/solr.202100127","ISSN":"2367-198X","issue":"4","language":"en","license":"© 2021 Wiley-VCH GmbH","note":"_eprint: https://onlinelibrary.wiley.com/doi/pdf/10.1002/solr.202100127","page":"2100127","source":"Wiley Online Library","title":"Addition of 2D Ti3C2Tx to Enhance Photocurrent in Diodes for High-Efficiency Organic Solar Cells","volume":"5","author":[{"family":"Zhao","given":"Yong"},{"family":"Liu","given":"Xiaojie"},{"family":"Jing","given":"Xin"},{"family":"Wang","given":"Xiangkun"},{"family":"Gao","given":"Caiyun"},{"family":"Dai","given":"Shuixing"},{"family":"Yu","given":"Liangmin"},{"family":"Sun","given":"Mingliang"}],"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[199]</w:t>
            </w:r>
            <w:r w:rsidRPr="00B55044">
              <w:rPr>
                <w:rFonts w:eastAsia="Times New Roman"/>
                <w:color w:val="0000FF"/>
                <w:sz w:val="16"/>
                <w:szCs w:val="16"/>
              </w:rPr>
              <w:fldChar w:fldCharType="end"/>
            </w:r>
          </w:p>
        </w:tc>
      </w:tr>
      <w:tr w:rsidR="00D47774" w:rsidRPr="00B55044" w14:paraId="29DC794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BA6983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371</w:t>
            </w:r>
          </w:p>
        </w:tc>
        <w:tc>
          <w:tcPr>
            <w:tcW w:w="1525" w:type="pct"/>
            <w:tcBorders>
              <w:top w:val="single" w:sz="4" w:space="0" w:color="auto"/>
              <w:left w:val="nil"/>
              <w:bottom w:val="single" w:sz="4" w:space="0" w:color="auto"/>
              <w:right w:val="nil"/>
            </w:tcBorders>
            <w:shd w:val="clear" w:color="auto" w:fill="auto"/>
            <w:noWrap/>
            <w:vAlign w:val="bottom"/>
            <w:hideMark/>
          </w:tcPr>
          <w:p w14:paraId="2129460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ITO/PEDOT:PSS/AL/PDIN/Ag</w:t>
            </w:r>
          </w:p>
        </w:tc>
        <w:tc>
          <w:tcPr>
            <w:tcW w:w="1288" w:type="pct"/>
            <w:tcBorders>
              <w:top w:val="single" w:sz="4" w:space="0" w:color="auto"/>
              <w:left w:val="nil"/>
              <w:bottom w:val="single" w:sz="4" w:space="0" w:color="auto"/>
              <w:right w:val="nil"/>
            </w:tcBorders>
            <w:shd w:val="clear" w:color="auto" w:fill="auto"/>
            <w:noWrap/>
            <w:vAlign w:val="bottom"/>
            <w:hideMark/>
          </w:tcPr>
          <w:p w14:paraId="477127A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PM6:Y6:TIT-2Cl</w:t>
            </w:r>
          </w:p>
        </w:tc>
        <w:tc>
          <w:tcPr>
            <w:tcW w:w="379" w:type="pct"/>
            <w:tcBorders>
              <w:top w:val="single" w:sz="4" w:space="0" w:color="auto"/>
              <w:left w:val="nil"/>
              <w:bottom w:val="single" w:sz="4" w:space="0" w:color="auto"/>
              <w:right w:val="nil"/>
            </w:tcBorders>
            <w:shd w:val="clear" w:color="auto" w:fill="auto"/>
            <w:noWrap/>
            <w:vAlign w:val="bottom"/>
            <w:hideMark/>
          </w:tcPr>
          <w:p w14:paraId="5B0C189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0.876</w:t>
            </w:r>
          </w:p>
        </w:tc>
        <w:tc>
          <w:tcPr>
            <w:tcW w:w="379" w:type="pct"/>
            <w:tcBorders>
              <w:top w:val="single" w:sz="4" w:space="0" w:color="auto"/>
              <w:left w:val="nil"/>
              <w:bottom w:val="single" w:sz="4" w:space="0" w:color="auto"/>
              <w:right w:val="nil"/>
            </w:tcBorders>
            <w:shd w:val="clear" w:color="auto" w:fill="auto"/>
            <w:noWrap/>
            <w:vAlign w:val="bottom"/>
            <w:hideMark/>
          </w:tcPr>
          <w:p w14:paraId="7A179B7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26.49</w:t>
            </w:r>
          </w:p>
        </w:tc>
        <w:tc>
          <w:tcPr>
            <w:tcW w:w="378" w:type="pct"/>
            <w:tcBorders>
              <w:top w:val="single" w:sz="4" w:space="0" w:color="auto"/>
              <w:left w:val="nil"/>
              <w:bottom w:val="single" w:sz="4" w:space="0" w:color="auto"/>
              <w:right w:val="nil"/>
            </w:tcBorders>
            <w:shd w:val="clear" w:color="auto" w:fill="auto"/>
            <w:noWrap/>
            <w:vAlign w:val="bottom"/>
            <w:hideMark/>
          </w:tcPr>
          <w:p w14:paraId="76B4ED5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73.25</w:t>
            </w:r>
          </w:p>
        </w:tc>
        <w:tc>
          <w:tcPr>
            <w:tcW w:w="381" w:type="pct"/>
            <w:tcBorders>
              <w:top w:val="single" w:sz="4" w:space="0" w:color="auto"/>
              <w:left w:val="nil"/>
              <w:bottom w:val="single" w:sz="4" w:space="0" w:color="auto"/>
              <w:right w:val="nil"/>
            </w:tcBorders>
            <w:shd w:val="clear" w:color="auto" w:fill="auto"/>
            <w:noWrap/>
            <w:vAlign w:val="bottom"/>
            <w:hideMark/>
          </w:tcPr>
          <w:p w14:paraId="16010D4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w:t>
            </w:r>
          </w:p>
        </w:tc>
        <w:tc>
          <w:tcPr>
            <w:tcW w:w="378" w:type="pct"/>
            <w:tcBorders>
              <w:top w:val="single" w:sz="4" w:space="0" w:color="auto"/>
              <w:left w:val="nil"/>
              <w:bottom w:val="single" w:sz="4" w:space="0" w:color="auto"/>
              <w:right w:val="nil"/>
            </w:tcBorders>
            <w:shd w:val="clear" w:color="auto" w:fill="auto"/>
            <w:noWrap/>
            <w:vAlign w:val="bottom"/>
            <w:hideMark/>
          </w:tcPr>
          <w:p w14:paraId="41670FF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{"citationID":"aoiijsitfe","properties":{"formattedCitation":"[200]","plainCitation":"[200]","noteIndex":0},"citationItems":[{"id":195,"uris":["http://zotero.org/users/12909065/items/BAG7A7MV"],"itemData":{"id":195,"type":"article-journal","abstract":"Although much research on device engineering have brought about significant improvements in PM6:Y6-based polymer solar cell (PSCs) performance, there is still a lack of relevant research to solve the problems caused by the over-aggregation of Y6 and the long-term stability of the device morphology. Herein, a newly designed and synthesized low-bandgap asymmetric small molecule acceptor TIT-2Cl based on thieno[3,2-b]indole core is elaborately introduced into PM6:Y6-based PSCs to suppress the over-aggregation of Y6 molecules with significantly increased efficiency from 15.78% to 17.00%. Moreover, the addition of TIT-2Cl contributes to improved light harvesting, the lowest unoccupied molecular orbital level of Y6:TIT-2Cl, charge separation, transport, and extraction. Simultaneously, the PSCs are further prepared by using the progressive spin-coating method of layer-by-layer (LBL). Due to the formation of vertical phase distribution and the improvement of carrier transport performance, the champion efficiency of LBL-type ternary PSCs reaches 18.18%, which is the highest efficiency reported for PM6:Y6-based PSCs, along with superior stability and compositional insensitivity. Therefore, the results show that the combination of ternary strategy by incorporating appropriate asymmetric molecules and the LBL method is an effective means to fabricate highly efficient stable PSCs. © 2022 Wiley-VCH GmbH.","archive":"Scopus","container-title":"Advanced Functional Materials","DOI":"10.1002/adfm.202200629","ISSN":"1616-301X","issue":"25","language":"English","source":"Scopus","title":"Layer-by-Layer Processed PM6:Y6-Based Stable Ternary Polymer Solar Cells with Improved Efficiency over 18% by Incorporating an Asymmetric Thieno[3,2-b]indole-Based Acceptor","title-short":"Layer-by-Layer Processed PM6","volume":"32","author":[{"family":"Chen","given":"J."},{"family":"Cao","given":"J."},{"family":"Liu","given":"L."},{"family":"Xie","given":"L."},{"family":"Zhou","given":"H."},{"family":"Zhang","given":"J."},{"family":"Zhang","given":"K."},{"family":"Xiao","given":"M."},{"family":"Huang","given":"F."}],"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[200]</w:t>
            </w:r>
            <w:r w:rsidRPr="00B55044">
              <w:rPr>
                <w:rFonts w:eastAsia="Times New Roman"/>
                <w:color w:val="0000FF"/>
                <w:sz w:val="16"/>
                <w:szCs w:val="16"/>
              </w:rPr>
              <w:fldChar w:fldCharType="end"/>
            </w:r>
          </w:p>
        </w:tc>
      </w:tr>
      <w:tr w:rsidR="00D47774" w:rsidRPr="00B55044" w14:paraId="6385121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A249C7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372</w:t>
            </w:r>
          </w:p>
        </w:tc>
        <w:tc>
          <w:tcPr>
            <w:tcW w:w="1525" w:type="pct"/>
            <w:tcBorders>
              <w:top w:val="single" w:sz="4" w:space="0" w:color="auto"/>
              <w:left w:val="nil"/>
              <w:bottom w:val="single" w:sz="4" w:space="0" w:color="auto"/>
              <w:right w:val="nil"/>
            </w:tcBorders>
            <w:shd w:val="clear" w:color="auto" w:fill="auto"/>
            <w:noWrap/>
            <w:vAlign w:val="bottom"/>
            <w:hideMark/>
          </w:tcPr>
          <w:p w14:paraId="399434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ITO/PEDOT:PSS/AL/PFN-Br/Al</w:t>
            </w:r>
          </w:p>
        </w:tc>
        <w:tc>
          <w:tcPr>
            <w:tcW w:w="1288" w:type="pct"/>
            <w:tcBorders>
              <w:top w:val="single" w:sz="4" w:space="0" w:color="auto"/>
              <w:left w:val="nil"/>
              <w:bottom w:val="single" w:sz="4" w:space="0" w:color="auto"/>
              <w:right w:val="nil"/>
            </w:tcBorders>
            <w:shd w:val="clear" w:color="auto" w:fill="auto"/>
            <w:noWrap/>
            <w:vAlign w:val="bottom"/>
            <w:hideMark/>
          </w:tcPr>
          <w:p w14:paraId="05A0FC8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PM6:BTP-eC9:ITIC (5%)</w:t>
            </w:r>
          </w:p>
        </w:tc>
        <w:tc>
          <w:tcPr>
            <w:tcW w:w="379" w:type="pct"/>
            <w:tcBorders>
              <w:top w:val="single" w:sz="4" w:space="0" w:color="auto"/>
              <w:left w:val="nil"/>
              <w:bottom w:val="single" w:sz="4" w:space="0" w:color="auto"/>
              <w:right w:val="nil"/>
            </w:tcBorders>
            <w:shd w:val="clear" w:color="auto" w:fill="auto"/>
            <w:noWrap/>
            <w:vAlign w:val="bottom"/>
            <w:hideMark/>
          </w:tcPr>
          <w:p w14:paraId="0C05A54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0.863</w:t>
            </w:r>
          </w:p>
        </w:tc>
        <w:tc>
          <w:tcPr>
            <w:tcW w:w="379" w:type="pct"/>
            <w:tcBorders>
              <w:top w:val="single" w:sz="4" w:space="0" w:color="auto"/>
              <w:left w:val="nil"/>
              <w:bottom w:val="single" w:sz="4" w:space="0" w:color="auto"/>
              <w:right w:val="nil"/>
            </w:tcBorders>
            <w:shd w:val="clear" w:color="auto" w:fill="auto"/>
            <w:noWrap/>
            <w:vAlign w:val="bottom"/>
            <w:hideMark/>
          </w:tcPr>
          <w:p w14:paraId="4FA1AE5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26.01</w:t>
            </w:r>
          </w:p>
        </w:tc>
        <w:tc>
          <w:tcPr>
            <w:tcW w:w="378" w:type="pct"/>
            <w:tcBorders>
              <w:top w:val="single" w:sz="4" w:space="0" w:color="auto"/>
              <w:left w:val="nil"/>
              <w:bottom w:val="single" w:sz="4" w:space="0" w:color="auto"/>
              <w:right w:val="nil"/>
            </w:tcBorders>
            <w:shd w:val="clear" w:color="auto" w:fill="auto"/>
            <w:noWrap/>
            <w:vAlign w:val="bottom"/>
            <w:hideMark/>
          </w:tcPr>
          <w:p w14:paraId="08AB1A6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77.35</w:t>
            </w:r>
          </w:p>
        </w:tc>
        <w:tc>
          <w:tcPr>
            <w:tcW w:w="381" w:type="pct"/>
            <w:tcBorders>
              <w:top w:val="single" w:sz="4" w:space="0" w:color="auto"/>
              <w:left w:val="nil"/>
              <w:bottom w:val="single" w:sz="4" w:space="0" w:color="auto"/>
              <w:right w:val="nil"/>
            </w:tcBorders>
            <w:shd w:val="clear" w:color="auto" w:fill="auto"/>
            <w:noWrap/>
            <w:vAlign w:val="bottom"/>
            <w:hideMark/>
          </w:tcPr>
          <w:p w14:paraId="271FA0A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17.37</w:t>
            </w:r>
          </w:p>
        </w:tc>
        <w:tc>
          <w:tcPr>
            <w:tcW w:w="378" w:type="pct"/>
            <w:tcBorders>
              <w:top w:val="single" w:sz="4" w:space="0" w:color="auto"/>
              <w:left w:val="nil"/>
              <w:bottom w:val="single" w:sz="4" w:space="0" w:color="auto"/>
              <w:right w:val="nil"/>
            </w:tcBorders>
            <w:shd w:val="clear" w:color="auto" w:fill="auto"/>
            <w:noWrap/>
            <w:vAlign w:val="bottom"/>
            <w:hideMark/>
          </w:tcPr>
          <w:p w14:paraId="03620C7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{"citationID":"a1apols19c1","properties":{"formattedCitation":"[201]","plainCitation":"[201]","noteIndex":0},"citationItems":[{"id":194,"uris":["http://zotero.org/users/12909065/items/YFDVZVT9"],"itemData":{"id":194,"type":"article-journal","abstract":"The composition of organic active layers plays significant role in determining the photovoltaic performance of organic solar cells (OSCs). Ternary strategy has shown promising advantages in fabrication for highly efficient OSCs due to its simple process and various donor and acceptor materials. Herein, a famous small molecule acceptor (ITIC) was employed as an assistant acceptor to make efficient ternary organic solar cells (TOSCs). The use of ITIC shows good compatibility and leads to the formation of alloyed state with the host acceptor (BTP-eC9). The middle bandgap of ITIC is also complementary with those of the host active materials (BTP-eC9 and PM6), which will be beneficial for the light-harvesting and thus enhance the photocurrent for OSC devices. Furthermore, the introduction of ITIC can fine-tune the film morphology with continuous nanofiber interpenetrating network, which is great for more balanced charge carrier transport and efficiently suppressed charge recombination. Consequently, a prominent power-conversion-efficiency (PCE) was achieved up to 18.25% with all-around enhancement photovoltaic parameters for the PM6:BTP-eC9:ITIC-based TOSCs. © 2023 Elsevier B.V.","archive":"Scopus","container-title":"Optical Materials","DOI":"10.1016/j.optmat.2023.113890","ISSN":"0925-3467","language":"English","source":"Scopus","title":"Two compatible non-fullerene acceptors towards efficient ternary organic photovoltaics","volume":"141","author":[{"family":"Geng","given":"S."},{"family":"Zhang","given":"Z."},{"family":"Huang","given":"T."},{"family":"Guan","given":"H."},{"family":"Cao","given":"Z."},{"family":"Wang","given":"D."},{"family":"Liao","given":"Q."},{"family":"Zhang","given":"J."}],"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[201]</w:t>
            </w:r>
            <w:r w:rsidRPr="00B55044">
              <w:rPr>
                <w:rFonts w:eastAsia="Times New Roman"/>
                <w:color w:val="0000FF"/>
                <w:sz w:val="16"/>
                <w:szCs w:val="16"/>
              </w:rPr>
              <w:fldChar w:fldCharType="end"/>
            </w:r>
          </w:p>
        </w:tc>
      </w:tr>
      <w:tr w:rsidR="00D47774" w:rsidRPr="00B55044" w14:paraId="0E910DA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314B70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373</w:t>
            </w:r>
          </w:p>
        </w:tc>
        <w:tc>
          <w:tcPr>
            <w:tcW w:w="1525" w:type="pct"/>
            <w:tcBorders>
              <w:top w:val="single" w:sz="4" w:space="0" w:color="auto"/>
              <w:left w:val="nil"/>
              <w:bottom w:val="single" w:sz="4" w:space="0" w:color="auto"/>
              <w:right w:val="nil"/>
            </w:tcBorders>
            <w:shd w:val="clear" w:color="auto" w:fill="auto"/>
            <w:noWrap/>
            <w:vAlign w:val="bottom"/>
            <w:hideMark/>
          </w:tcPr>
          <w:p w14:paraId="4CBF69B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ITO/PEDOT:PSS/AL/PFN-Br/Al</w:t>
            </w:r>
          </w:p>
        </w:tc>
        <w:tc>
          <w:tcPr>
            <w:tcW w:w="1288" w:type="pct"/>
            <w:tcBorders>
              <w:top w:val="single" w:sz="4" w:space="0" w:color="auto"/>
              <w:left w:val="nil"/>
              <w:bottom w:val="single" w:sz="4" w:space="0" w:color="auto"/>
              <w:right w:val="nil"/>
            </w:tcBorders>
            <w:shd w:val="clear" w:color="auto" w:fill="auto"/>
            <w:noWrap/>
            <w:vAlign w:val="bottom"/>
            <w:hideMark/>
          </w:tcPr>
          <w:p w14:paraId="6647F60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PM6:BTP-eC9:ITIC (10%)</w:t>
            </w:r>
          </w:p>
        </w:tc>
        <w:tc>
          <w:tcPr>
            <w:tcW w:w="379" w:type="pct"/>
            <w:tcBorders>
              <w:top w:val="single" w:sz="4" w:space="0" w:color="auto"/>
              <w:left w:val="nil"/>
              <w:bottom w:val="single" w:sz="4" w:space="0" w:color="auto"/>
              <w:right w:val="nil"/>
            </w:tcBorders>
            <w:shd w:val="clear" w:color="auto" w:fill="auto"/>
            <w:noWrap/>
            <w:vAlign w:val="bottom"/>
            <w:hideMark/>
          </w:tcPr>
          <w:p w14:paraId="71B5C2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0.871</w:t>
            </w:r>
          </w:p>
        </w:tc>
        <w:tc>
          <w:tcPr>
            <w:tcW w:w="379" w:type="pct"/>
            <w:tcBorders>
              <w:top w:val="single" w:sz="4" w:space="0" w:color="auto"/>
              <w:left w:val="nil"/>
              <w:bottom w:val="single" w:sz="4" w:space="0" w:color="auto"/>
              <w:right w:val="nil"/>
            </w:tcBorders>
            <w:shd w:val="clear" w:color="auto" w:fill="auto"/>
            <w:noWrap/>
            <w:vAlign w:val="bottom"/>
            <w:hideMark/>
          </w:tcPr>
          <w:p w14:paraId="64E3762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w:t>
            </w:r>
          </w:p>
        </w:tc>
        <w:tc>
          <w:tcPr>
            <w:tcW w:w="378" w:type="pct"/>
            <w:tcBorders>
              <w:top w:val="single" w:sz="4" w:space="0" w:color="auto"/>
              <w:left w:val="nil"/>
              <w:bottom w:val="single" w:sz="4" w:space="0" w:color="auto"/>
              <w:right w:val="nil"/>
            </w:tcBorders>
            <w:shd w:val="clear" w:color="auto" w:fill="auto"/>
            <w:noWrap/>
            <w:vAlign w:val="bottom"/>
            <w:hideMark/>
          </w:tcPr>
          <w:p w14:paraId="0539480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78.21</w:t>
            </w:r>
          </w:p>
        </w:tc>
        <w:tc>
          <w:tcPr>
            <w:tcW w:w="381" w:type="pct"/>
            <w:tcBorders>
              <w:top w:val="single" w:sz="4" w:space="0" w:color="auto"/>
              <w:left w:val="nil"/>
              <w:bottom w:val="single" w:sz="4" w:space="0" w:color="auto"/>
              <w:right w:val="nil"/>
            </w:tcBorders>
            <w:shd w:val="clear" w:color="auto" w:fill="auto"/>
            <w:noWrap/>
            <w:vAlign w:val="bottom"/>
            <w:hideMark/>
          </w:tcPr>
          <w:p w14:paraId="018D30C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18.25</w:t>
            </w:r>
          </w:p>
        </w:tc>
        <w:tc>
          <w:tcPr>
            <w:tcW w:w="378" w:type="pct"/>
            <w:tcBorders>
              <w:top w:val="single" w:sz="4" w:space="0" w:color="auto"/>
              <w:left w:val="nil"/>
              <w:bottom w:val="single" w:sz="4" w:space="0" w:color="auto"/>
              <w:right w:val="nil"/>
            </w:tcBorders>
            <w:shd w:val="clear" w:color="auto" w:fill="auto"/>
            <w:noWrap/>
            <w:vAlign w:val="bottom"/>
            <w:hideMark/>
          </w:tcPr>
          <w:p w14:paraId="2094FBE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{"citationID":"as75s1nucb","properties":{"formattedCitation":"[201]","plainCitation":"[201]","noteIndex":0},"citationItems":[{"id":194,"uris":["http://zotero.org/users/12909065/items/YFDVZVT9"],"itemData":{"id":194,"type":"article-journal","abstract":"The composition of organic active layers plays significant role in determining the photovoltaic performance of organic solar cells (OSCs). Ternary strategy has shown promising advantages in fabrication for highly efficient OSCs due to its simple process and various donor and acceptor materials. Herein, a famous small molecule acceptor (ITIC) was employed as an assistant acceptor to make efficient ternary organic solar cells (TOSCs). The use of ITIC shows good compatibility and leads to the formation of alloyed state with the host acceptor (BTP-eC9). The middle bandgap of ITIC is also complementary with those of the host active materials (BTP-eC9 and PM6), which will be beneficial for the light-harvesting and thus enhance the photocurrent for OSC devices. Furthermore, the introduction of ITIC can fine-tune the film morphology with continuous nanofiber interpenetrating network, which is great for more balanced charge carrier transport and efficiently suppressed charge recombination. Consequently, a prominent power-conversion-efficiency (PCE) was achieved up to 18.25% with all-around enhancement photovoltaic parameters for the PM6:BTP-eC9:ITIC-based TOSCs. © 2023 Elsevier B.V.","archive":"Scopus","container-title":"Optical Materials","DOI":"10.1016/j.optmat.2023.113890","ISSN":"0925-3467","language":"English","source":"Scopus","title":"Two compatible non-fullerene acceptors towards efficient ternary organic photovoltaics","volume":"141","author":[{"family":"Geng","given":"S."},{"family":"Zhang","given":"Z."},{"family":"Huang","given":"T."},{"family":"Guan","given":"H."},{"family":"Cao","given":"Z."},{"family":"Wang","given":"D."},{"family":"Liao","given":"Q."},{"family":"Zhang","given":"J."}],"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[201]</w:t>
            </w:r>
            <w:r w:rsidRPr="00B55044">
              <w:rPr>
                <w:rFonts w:eastAsia="Times New Roman"/>
                <w:color w:val="0000FF"/>
                <w:sz w:val="16"/>
                <w:szCs w:val="16"/>
              </w:rPr>
              <w:fldChar w:fldCharType="end"/>
            </w:r>
          </w:p>
        </w:tc>
      </w:tr>
      <w:tr w:rsidR="00D47774" w:rsidRPr="00B55044" w14:paraId="53F072E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DC4EC1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lastRenderedPageBreak/>
              <w:t>374</w:t>
            </w:r>
          </w:p>
        </w:tc>
        <w:tc>
          <w:tcPr>
            <w:tcW w:w="1525" w:type="pct"/>
            <w:tcBorders>
              <w:top w:val="single" w:sz="4" w:space="0" w:color="auto"/>
              <w:left w:val="nil"/>
              <w:bottom w:val="single" w:sz="4" w:space="0" w:color="auto"/>
              <w:right w:val="nil"/>
            </w:tcBorders>
            <w:shd w:val="clear" w:color="auto" w:fill="auto"/>
            <w:noWrap/>
            <w:vAlign w:val="bottom"/>
            <w:hideMark/>
          </w:tcPr>
          <w:p w14:paraId="36A1DD3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ITO/PEDOT:PSS/AL/PFN-Br/Al</w:t>
            </w:r>
          </w:p>
        </w:tc>
        <w:tc>
          <w:tcPr>
            <w:tcW w:w="1288" w:type="pct"/>
            <w:tcBorders>
              <w:top w:val="single" w:sz="4" w:space="0" w:color="auto"/>
              <w:left w:val="nil"/>
              <w:bottom w:val="single" w:sz="4" w:space="0" w:color="auto"/>
              <w:right w:val="nil"/>
            </w:tcBorders>
            <w:shd w:val="clear" w:color="auto" w:fill="auto"/>
            <w:noWrap/>
            <w:vAlign w:val="bottom"/>
            <w:hideMark/>
          </w:tcPr>
          <w:p w14:paraId="7AB0B20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PM6:BTP-eC9:ITIC (15%)</w:t>
            </w:r>
          </w:p>
        </w:tc>
        <w:tc>
          <w:tcPr>
            <w:tcW w:w="379" w:type="pct"/>
            <w:tcBorders>
              <w:top w:val="single" w:sz="4" w:space="0" w:color="auto"/>
              <w:left w:val="nil"/>
              <w:bottom w:val="single" w:sz="4" w:space="0" w:color="auto"/>
              <w:right w:val="nil"/>
            </w:tcBorders>
            <w:shd w:val="clear" w:color="auto" w:fill="auto"/>
            <w:noWrap/>
            <w:vAlign w:val="bottom"/>
            <w:hideMark/>
          </w:tcPr>
          <w:p w14:paraId="67AB1DC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0.875</w:t>
            </w:r>
          </w:p>
        </w:tc>
        <w:tc>
          <w:tcPr>
            <w:tcW w:w="379" w:type="pct"/>
            <w:tcBorders>
              <w:top w:val="single" w:sz="4" w:space="0" w:color="auto"/>
              <w:left w:val="nil"/>
              <w:bottom w:val="single" w:sz="4" w:space="0" w:color="auto"/>
              <w:right w:val="nil"/>
            </w:tcBorders>
            <w:shd w:val="clear" w:color="auto" w:fill="auto"/>
            <w:noWrap/>
            <w:vAlign w:val="bottom"/>
            <w:hideMark/>
          </w:tcPr>
          <w:p w14:paraId="2AA1FD6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25.75</w:t>
            </w:r>
          </w:p>
        </w:tc>
        <w:tc>
          <w:tcPr>
            <w:tcW w:w="378" w:type="pct"/>
            <w:tcBorders>
              <w:top w:val="single" w:sz="4" w:space="0" w:color="auto"/>
              <w:left w:val="nil"/>
              <w:bottom w:val="single" w:sz="4" w:space="0" w:color="auto"/>
              <w:right w:val="nil"/>
            </w:tcBorders>
            <w:shd w:val="clear" w:color="auto" w:fill="auto"/>
            <w:noWrap/>
            <w:vAlign w:val="bottom"/>
            <w:hideMark/>
          </w:tcPr>
          <w:p w14:paraId="23828B3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74.99</w:t>
            </w:r>
          </w:p>
        </w:tc>
        <w:tc>
          <w:tcPr>
            <w:tcW w:w="381" w:type="pct"/>
            <w:tcBorders>
              <w:top w:val="single" w:sz="4" w:space="0" w:color="auto"/>
              <w:left w:val="nil"/>
              <w:bottom w:val="single" w:sz="4" w:space="0" w:color="auto"/>
              <w:right w:val="nil"/>
            </w:tcBorders>
            <w:shd w:val="clear" w:color="auto" w:fill="auto"/>
            <w:noWrap/>
            <w:vAlign w:val="bottom"/>
            <w:hideMark/>
          </w:tcPr>
          <w:p w14:paraId="62249FE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16.09</w:t>
            </w:r>
          </w:p>
        </w:tc>
        <w:tc>
          <w:tcPr>
            <w:tcW w:w="378" w:type="pct"/>
            <w:tcBorders>
              <w:top w:val="single" w:sz="4" w:space="0" w:color="auto"/>
              <w:left w:val="nil"/>
              <w:bottom w:val="single" w:sz="4" w:space="0" w:color="auto"/>
              <w:right w:val="nil"/>
            </w:tcBorders>
            <w:shd w:val="clear" w:color="auto" w:fill="auto"/>
            <w:noWrap/>
            <w:vAlign w:val="bottom"/>
            <w:hideMark/>
          </w:tcPr>
          <w:p w14:paraId="3217BE6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{"citationID":"a1m638nm7oj","properties":{"formattedCitation":"[201]","plainCitation":"[201]","noteIndex":0},"citationItems":[{"id":194,"uris":["http://zotero.org/users/12909065/items/YFDVZVT9"],"itemData":{"id":194,"type":"article-journal","abstract":"The composition of organic active layers plays significant role in determining the photovoltaic performance of organic solar cells (OSCs). Ternary strategy has shown promising advantages in fabrication for highly efficient OSCs due to its simple process and various donor and acceptor materials. Herein, a famous small molecule acceptor (ITIC) was employed as an assistant acceptor to make efficient ternary organic solar cells (TOSCs). The use of ITIC shows good compatibility and leads to the formation of alloyed state with the host acceptor (BTP-eC9). The middle bandgap of ITIC is also complementary with those of the host active materials (BTP-eC9 and PM6), which will be beneficial for the light-harvesting and thus enhance the photocurrent for OSC devices. Furthermore, the introduction of ITIC can fine-tune the film morphology with continuous nanofiber interpenetrating network, which is great for more balanced charge carrier transport and efficiently suppressed charge recombination. Consequently, a prominent power-conversion-efficiency (PCE) was achieved up to 18.25% with all-around enhancement photovoltaic parameters for the PM6:BTP-eC9:ITIC-based TOSCs. © 2023 Elsevier B.V.","archive":"Scopus","container-title":"Optical Materials","DOI":"10.1016/j.optmat.2023.113890","ISSN":"0925-3467","language":"English","source":"Scopus","title":"Two compatible non-fullerene acceptors towards efficient ternary organic photovoltaics","volume":"141","author":[{"family":"Geng","given":"S."},{"family":"Zhang","given":"Z."},{"family":"Huang","given":"T."},{"family":"Guan","given":"H."},{"family":"Cao","given":"Z."},{"family":"Wang","given":"D."},{"family":"Liao","given":"Q."},{"family":"Zhang","given":"J."}],"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[201]</w:t>
            </w:r>
            <w:r w:rsidRPr="00B55044">
              <w:rPr>
                <w:rFonts w:eastAsia="Times New Roman"/>
                <w:color w:val="0000FF"/>
                <w:sz w:val="16"/>
                <w:szCs w:val="16"/>
              </w:rPr>
              <w:fldChar w:fldCharType="end"/>
            </w:r>
          </w:p>
        </w:tc>
      </w:tr>
      <w:tr w:rsidR="00D47774" w:rsidRPr="00B55044" w14:paraId="118A6A3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A75AB1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375</w:t>
            </w:r>
          </w:p>
        </w:tc>
        <w:tc>
          <w:tcPr>
            <w:tcW w:w="1525" w:type="pct"/>
            <w:tcBorders>
              <w:top w:val="single" w:sz="4" w:space="0" w:color="auto"/>
              <w:left w:val="nil"/>
              <w:bottom w:val="single" w:sz="4" w:space="0" w:color="auto"/>
              <w:right w:val="nil"/>
            </w:tcBorders>
            <w:shd w:val="clear" w:color="auto" w:fill="auto"/>
            <w:noWrap/>
            <w:vAlign w:val="bottom"/>
            <w:hideMark/>
          </w:tcPr>
          <w:p w14:paraId="1F3165A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4515786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PM6:N3:N2200</w:t>
            </w:r>
          </w:p>
        </w:tc>
        <w:tc>
          <w:tcPr>
            <w:tcW w:w="379" w:type="pct"/>
            <w:tcBorders>
              <w:top w:val="single" w:sz="4" w:space="0" w:color="auto"/>
              <w:left w:val="nil"/>
              <w:bottom w:val="single" w:sz="4" w:space="0" w:color="auto"/>
              <w:right w:val="nil"/>
            </w:tcBorders>
            <w:shd w:val="clear" w:color="auto" w:fill="auto"/>
            <w:noWrap/>
            <w:vAlign w:val="bottom"/>
            <w:hideMark/>
          </w:tcPr>
          <w:p w14:paraId="63B9053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4C0A34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20.9</w:t>
            </w:r>
          </w:p>
        </w:tc>
        <w:tc>
          <w:tcPr>
            <w:tcW w:w="378" w:type="pct"/>
            <w:tcBorders>
              <w:top w:val="single" w:sz="4" w:space="0" w:color="auto"/>
              <w:left w:val="nil"/>
              <w:bottom w:val="single" w:sz="4" w:space="0" w:color="auto"/>
              <w:right w:val="nil"/>
            </w:tcBorders>
            <w:shd w:val="clear" w:color="auto" w:fill="auto"/>
            <w:noWrap/>
            <w:vAlign w:val="bottom"/>
            <w:hideMark/>
          </w:tcPr>
          <w:p w14:paraId="3E8FAF3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61.9</w:t>
            </w:r>
          </w:p>
        </w:tc>
        <w:tc>
          <w:tcPr>
            <w:tcW w:w="381" w:type="pct"/>
            <w:tcBorders>
              <w:top w:val="single" w:sz="4" w:space="0" w:color="auto"/>
              <w:left w:val="nil"/>
              <w:bottom w:val="single" w:sz="4" w:space="0" w:color="auto"/>
              <w:right w:val="nil"/>
            </w:tcBorders>
            <w:shd w:val="clear" w:color="auto" w:fill="auto"/>
            <w:noWrap/>
            <w:vAlign w:val="bottom"/>
            <w:hideMark/>
          </w:tcPr>
          <w:p w14:paraId="2941933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10.9</w:t>
            </w:r>
          </w:p>
        </w:tc>
        <w:tc>
          <w:tcPr>
            <w:tcW w:w="378" w:type="pct"/>
            <w:tcBorders>
              <w:top w:val="single" w:sz="4" w:space="0" w:color="auto"/>
              <w:left w:val="nil"/>
              <w:bottom w:val="single" w:sz="4" w:space="0" w:color="auto"/>
              <w:right w:val="nil"/>
            </w:tcBorders>
            <w:shd w:val="clear" w:color="auto" w:fill="auto"/>
            <w:noWrap/>
            <w:vAlign w:val="bottom"/>
            <w:hideMark/>
          </w:tcPr>
          <w:p w14:paraId="53B994B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{"citationID":"a1qoh1rd8sv","properties":{"formattedCitation":"[202]","plainCitation":"[202]","noteIndex":0},"citationItems":[{"id":193,"uris":["http://zotero.org/users/12909065/items/AUPBB9D7"],"itemData":{"id":193,"type":"article-journal","abstract":"Characterizing the bulk heterojunction (BHJ) morphology of the active layer is essential for optimizing blade-coated organic solar cells (OSCs). Here, the morphology evolution of a highly efficient ternary polymer:nonfullerene blend PM6:N3:N2200 under different blade coating conditions is probed in real-time by in situ synchrotron X-ray scattering and in situ ultraviolet-visible (UV-vis) spectroscopy. Besides, the morphology of blade-coated blend films at different conditions is detailed by ex situ X-ray scattering and microscopic imaging. The ternary blend film exhibited optimized morphology, such as superior molecular stacking structure and appropriate phase separation structure, and boosted photovoltaic performance of the binary blend, as adding a second polymer component to the host polymer:nonfullerene system can balance nucleation and crystallization of polymers and small molecules, facilitating molecular rearrangement to perfect crystallization. Both binary and ternary blends obtained optimized morphology and photovoltaic properties at medium coating speed, mainly attributed to the movement of the polymer and small molecules at the long crystallization and aggregation stage. These findings help understand morphology formation under film drying and provide guidance for optimizing the morphology in blade-coated OSCs. © 2023 Wiley-VCH GmbH.","archive":"Scopus","container-title":"Advanced Functional Materials","DOI":"10.1002/adfm.202213248","ISSN":"1616-301X","issue":"14","language":"English","source":"Scopus","title":"Real-Time Probing and Unraveling the Morphology Formation of Blade-Coated Ternary Nonfullerene Organic Photovoltaics with In Situ X-Ray Scattering","volume":"33","author":[{"family":"Peng","given":"Z."},{"family":"Zhang","given":"Y."},{"family":"Sun","given":"X."},{"family":"Zhao","given":"W."},{"family":"Bian","given":"F."},{"family":"Geng","given":"Y."},{"family":"Ye","given":"L."},{"family":"Yang","given":"C."}],"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[202]</w:t>
            </w:r>
            <w:r w:rsidRPr="00B55044">
              <w:rPr>
                <w:rFonts w:eastAsia="Times New Roman"/>
                <w:color w:val="0000FF"/>
                <w:sz w:val="16"/>
                <w:szCs w:val="16"/>
              </w:rPr>
              <w:fldChar w:fldCharType="end"/>
            </w:r>
          </w:p>
        </w:tc>
      </w:tr>
      <w:tr w:rsidR="00D47774" w:rsidRPr="00B55044" w14:paraId="685B2AC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618F1D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376</w:t>
            </w:r>
          </w:p>
        </w:tc>
        <w:tc>
          <w:tcPr>
            <w:tcW w:w="1525" w:type="pct"/>
            <w:tcBorders>
              <w:top w:val="single" w:sz="4" w:space="0" w:color="auto"/>
              <w:left w:val="nil"/>
              <w:bottom w:val="single" w:sz="4" w:space="0" w:color="auto"/>
              <w:right w:val="nil"/>
            </w:tcBorders>
            <w:shd w:val="clear" w:color="auto" w:fill="auto"/>
            <w:noWrap/>
            <w:vAlign w:val="bottom"/>
            <w:hideMark/>
          </w:tcPr>
          <w:p w14:paraId="060240E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ITO/PEDOT:PSS/AL/PDINO/Ag</w:t>
            </w:r>
          </w:p>
        </w:tc>
        <w:tc>
          <w:tcPr>
            <w:tcW w:w="1288" w:type="pct"/>
            <w:tcBorders>
              <w:top w:val="single" w:sz="4" w:space="0" w:color="auto"/>
              <w:left w:val="nil"/>
              <w:bottom w:val="single" w:sz="4" w:space="0" w:color="auto"/>
              <w:right w:val="nil"/>
            </w:tcBorders>
            <w:shd w:val="clear" w:color="auto" w:fill="auto"/>
            <w:noWrap/>
            <w:vAlign w:val="bottom"/>
            <w:hideMark/>
          </w:tcPr>
          <w:p w14:paraId="1F80FDE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PM6:Y6:BR-RD</w:t>
            </w:r>
          </w:p>
        </w:tc>
        <w:tc>
          <w:tcPr>
            <w:tcW w:w="379" w:type="pct"/>
            <w:tcBorders>
              <w:top w:val="single" w:sz="4" w:space="0" w:color="auto"/>
              <w:left w:val="nil"/>
              <w:bottom w:val="single" w:sz="4" w:space="0" w:color="auto"/>
              <w:right w:val="nil"/>
            </w:tcBorders>
            <w:shd w:val="clear" w:color="auto" w:fill="auto"/>
            <w:noWrap/>
            <w:vAlign w:val="bottom"/>
            <w:hideMark/>
          </w:tcPr>
          <w:p w14:paraId="3298E61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0.848</w:t>
            </w:r>
          </w:p>
        </w:tc>
        <w:tc>
          <w:tcPr>
            <w:tcW w:w="379" w:type="pct"/>
            <w:tcBorders>
              <w:top w:val="single" w:sz="4" w:space="0" w:color="auto"/>
              <w:left w:val="nil"/>
              <w:bottom w:val="single" w:sz="4" w:space="0" w:color="auto"/>
              <w:right w:val="nil"/>
            </w:tcBorders>
            <w:shd w:val="clear" w:color="auto" w:fill="auto"/>
            <w:noWrap/>
            <w:vAlign w:val="bottom"/>
            <w:hideMark/>
          </w:tcPr>
          <w:p w14:paraId="2EC037D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27.28</w:t>
            </w:r>
          </w:p>
        </w:tc>
        <w:tc>
          <w:tcPr>
            <w:tcW w:w="378" w:type="pct"/>
            <w:tcBorders>
              <w:top w:val="single" w:sz="4" w:space="0" w:color="auto"/>
              <w:left w:val="nil"/>
              <w:bottom w:val="single" w:sz="4" w:space="0" w:color="auto"/>
              <w:right w:val="nil"/>
            </w:tcBorders>
            <w:shd w:val="clear" w:color="auto" w:fill="auto"/>
            <w:noWrap/>
            <w:vAlign w:val="bottom"/>
            <w:hideMark/>
          </w:tcPr>
          <w:p w14:paraId="1F2BA02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75.6</w:t>
            </w:r>
          </w:p>
        </w:tc>
        <w:tc>
          <w:tcPr>
            <w:tcW w:w="381" w:type="pct"/>
            <w:tcBorders>
              <w:top w:val="single" w:sz="4" w:space="0" w:color="auto"/>
              <w:left w:val="nil"/>
              <w:bottom w:val="single" w:sz="4" w:space="0" w:color="auto"/>
              <w:right w:val="nil"/>
            </w:tcBorders>
            <w:shd w:val="clear" w:color="auto" w:fill="auto"/>
            <w:noWrap/>
            <w:vAlign w:val="bottom"/>
            <w:hideMark/>
          </w:tcPr>
          <w:p w14:paraId="67ACD37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17.49</w:t>
            </w:r>
          </w:p>
        </w:tc>
        <w:tc>
          <w:tcPr>
            <w:tcW w:w="378" w:type="pct"/>
            <w:tcBorders>
              <w:top w:val="single" w:sz="4" w:space="0" w:color="auto"/>
              <w:left w:val="nil"/>
              <w:bottom w:val="single" w:sz="4" w:space="0" w:color="auto"/>
              <w:right w:val="nil"/>
            </w:tcBorders>
            <w:shd w:val="clear" w:color="auto" w:fill="auto"/>
            <w:noWrap/>
            <w:vAlign w:val="bottom"/>
            <w:hideMark/>
          </w:tcPr>
          <w:p w14:paraId="6C392C0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{"citationID":"a1ad37kvelr","properties":{"formattedCitation":"[203]","plainCitation":"[203]","noteIndex":0},"citationItems":[{"id":192,"uris":["http://zotero.org/users/12909065/items/ZTATNHJ7"],"itemData":{"id":192,"type":"article-journal","abstract":"The ternary strategy has been widely demonstrated as an efficient and facile method to improve the performance of organic photovoltaics (OPVs). Besides employing commonly used relatively complex molecules or copolymers, developing cost-effective and simple third components with rational structure design and suitable modification also has great potential to construct ternary system with high power conversion efficiency (PCE), though it is challenging. Herein, we designed and synthesized a series of simple molecules BR-X (BR-RD, BR-OC8, and BR-C8) based on the benzo[1,2-b:4,5-b′]dithiophene core with the modification of side chains and end-groups as the third components to the host binary PM6:Y6 system for promoting the photovoltaic performance. The ternary system with the addition of BR-RD or BR-C8 demonstrated promoted molecular packing, facilitated exciton dissociation, and charge transportation with obvious suppression of carrier recombination. While BR-OC8 showed a limited role in the improvement of the above performance in its ternary blend. Further investigation indicates that BR-RD and BR-C8 are more inclined to mix with PM6 than Y6 and can be beneficial in the formation of larger pure Y6 domains than those with a binary system and reduced mixed-phase. Thus, ternary devices with BR-RD and BR-C8 achieve highest efficiencies of 17.49% and 17.28% with all simultaneously boosted photovoltaic parameters, respectively, while the ternary device with BR-OC8 exhibits less improvement in PCE compared to that of the host binary one (16.73% vs. 16.42%). This work not only provides an affordable strategy to improve the photovoltaic performance but also enriches the material abundance of novel simple third components to achieve highly efficient ternary OPVs. © 2023 The Royal Society of Chemistry.","archive":"Scopus","container-title":"Journal of Materials Chemistry C","DOI":"10.1039/d2tc05441h","ISSN":"2050-7534","issue":"8","language":"English","page":"2921-2929","source":"Scopus","title":"An efficient enhancement in organic photovoltaics by introducing simple-structured benzo[1,2-b:4,5-b′]dithiophene-based large-bandgap small molecules as the third component","title-short":"An efficient enhancement in organic photovoltaics by introducing simple-structured benzo[1,2-b","volume":"11","author":[{"family":"Feng","given":"H."},{"family":"Liu","given":"Z."},{"family":"Bao","given":"Y."},{"family":"Zhao","given":"B."},{"family":"Wu","given":"B."},{"family":"Bi","given":"Z."},{"family":"Wu","given":"W."},{"family":"Ma","given":"W."},{"family":"Gao","given":"C."}],"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[203]</w:t>
            </w:r>
            <w:r w:rsidRPr="00B55044">
              <w:rPr>
                <w:rFonts w:eastAsia="Times New Roman"/>
                <w:color w:val="0000FF"/>
                <w:sz w:val="16"/>
                <w:szCs w:val="16"/>
              </w:rPr>
              <w:fldChar w:fldCharType="end"/>
            </w:r>
          </w:p>
        </w:tc>
      </w:tr>
      <w:tr w:rsidR="00D47774" w:rsidRPr="00B55044" w14:paraId="63A3364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C845E6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377</w:t>
            </w:r>
          </w:p>
        </w:tc>
        <w:tc>
          <w:tcPr>
            <w:tcW w:w="1525" w:type="pct"/>
            <w:tcBorders>
              <w:top w:val="single" w:sz="4" w:space="0" w:color="auto"/>
              <w:left w:val="nil"/>
              <w:bottom w:val="single" w:sz="4" w:space="0" w:color="auto"/>
              <w:right w:val="nil"/>
            </w:tcBorders>
            <w:shd w:val="clear" w:color="auto" w:fill="auto"/>
            <w:noWrap/>
            <w:vAlign w:val="bottom"/>
            <w:hideMark/>
          </w:tcPr>
          <w:p w14:paraId="4D27181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ITO/PEDOT:PSS/AL/PDINO/Ag</w:t>
            </w:r>
          </w:p>
        </w:tc>
        <w:tc>
          <w:tcPr>
            <w:tcW w:w="1288" w:type="pct"/>
            <w:tcBorders>
              <w:top w:val="single" w:sz="4" w:space="0" w:color="auto"/>
              <w:left w:val="nil"/>
              <w:bottom w:val="single" w:sz="4" w:space="0" w:color="auto"/>
              <w:right w:val="nil"/>
            </w:tcBorders>
            <w:shd w:val="clear" w:color="auto" w:fill="auto"/>
            <w:noWrap/>
            <w:vAlign w:val="bottom"/>
            <w:hideMark/>
          </w:tcPr>
          <w:p w14:paraId="6FD345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PM6:Y6:BR-OC8</w:t>
            </w:r>
          </w:p>
        </w:tc>
        <w:tc>
          <w:tcPr>
            <w:tcW w:w="379" w:type="pct"/>
            <w:tcBorders>
              <w:top w:val="single" w:sz="4" w:space="0" w:color="auto"/>
              <w:left w:val="nil"/>
              <w:bottom w:val="single" w:sz="4" w:space="0" w:color="auto"/>
              <w:right w:val="nil"/>
            </w:tcBorders>
            <w:shd w:val="clear" w:color="auto" w:fill="auto"/>
            <w:noWrap/>
            <w:vAlign w:val="bottom"/>
            <w:hideMark/>
          </w:tcPr>
          <w:p w14:paraId="17158D5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0.844</w:t>
            </w:r>
          </w:p>
        </w:tc>
        <w:tc>
          <w:tcPr>
            <w:tcW w:w="379" w:type="pct"/>
            <w:tcBorders>
              <w:top w:val="single" w:sz="4" w:space="0" w:color="auto"/>
              <w:left w:val="nil"/>
              <w:bottom w:val="single" w:sz="4" w:space="0" w:color="auto"/>
              <w:right w:val="nil"/>
            </w:tcBorders>
            <w:shd w:val="clear" w:color="auto" w:fill="auto"/>
            <w:noWrap/>
            <w:vAlign w:val="bottom"/>
            <w:hideMark/>
          </w:tcPr>
          <w:p w14:paraId="30DCD0E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w:t>
            </w:r>
          </w:p>
        </w:tc>
        <w:tc>
          <w:tcPr>
            <w:tcW w:w="378" w:type="pct"/>
            <w:tcBorders>
              <w:top w:val="single" w:sz="4" w:space="0" w:color="auto"/>
              <w:left w:val="nil"/>
              <w:bottom w:val="single" w:sz="4" w:space="0" w:color="auto"/>
              <w:right w:val="nil"/>
            </w:tcBorders>
            <w:shd w:val="clear" w:color="auto" w:fill="auto"/>
            <w:noWrap/>
            <w:vAlign w:val="bottom"/>
            <w:hideMark/>
          </w:tcPr>
          <w:p w14:paraId="2245DBA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74.7</w:t>
            </w:r>
          </w:p>
        </w:tc>
        <w:tc>
          <w:tcPr>
            <w:tcW w:w="381" w:type="pct"/>
            <w:tcBorders>
              <w:top w:val="single" w:sz="4" w:space="0" w:color="auto"/>
              <w:left w:val="nil"/>
              <w:bottom w:val="single" w:sz="4" w:space="0" w:color="auto"/>
              <w:right w:val="nil"/>
            </w:tcBorders>
            <w:shd w:val="clear" w:color="auto" w:fill="auto"/>
            <w:noWrap/>
            <w:vAlign w:val="bottom"/>
            <w:hideMark/>
          </w:tcPr>
          <w:p w14:paraId="6D0915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16.73</w:t>
            </w:r>
          </w:p>
        </w:tc>
        <w:tc>
          <w:tcPr>
            <w:tcW w:w="378" w:type="pct"/>
            <w:tcBorders>
              <w:top w:val="single" w:sz="4" w:space="0" w:color="auto"/>
              <w:left w:val="nil"/>
              <w:bottom w:val="single" w:sz="4" w:space="0" w:color="auto"/>
              <w:right w:val="nil"/>
            </w:tcBorders>
            <w:shd w:val="clear" w:color="auto" w:fill="auto"/>
            <w:noWrap/>
            <w:vAlign w:val="bottom"/>
            <w:hideMark/>
          </w:tcPr>
          <w:p w14:paraId="107B421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{"citationID":"a22enb7hkdi","properties":{"formattedCitation":"[203]","plainCitation":"[203]","noteIndex":0},"citationItems":[{"id":192,"uris":["http://zotero.org/users/12909065/items/ZTATNHJ7"],"itemData":{"id":192,"type":"article-journal","abstract":"The ternary strategy has been widely demonstrated as an efficient and facile method to improve the performance of organic photovoltaics (OPVs). Besides employing commonly used relatively complex molecules or copolymers, developing cost-effective and simple third components with rational structure design and suitable modification also has great potential to construct ternary system with high power conversion efficiency (PCE), though it is challenging. Herein, we designed and synthesized a series of simple molecules BR-X (BR-RD, BR-OC8, and BR-C8) based on the benzo[1,2-b:4,5-b′]dithiophene core with the modification of side chains and end-groups as the third components to the host binary PM6:Y6 system for promoting the photovoltaic performance. The ternary system with the addition of BR-RD or BR-C8 demonstrated promoted molecular packing, facilitated exciton dissociation, and charge transportation with obvious suppression of carrier recombination. While BR-OC8 showed a limited role in the improvement of the above performance in its ternary blend. Further investigation indicates that BR-RD and BR-C8 are more inclined to mix with PM6 than Y6 and can be beneficial in the formation of larger pure Y6 domains than those with a binary system and reduced mixed-phase. Thus, ternary devices with BR-RD and BR-C8 achieve highest efficiencies of 17.49% and 17.28% with all simultaneously boosted photovoltaic parameters, respectively, while the ternary device with BR-OC8 exhibits less improvement in PCE compared to that of the host binary one (16.73% vs. 16.42%). This work not only provides an affordable strategy to improve the photovoltaic performance but also enriches the material abundance of novel simple third components to achieve highly efficient ternary OPVs. © 2023 The Royal Society of Chemistry.","archive":"Scopus","container-title":"Journal of Materials Chemistry C","DOI":"10.1039/d2tc05441h","ISSN":"2050-7534","issue":"8","language":"English","page":"2921-2929","source":"Scopus","title":"An efficient enhancement in organic photovoltaics by introducing simple-structured benzo[1,2-b:4,5-b′]dithiophene-based large-bandgap small molecules as the third component","title-short":"An efficient enhancement in organic photovoltaics by introducing simple-structured benzo[1,2-b","volume":"11","author":[{"family":"Feng","given":"H."},{"family":"Liu","given":"Z."},{"family":"Bao","given":"Y."},{"family":"Zhao","given":"B."},{"family":"Wu","given":"B."},{"family":"Bi","given":"Z."},{"family":"Wu","given":"W."},{"family":"Ma","given":"W."},{"family":"Gao","given":"C."}],"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[203]</w:t>
            </w:r>
            <w:r w:rsidRPr="00B55044">
              <w:rPr>
                <w:rFonts w:eastAsia="Times New Roman"/>
                <w:color w:val="0000FF"/>
                <w:sz w:val="16"/>
                <w:szCs w:val="16"/>
              </w:rPr>
              <w:fldChar w:fldCharType="end"/>
            </w:r>
          </w:p>
        </w:tc>
      </w:tr>
      <w:tr w:rsidR="00D47774" w:rsidRPr="00B55044" w14:paraId="4E6F401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767594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378</w:t>
            </w:r>
          </w:p>
        </w:tc>
        <w:tc>
          <w:tcPr>
            <w:tcW w:w="1525" w:type="pct"/>
            <w:tcBorders>
              <w:top w:val="single" w:sz="4" w:space="0" w:color="auto"/>
              <w:left w:val="nil"/>
              <w:bottom w:val="single" w:sz="4" w:space="0" w:color="auto"/>
              <w:right w:val="nil"/>
            </w:tcBorders>
            <w:shd w:val="clear" w:color="auto" w:fill="auto"/>
            <w:noWrap/>
            <w:vAlign w:val="bottom"/>
            <w:hideMark/>
          </w:tcPr>
          <w:p w14:paraId="22D7E35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ITO/PEDOT:PSS/AL/PDINO/Ag</w:t>
            </w:r>
          </w:p>
        </w:tc>
        <w:tc>
          <w:tcPr>
            <w:tcW w:w="1288" w:type="pct"/>
            <w:tcBorders>
              <w:top w:val="single" w:sz="4" w:space="0" w:color="auto"/>
              <w:left w:val="nil"/>
              <w:bottom w:val="single" w:sz="4" w:space="0" w:color="auto"/>
              <w:right w:val="nil"/>
            </w:tcBorders>
            <w:shd w:val="clear" w:color="auto" w:fill="auto"/>
            <w:noWrap/>
            <w:vAlign w:val="bottom"/>
            <w:hideMark/>
          </w:tcPr>
          <w:p w14:paraId="4F383F9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PM6:Y6:BR-C8</w:t>
            </w:r>
          </w:p>
        </w:tc>
        <w:tc>
          <w:tcPr>
            <w:tcW w:w="379" w:type="pct"/>
            <w:tcBorders>
              <w:top w:val="single" w:sz="4" w:space="0" w:color="auto"/>
              <w:left w:val="nil"/>
              <w:bottom w:val="single" w:sz="4" w:space="0" w:color="auto"/>
              <w:right w:val="nil"/>
            </w:tcBorders>
            <w:shd w:val="clear" w:color="auto" w:fill="auto"/>
            <w:noWrap/>
            <w:vAlign w:val="bottom"/>
            <w:hideMark/>
          </w:tcPr>
          <w:p w14:paraId="3BEC614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0.847</w:t>
            </w:r>
          </w:p>
        </w:tc>
        <w:tc>
          <w:tcPr>
            <w:tcW w:w="379" w:type="pct"/>
            <w:tcBorders>
              <w:top w:val="single" w:sz="4" w:space="0" w:color="auto"/>
              <w:left w:val="nil"/>
              <w:bottom w:val="single" w:sz="4" w:space="0" w:color="auto"/>
              <w:right w:val="nil"/>
            </w:tcBorders>
            <w:shd w:val="clear" w:color="auto" w:fill="auto"/>
            <w:noWrap/>
            <w:vAlign w:val="bottom"/>
            <w:hideMark/>
          </w:tcPr>
          <w:p w14:paraId="765D412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26.94</w:t>
            </w:r>
          </w:p>
        </w:tc>
        <w:tc>
          <w:tcPr>
            <w:tcW w:w="378" w:type="pct"/>
            <w:tcBorders>
              <w:top w:val="single" w:sz="4" w:space="0" w:color="auto"/>
              <w:left w:val="nil"/>
              <w:bottom w:val="single" w:sz="4" w:space="0" w:color="auto"/>
              <w:right w:val="nil"/>
            </w:tcBorders>
            <w:shd w:val="clear" w:color="auto" w:fill="auto"/>
            <w:noWrap/>
            <w:vAlign w:val="bottom"/>
            <w:hideMark/>
          </w:tcPr>
          <w:p w14:paraId="7298626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75.7</w:t>
            </w:r>
          </w:p>
        </w:tc>
        <w:tc>
          <w:tcPr>
            <w:tcW w:w="381" w:type="pct"/>
            <w:tcBorders>
              <w:top w:val="single" w:sz="4" w:space="0" w:color="auto"/>
              <w:left w:val="nil"/>
              <w:bottom w:val="single" w:sz="4" w:space="0" w:color="auto"/>
              <w:right w:val="nil"/>
            </w:tcBorders>
            <w:shd w:val="clear" w:color="auto" w:fill="auto"/>
            <w:noWrap/>
            <w:vAlign w:val="bottom"/>
            <w:hideMark/>
          </w:tcPr>
          <w:p w14:paraId="5B0329E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17.28</w:t>
            </w:r>
          </w:p>
        </w:tc>
        <w:tc>
          <w:tcPr>
            <w:tcW w:w="378" w:type="pct"/>
            <w:tcBorders>
              <w:top w:val="single" w:sz="4" w:space="0" w:color="auto"/>
              <w:left w:val="nil"/>
              <w:bottom w:val="single" w:sz="4" w:space="0" w:color="auto"/>
              <w:right w:val="nil"/>
            </w:tcBorders>
            <w:shd w:val="clear" w:color="auto" w:fill="auto"/>
            <w:noWrap/>
            <w:vAlign w:val="bottom"/>
            <w:hideMark/>
          </w:tcPr>
          <w:p w14:paraId="236AACA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{"citationID":"a2ml3jlo028","properties":{"formattedCitation":"[203]","plainCitation":"[203]","noteIndex":0},"citationItems":[{"id":192,"uris":["http://zotero.org/users/12909065/items/ZTATNHJ7"],"itemData":{"id":192,"type":"article-journal","abstract":"The ternary strategy has been widely demonstrated as an efficient and facile method to improve the performance of organic photovoltaics (OPVs). Besides employing commonly used relatively complex molecules or copolymers, developing cost-effective and simple third components with rational structure design and suitable modification also has great potential to construct ternary system with high power conversion efficiency (PCE), though it is challenging. Herein, we designed and synthesized a series of simple molecules BR-X (BR-RD, BR-OC8, and BR-C8) based on the benzo[1,2-b:4,5-b′]dithiophene core with the modification of side chains and end-groups as the third components to the host binary PM6:Y6 system for promoting the photovoltaic performance. The ternary system with the addition of BR-RD or BR-C8 demonstrated promoted molecular packing, facilitated exciton dissociation, and charge transportation with obvious suppression of carrier recombination. While BR-OC8 showed a limited role in the improvement of the above performance in its ternary blend. Further investigation indicates that BR-RD and BR-C8 are more inclined to mix with PM6 than Y6 and can be beneficial in the formation of larger pure Y6 domains than those with a binary system and reduced mixed-phase. Thus, ternary devices with BR-RD and BR-C8 achieve highest efficiencies of 17.49% and 17.28% with all simultaneously boosted photovoltaic parameters, respectively, while the ternary device with BR-OC8 exhibits less improvement in PCE compared to that of the host binary one (16.73% vs. 16.42%). This work not only provides an affordable strategy to improve the photovoltaic performance but also enriches the material abundance of novel simple third components to achieve highly efficient ternary OPVs. © 2023 The Royal Society of Chemistry.","archive":"Scopus","container-title":"Journal of Materials Chemistry C","DOI":"10.1039/d2tc05441h","ISSN":"2050-7534","issue":"8","language":"English","page":"2921-2929","source":"Scopus","title":"An efficient enhancement in organic photovoltaics by introducing simple-structured benzo[1,2-b:4,5-b′]dithiophene-based large-bandgap small molecules as the third component","title-short":"An efficient enhancement in organic photovoltaics by introducing simple-structured benzo[1,2-b","volume":"11","author":[{"family":"Feng","given":"H."},{"family":"Liu","given":"Z."},{"family":"Bao","given":"Y."},{"family":"Zhao","given":"B."},{"family":"Wu","given":"B."},{"family":"Bi","given":"Z."},{"family":"Wu","given":"W."},{"family":"Ma","given":"W."},{"family":"Gao","given":"C."}],"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[203]</w:t>
            </w:r>
            <w:r w:rsidRPr="00B55044">
              <w:rPr>
                <w:rFonts w:eastAsia="Times New Roman"/>
                <w:color w:val="0000FF"/>
                <w:sz w:val="16"/>
                <w:szCs w:val="16"/>
              </w:rPr>
              <w:fldChar w:fldCharType="end"/>
            </w:r>
          </w:p>
        </w:tc>
      </w:tr>
      <w:tr w:rsidR="00D47774" w:rsidRPr="00B55044" w14:paraId="348D6FF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CF9902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379</w:t>
            </w:r>
          </w:p>
        </w:tc>
        <w:tc>
          <w:tcPr>
            <w:tcW w:w="1525" w:type="pct"/>
            <w:tcBorders>
              <w:top w:val="single" w:sz="4" w:space="0" w:color="auto"/>
              <w:left w:val="nil"/>
              <w:bottom w:val="single" w:sz="4" w:space="0" w:color="auto"/>
              <w:right w:val="nil"/>
            </w:tcBorders>
            <w:shd w:val="clear" w:color="auto" w:fill="auto"/>
            <w:noWrap/>
            <w:vAlign w:val="bottom"/>
            <w:hideMark/>
          </w:tcPr>
          <w:p w14:paraId="2D1B5EE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0E1411F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PM6:PY-OD:PY-OBO</w:t>
            </w:r>
          </w:p>
        </w:tc>
        <w:tc>
          <w:tcPr>
            <w:tcW w:w="379" w:type="pct"/>
            <w:tcBorders>
              <w:top w:val="single" w:sz="4" w:space="0" w:color="auto"/>
              <w:left w:val="nil"/>
              <w:bottom w:val="single" w:sz="4" w:space="0" w:color="auto"/>
              <w:right w:val="nil"/>
            </w:tcBorders>
            <w:shd w:val="clear" w:color="auto" w:fill="auto"/>
            <w:noWrap/>
            <w:vAlign w:val="bottom"/>
            <w:hideMark/>
          </w:tcPr>
          <w:p w14:paraId="33011E7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0.969</w:t>
            </w:r>
          </w:p>
        </w:tc>
        <w:tc>
          <w:tcPr>
            <w:tcW w:w="379" w:type="pct"/>
            <w:tcBorders>
              <w:top w:val="single" w:sz="4" w:space="0" w:color="auto"/>
              <w:left w:val="nil"/>
              <w:bottom w:val="single" w:sz="4" w:space="0" w:color="auto"/>
              <w:right w:val="nil"/>
            </w:tcBorders>
            <w:shd w:val="clear" w:color="auto" w:fill="auto"/>
            <w:noWrap/>
            <w:vAlign w:val="bottom"/>
            <w:hideMark/>
          </w:tcPr>
          <w:p w14:paraId="4CFACC3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17.91</w:t>
            </w:r>
          </w:p>
        </w:tc>
        <w:tc>
          <w:tcPr>
            <w:tcW w:w="378" w:type="pct"/>
            <w:tcBorders>
              <w:top w:val="single" w:sz="4" w:space="0" w:color="auto"/>
              <w:left w:val="nil"/>
              <w:bottom w:val="single" w:sz="4" w:space="0" w:color="auto"/>
              <w:right w:val="nil"/>
            </w:tcBorders>
            <w:shd w:val="clear" w:color="auto" w:fill="auto"/>
            <w:noWrap/>
            <w:vAlign w:val="bottom"/>
            <w:hideMark/>
          </w:tcPr>
          <w:p w14:paraId="4C79460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47.5</w:t>
            </w:r>
          </w:p>
        </w:tc>
        <w:tc>
          <w:tcPr>
            <w:tcW w:w="381" w:type="pct"/>
            <w:tcBorders>
              <w:top w:val="single" w:sz="4" w:space="0" w:color="auto"/>
              <w:left w:val="nil"/>
              <w:bottom w:val="single" w:sz="4" w:space="0" w:color="auto"/>
              <w:right w:val="nil"/>
            </w:tcBorders>
            <w:shd w:val="clear" w:color="auto" w:fill="auto"/>
            <w:noWrap/>
            <w:vAlign w:val="bottom"/>
            <w:hideMark/>
          </w:tcPr>
          <w:p w14:paraId="6380518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8.6</w:t>
            </w:r>
          </w:p>
        </w:tc>
        <w:tc>
          <w:tcPr>
            <w:tcW w:w="378" w:type="pct"/>
            <w:tcBorders>
              <w:top w:val="single" w:sz="4" w:space="0" w:color="auto"/>
              <w:left w:val="nil"/>
              <w:bottom w:val="single" w:sz="4" w:space="0" w:color="auto"/>
              <w:right w:val="nil"/>
            </w:tcBorders>
            <w:shd w:val="clear" w:color="auto" w:fill="auto"/>
            <w:noWrap/>
            <w:vAlign w:val="bottom"/>
            <w:hideMark/>
          </w:tcPr>
          <w:p w14:paraId="4CC4CA3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{"citationID":"a128a1c0idm","properties":{"formattedCitation":"[204]","plainCitation":"[204]","noteIndex":0},"citationItems":[{"id":191,"uris":["http://zotero.org/users/12909065/items/L97LM9IV"],"itemData":{"id":191,"type":"article-journal","abstract":"A new terpolymer acceptor is presented, comprising various ratios of the same dithienothienopyrrolobenzothiadiazole (BTP) core with different side chains—alkoxy side chains (BTPO-IC) and alkyl side chains (BTP-IC)—and thiophene units, for use in all-polymer organic photovoltaics. Devices incorporating binary blends of this terpolymer and the polymer PM6 as the active layer displayed open-circuit voltages (VOC) that increase linearly upon increasing the molar ratio of BTPO-IC. For example, the optimized device incorporating PM6:PY-0.2OBO (i.e., with 20 mol% of BTPO-IC) (1:1.2 wt.%) blend, with the smallest domain sizes but largest coherence length and combined face-on and edge-on orientation fractions among all blends, have a champion power conversion efficiency (PCE) of 16.7% (VOC = 0.97 V; JSC = 25.2 mA cm−2; FF = 0.68), whereas the device containing a similar blend ratio of the PM6:PY-OD:PY-OBO ternary blend (1:0.96:0.24 wt.%) displayed a PCE of 8.6% (VOC = 0.969 V; JSC = 18.7 mA cm−2; FF = 0.48). The device with PM6:PY-0.2OBO displays better thermal stability than the devices with PM6: PY-OD or PY-OBO. Thus, employing terpolymer acceptors with differently functionalized side-chain units can be an effective approach for simultaneously optimizing the aggregation domain and enhancing the PCEs and thermal stabilities of all-polymer devices. © 2023 Wiley-VCH GmbH.","archive":"Scopus","container-title":"Advanced Functional Materials","DOI":"10.1002/adfm.202215095","ISSN":"1616-301X","issue":"26","language":"English","source":"Scopus","title":"Alkoxy- and Alkyl-Side-Chain-Functionalized Terpolymer Acceptors for All-Polymer Photovoltaics Delivering High Open-Circuit Voltages and Efficiencies","volume":"33","author":[{"family":"Lin","given":"Y.-C."},{"family":"Chen","given":"C.-H."},{"family":"Tsai","given":"B.-S."},{"family":"Hsueh","given":"T.-F."},{"family":"Tsao","given":"C.-S."},{"family":"Tan","given":"S."},{"family":"Chang","given":"B."},{"family":"Chang","given":"Y.-N."},{"family":"Chu","given":"T.-Y."},{"family":"Tsai","given":"C.-E."},{"family":"Chen","given":"C.-S."},{"family":"Yang","given":"Y."},{"family":"Wei","given":"K.-H."}],"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[204]</w:t>
            </w:r>
            <w:r w:rsidRPr="00B55044">
              <w:rPr>
                <w:rFonts w:eastAsia="Times New Roman"/>
                <w:color w:val="0000FF"/>
                <w:sz w:val="16"/>
                <w:szCs w:val="16"/>
              </w:rPr>
              <w:fldChar w:fldCharType="end"/>
            </w:r>
          </w:p>
        </w:tc>
      </w:tr>
      <w:tr w:rsidR="00D47774" w:rsidRPr="00B55044" w14:paraId="5144997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10D89C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380</w:t>
            </w:r>
          </w:p>
        </w:tc>
        <w:tc>
          <w:tcPr>
            <w:tcW w:w="1525" w:type="pct"/>
            <w:tcBorders>
              <w:top w:val="single" w:sz="4" w:space="0" w:color="auto"/>
              <w:left w:val="nil"/>
              <w:bottom w:val="single" w:sz="4" w:space="0" w:color="auto"/>
              <w:right w:val="nil"/>
            </w:tcBorders>
            <w:shd w:val="clear" w:color="auto" w:fill="auto"/>
            <w:noWrap/>
            <w:vAlign w:val="bottom"/>
            <w:hideMark/>
          </w:tcPr>
          <w:p w14:paraId="6F6CA8A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36901D4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PM6:BTPO-F:BTPO-NF</w:t>
            </w:r>
          </w:p>
        </w:tc>
        <w:tc>
          <w:tcPr>
            <w:tcW w:w="379" w:type="pct"/>
            <w:tcBorders>
              <w:top w:val="single" w:sz="4" w:space="0" w:color="auto"/>
              <w:left w:val="nil"/>
              <w:bottom w:val="single" w:sz="4" w:space="0" w:color="auto"/>
              <w:right w:val="nil"/>
            </w:tcBorders>
            <w:shd w:val="clear" w:color="auto" w:fill="auto"/>
            <w:noWrap/>
            <w:vAlign w:val="bottom"/>
            <w:hideMark/>
          </w:tcPr>
          <w:p w14:paraId="51C05FF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0.971</w:t>
            </w:r>
          </w:p>
        </w:tc>
        <w:tc>
          <w:tcPr>
            <w:tcW w:w="379" w:type="pct"/>
            <w:tcBorders>
              <w:top w:val="single" w:sz="4" w:space="0" w:color="auto"/>
              <w:left w:val="nil"/>
              <w:bottom w:val="single" w:sz="4" w:space="0" w:color="auto"/>
              <w:right w:val="nil"/>
            </w:tcBorders>
            <w:shd w:val="clear" w:color="auto" w:fill="auto"/>
            <w:noWrap/>
            <w:vAlign w:val="bottom"/>
            <w:hideMark/>
          </w:tcPr>
          <w:p w14:paraId="5C2DAC5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23.29</w:t>
            </w:r>
          </w:p>
        </w:tc>
        <w:tc>
          <w:tcPr>
            <w:tcW w:w="378" w:type="pct"/>
            <w:tcBorders>
              <w:top w:val="single" w:sz="4" w:space="0" w:color="auto"/>
              <w:left w:val="nil"/>
              <w:bottom w:val="single" w:sz="4" w:space="0" w:color="auto"/>
              <w:right w:val="nil"/>
            </w:tcBorders>
            <w:shd w:val="clear" w:color="auto" w:fill="auto"/>
            <w:noWrap/>
            <w:vAlign w:val="bottom"/>
            <w:hideMark/>
          </w:tcPr>
          <w:p w14:paraId="5F3A69B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79.6</w:t>
            </w:r>
          </w:p>
        </w:tc>
        <w:tc>
          <w:tcPr>
            <w:tcW w:w="381" w:type="pct"/>
            <w:tcBorders>
              <w:top w:val="single" w:sz="4" w:space="0" w:color="auto"/>
              <w:left w:val="nil"/>
              <w:bottom w:val="single" w:sz="4" w:space="0" w:color="auto"/>
              <w:right w:val="nil"/>
            </w:tcBorders>
            <w:shd w:val="clear" w:color="auto" w:fill="auto"/>
            <w:noWrap/>
            <w:vAlign w:val="bottom"/>
            <w:hideMark/>
          </w:tcPr>
          <w:p w14:paraId="5EF75E7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w:t>
            </w:r>
          </w:p>
        </w:tc>
        <w:tc>
          <w:tcPr>
            <w:tcW w:w="378" w:type="pct"/>
            <w:tcBorders>
              <w:top w:val="single" w:sz="4" w:space="0" w:color="auto"/>
              <w:left w:val="nil"/>
              <w:bottom w:val="single" w:sz="4" w:space="0" w:color="auto"/>
              <w:right w:val="nil"/>
            </w:tcBorders>
            <w:shd w:val="clear" w:color="auto" w:fill="auto"/>
            <w:noWrap/>
            <w:vAlign w:val="bottom"/>
            <w:hideMark/>
          </w:tcPr>
          <w:p w14:paraId="52EFB6C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{"citationID":"a1vj2punddh","properties":{"formattedCitation":"[205]","plainCitation":"[205]","noteIndex":0},"citationItems":[{"id":190,"uris":["http://zotero.org/users/12909065/items/PDDKI9FS"],"itemData":{"id":190,"type":"article-journal","abstract":"Binary acceptor alloys based on two A′′-D′A′D′-A′′ small-molecule acceptors having the same core structures and side chains but different conjugation end groups, namely, BTPO-NF and BTPO-F were synthesized and blended with the polymer PM6 for forming ternary blends of organic photovoltaics (OPVs) displaying high open-circuit voltages (VOC), power conversion efficiencies (PCEs), and stability. Both BTPO-NF and BTPO-F possessed the same alkoxy chains, which increased the energies of their lowest unoccupied molecular orbitals (LUMOs) and mutual miscibility. After varying the amount of the two acceptor ratios in the ternary-blend system, we found that the optimum device performance could be achieved in the case of alloy acceptors with one major (BTPO-NF) and one minor (BTPO-F) acceptor component; the PM6:BTPO-NF:BTPO-F (1 : 1 : 0.2 wt) ternary-blend device provided the highest PCE of 18.0% with a high VOC of 0.97 V, with the PM6:BTPO-NF and PM6:BTPO-F (1 : 1.2 wt) devices displaying PCEs of 17.11% and 16.23, respectively. The enhancement in the PCE value of the PM6:BTPO-NF:BTPO-F (1 : 1 : 0.2 wt) ternary-blend device resulted from the increase in the photocurrent of the device with the optimized active layer morphology induced by the alloy acceptor structures as compared to that of the binary-blend devices. Thus, the strategy of molecular engineering of two acceptors with the same core and side chains for increasing their mutual miscibility but different degrees of conjugation for broadening the light absorption allowed the formation of binary acceptor alloys with disparite ratios, laying the foundation for the pursuit of OPVs with high values of VOC, high PCEs, and high stabilities. © 2022 The Royal Society of Chemistry.","archive":"Scopus","container-title":"Journal of Materials Chemistry A","DOI":"10.1039/d2ta04800k","ISSN":"2050-7488","issue":"43","language":"English","page":"23037-23046","source":"Scopus","title":"Binary alloy of functionalized small-molecule acceptors with the A-DA′D-A structure for ternary-blend photovoltaics displaying high open-circuit voltages and efficiencies","volume":"10","author":[{"family":"Lin","given":"Y.-C."},{"family":"Chen","given":"C.-H."},{"family":"Lin","given":"H."},{"family":"Li","given":"M.-H."},{"family":"Chang","given":"B."},{"family":"Hsueh","given":"T.-F."},{"family":"Tsai","given":"B.-."},{"family":"Yang","given":"Y."},{"family":"Wei","given":"K.-H."}],"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[205]</w:t>
            </w:r>
            <w:r w:rsidRPr="00B55044">
              <w:rPr>
                <w:rFonts w:eastAsia="Times New Roman"/>
                <w:color w:val="0000FF"/>
                <w:sz w:val="16"/>
                <w:szCs w:val="16"/>
              </w:rPr>
              <w:fldChar w:fldCharType="end"/>
            </w:r>
          </w:p>
        </w:tc>
      </w:tr>
      <w:tr w:rsidR="00D47774" w:rsidRPr="00B55044" w14:paraId="0BE94EB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FC0062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381</w:t>
            </w:r>
          </w:p>
        </w:tc>
        <w:tc>
          <w:tcPr>
            <w:tcW w:w="1525" w:type="pct"/>
            <w:tcBorders>
              <w:top w:val="single" w:sz="4" w:space="0" w:color="auto"/>
              <w:left w:val="nil"/>
              <w:bottom w:val="single" w:sz="4" w:space="0" w:color="auto"/>
              <w:right w:val="nil"/>
            </w:tcBorders>
            <w:shd w:val="clear" w:color="auto" w:fill="auto"/>
            <w:noWrap/>
            <w:vAlign w:val="bottom"/>
            <w:hideMark/>
          </w:tcPr>
          <w:p w14:paraId="14B9E30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ITO/ZnO/AL/V</w:t>
            </w:r>
            <w:r w:rsidRPr="00B55044">
              <w:rPr>
                <w:rFonts w:eastAsia="Times New Roman"/>
                <w:sz w:val="16"/>
                <w:szCs w:val="16"/>
                <w:vertAlign w:val="subscript"/>
              </w:rPr>
              <w:t>2</w:t>
            </w:r>
            <w:r w:rsidRPr="00B55044">
              <w:rPr>
                <w:rFonts w:eastAsia="Times New Roman"/>
                <w:sz w:val="16"/>
                <w:szCs w:val="16"/>
              </w:rPr>
              <w:t>O</w:t>
            </w:r>
            <w:r w:rsidRPr="00B55044">
              <w:rPr>
                <w:rFonts w:eastAsia="Times New Roman"/>
                <w:sz w:val="16"/>
                <w:szCs w:val="16"/>
                <w:vertAlign w:val="subscript"/>
              </w:rPr>
              <w:t>5</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3A479F5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PM6:Y7:PC70BM</w:t>
            </w:r>
          </w:p>
        </w:tc>
        <w:tc>
          <w:tcPr>
            <w:tcW w:w="379" w:type="pct"/>
            <w:tcBorders>
              <w:top w:val="single" w:sz="4" w:space="0" w:color="auto"/>
              <w:left w:val="nil"/>
              <w:bottom w:val="single" w:sz="4" w:space="0" w:color="auto"/>
              <w:right w:val="nil"/>
            </w:tcBorders>
            <w:shd w:val="clear" w:color="auto" w:fill="auto"/>
            <w:noWrap/>
            <w:vAlign w:val="bottom"/>
            <w:hideMark/>
          </w:tcPr>
          <w:p w14:paraId="68B7D87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0.73</w:t>
            </w:r>
          </w:p>
        </w:tc>
        <w:tc>
          <w:tcPr>
            <w:tcW w:w="379" w:type="pct"/>
            <w:tcBorders>
              <w:top w:val="single" w:sz="4" w:space="0" w:color="auto"/>
              <w:left w:val="nil"/>
              <w:bottom w:val="single" w:sz="4" w:space="0" w:color="auto"/>
              <w:right w:val="nil"/>
            </w:tcBorders>
            <w:shd w:val="clear" w:color="auto" w:fill="auto"/>
            <w:noWrap/>
            <w:vAlign w:val="bottom"/>
            <w:hideMark/>
          </w:tcPr>
          <w:p w14:paraId="6FF8389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23.54</w:t>
            </w:r>
          </w:p>
        </w:tc>
        <w:tc>
          <w:tcPr>
            <w:tcW w:w="378" w:type="pct"/>
            <w:tcBorders>
              <w:top w:val="single" w:sz="4" w:space="0" w:color="auto"/>
              <w:left w:val="nil"/>
              <w:bottom w:val="single" w:sz="4" w:space="0" w:color="auto"/>
              <w:right w:val="nil"/>
            </w:tcBorders>
            <w:shd w:val="clear" w:color="auto" w:fill="auto"/>
            <w:noWrap/>
            <w:vAlign w:val="bottom"/>
            <w:hideMark/>
          </w:tcPr>
          <w:p w14:paraId="20A050F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66</w:t>
            </w:r>
          </w:p>
        </w:tc>
        <w:tc>
          <w:tcPr>
            <w:tcW w:w="381" w:type="pct"/>
            <w:tcBorders>
              <w:top w:val="single" w:sz="4" w:space="0" w:color="auto"/>
              <w:left w:val="nil"/>
              <w:bottom w:val="single" w:sz="4" w:space="0" w:color="auto"/>
              <w:right w:val="nil"/>
            </w:tcBorders>
            <w:shd w:val="clear" w:color="auto" w:fill="auto"/>
            <w:noWrap/>
            <w:vAlign w:val="bottom"/>
            <w:hideMark/>
          </w:tcPr>
          <w:p w14:paraId="414E4E6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11.71</w:t>
            </w:r>
          </w:p>
        </w:tc>
        <w:tc>
          <w:tcPr>
            <w:tcW w:w="378" w:type="pct"/>
            <w:tcBorders>
              <w:top w:val="single" w:sz="4" w:space="0" w:color="auto"/>
              <w:left w:val="nil"/>
              <w:bottom w:val="single" w:sz="4" w:space="0" w:color="auto"/>
              <w:right w:val="nil"/>
            </w:tcBorders>
            <w:shd w:val="clear" w:color="auto" w:fill="auto"/>
            <w:noWrap/>
            <w:vAlign w:val="bottom"/>
            <w:hideMark/>
          </w:tcPr>
          <w:p w14:paraId="74235E6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{"citationID":"a23ncdu6tc8","properties":{"formattedCitation":"[206]","plainCitation":"[206]","noteIndex":0},"citationItems":[{"id":189,"uris":["http://zotero.org/users/12909065/items/PG9E3FYL"],"itemData":{"id":189,"type":"article-journal","abstract":"Fine tuning of blend morphology is a key factor that limits the performance of the bulk-heterojunction organic photovoltaics (BHJ-OPVs). Herein, the morphological control of the binary (PM6:Y7) and ternary (PM6:Y7:PC70BM) blends is conducted through 1-chloronaphthalene (CN) solvent additive and thermal annealing (TA) treatment with respect to their influence on the photovoltaic performance. Moreover, a distinct study is accomplished on the optical and electronic properties of the treated and nontreated binary and ternary devices by external quantum efficiency measurements and impedance spectroscopy. The results indicate that these treatments affect the performance of the binary and ternary OPVs differently. Regarding the 2% CN addition, the current density of the binary devices is improved by ≈27%, whereas the fill factor of the ternary devices shows a pronounced increment of ≈22%. A contradictory behavior is exhibited by TA for the binary and ternary OPVs. The PCEs for binary devices (with/without CN) and 2% CN-treated ternary ones are improved, while diminishing the PCEs of the ternary ones with 0% CN. Accordingly, the highest efficiencies of the binary and ternary OPVs are obtained due to the dual effect of 2% CN solvent additive along with the TA treatments. © 2021 The Authors. Solar RRL published by Wiley-VCH GmbH.","archive":"Scopus","container-title":"Solar RRL","DOI":"10.1002/solr.202100480","ISSN":"2367-198X","issue":"5","language":"English","source":"Scopus","title":"Effect of Additives and Annealing on the Performance of Nonfullerene-Based Binary and Ternary Organic Photovoltaics","volume":"6","author":[{"family":"Moustafa","given":"E."},{"family":"Torimtubun","given":"A.A.A."},{"family":"Pallarès","given":"J."},{"family":"Marsal","given":"L.F."}],"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[206]</w:t>
            </w:r>
            <w:r w:rsidRPr="00B55044">
              <w:rPr>
                <w:rFonts w:eastAsia="Times New Roman"/>
                <w:color w:val="0000FF"/>
                <w:sz w:val="16"/>
                <w:szCs w:val="16"/>
              </w:rPr>
              <w:fldChar w:fldCharType="end"/>
            </w:r>
          </w:p>
        </w:tc>
      </w:tr>
      <w:tr w:rsidR="00D47774" w:rsidRPr="00B55044" w14:paraId="523B175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07E80D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382</w:t>
            </w:r>
          </w:p>
        </w:tc>
        <w:tc>
          <w:tcPr>
            <w:tcW w:w="1525" w:type="pct"/>
            <w:tcBorders>
              <w:top w:val="single" w:sz="4" w:space="0" w:color="auto"/>
              <w:left w:val="nil"/>
              <w:bottom w:val="single" w:sz="4" w:space="0" w:color="auto"/>
              <w:right w:val="nil"/>
            </w:tcBorders>
            <w:shd w:val="clear" w:color="auto" w:fill="auto"/>
            <w:noWrap/>
            <w:vAlign w:val="bottom"/>
            <w:hideMark/>
          </w:tcPr>
          <w:p w14:paraId="6021FD0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ITO/AL/PNDIT-F3N/Ag/LiF/MoO</w:t>
            </w:r>
            <w:r w:rsidRPr="00B55044">
              <w:rPr>
                <w:rFonts w:eastAsia="Times New Roman"/>
                <w:sz w:val="16"/>
                <w:szCs w:val="16"/>
                <w:vertAlign w:val="subscript"/>
              </w:rPr>
              <w:t>3</w:t>
            </w:r>
          </w:p>
        </w:tc>
        <w:tc>
          <w:tcPr>
            <w:tcW w:w="1288" w:type="pct"/>
            <w:tcBorders>
              <w:top w:val="single" w:sz="4" w:space="0" w:color="auto"/>
              <w:left w:val="nil"/>
              <w:bottom w:val="single" w:sz="4" w:space="0" w:color="auto"/>
              <w:right w:val="nil"/>
            </w:tcBorders>
            <w:shd w:val="clear" w:color="auto" w:fill="auto"/>
            <w:noWrap/>
            <w:vAlign w:val="bottom"/>
            <w:hideMark/>
          </w:tcPr>
          <w:p w14:paraId="12F469C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PM6-Ir1:BTP-eC9:PC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458AE3A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0.863</w:t>
            </w:r>
          </w:p>
        </w:tc>
        <w:tc>
          <w:tcPr>
            <w:tcW w:w="379" w:type="pct"/>
            <w:tcBorders>
              <w:top w:val="single" w:sz="4" w:space="0" w:color="auto"/>
              <w:left w:val="nil"/>
              <w:bottom w:val="single" w:sz="4" w:space="0" w:color="auto"/>
              <w:right w:val="nil"/>
            </w:tcBorders>
            <w:shd w:val="clear" w:color="auto" w:fill="auto"/>
            <w:noWrap/>
            <w:vAlign w:val="bottom"/>
            <w:hideMark/>
          </w:tcPr>
          <w:p w14:paraId="7C4BD7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27.8</w:t>
            </w:r>
          </w:p>
        </w:tc>
        <w:tc>
          <w:tcPr>
            <w:tcW w:w="378" w:type="pct"/>
            <w:tcBorders>
              <w:top w:val="single" w:sz="4" w:space="0" w:color="auto"/>
              <w:left w:val="nil"/>
              <w:bottom w:val="single" w:sz="4" w:space="0" w:color="auto"/>
              <w:right w:val="nil"/>
            </w:tcBorders>
            <w:shd w:val="clear" w:color="auto" w:fill="auto"/>
            <w:noWrap/>
            <w:vAlign w:val="bottom"/>
            <w:hideMark/>
          </w:tcPr>
          <w:p w14:paraId="0487059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76.31</w:t>
            </w:r>
          </w:p>
        </w:tc>
        <w:tc>
          <w:tcPr>
            <w:tcW w:w="381" w:type="pct"/>
            <w:tcBorders>
              <w:top w:val="single" w:sz="4" w:space="0" w:color="auto"/>
              <w:left w:val="nil"/>
              <w:bottom w:val="single" w:sz="4" w:space="0" w:color="auto"/>
              <w:right w:val="nil"/>
            </w:tcBorders>
            <w:shd w:val="clear" w:color="auto" w:fill="auto"/>
            <w:noWrap/>
            <w:vAlign w:val="bottom"/>
            <w:hideMark/>
          </w:tcPr>
          <w:p w14:paraId="4AED435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18.31</w:t>
            </w:r>
          </w:p>
        </w:tc>
        <w:tc>
          <w:tcPr>
            <w:tcW w:w="378" w:type="pct"/>
            <w:tcBorders>
              <w:top w:val="single" w:sz="4" w:space="0" w:color="auto"/>
              <w:left w:val="nil"/>
              <w:bottom w:val="single" w:sz="4" w:space="0" w:color="auto"/>
              <w:right w:val="nil"/>
            </w:tcBorders>
            <w:shd w:val="clear" w:color="auto" w:fill="auto"/>
            <w:noWrap/>
            <w:vAlign w:val="bottom"/>
            <w:hideMark/>
          </w:tcPr>
          <w:p w14:paraId="0B3D859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{"citationID":"a2d9vpaua4q","properties":{"formattedCitation":"[207]","plainCitation":"[207]","noteIndex":0},"citationItems":[{"id":188,"uris":["http://zotero.org/users/12909065/items/UQIWDEP9"],"itemData":{"id":188,"type":"article-journal","abstract":"Power conversion efficiency (PCE) and color rendering index (CRI) are two important parameters for realizing the potential application of semitransparent organic photovoltaics (ST-OPVs) into the field of building-integrated photovoltaics (BIPVs). Herein, to extend the PCE limit while showing desirable neutral-colored perception, formally in a trade-off relationship, of ST-OPVs, new ternary photoactive layers composed of polymer donor PM6-Ir1, non-fullerene acceptor BTP-eC9, and fullerene acceptor PC71BM as the third component are employed, which are effective to improve opaque device efficiency while modulating CRI in relevant ternary blends. Furthermore, multifunctional ST-OPVs are realized via simultaneously optimizing the content of PC71BM in acceptors and employing a simple photonic reflector, leading to not only excellent neutral color perception with a CRI of 96.5 but also a PCE of 14.09% with an average visible transmittance higher than 20%. Vivid backgrounds can be clearly seen through the 1-DBR-based ternary ST-OPVs. Overall, these results represent the best-performing multifunctional ST-OPVs, and this synergistic effect can pave the road for ST-OPVs as promising BIPVs of high device performance and good color neutrality. © 2022 Wiley-VCH GmbH.","archive":"Scopus","container-title":"Advanced Functional Materials","DOI":"10.1002/adfm.202200107","ISSN":"1616-301X","issue":"22","language":"English","source":"Scopus","title":"Simultaneous Enhanced Device Efficiency and Color Neutrality in Semitransparent Organic Photovoltaics Employing a Synergy of Ternary Strategy and Optical Engineering","volume":"32","author":[{"family":"Yuan","given":"X."},{"family":"Sun","given":"R."},{"family":"Wu","given":"Y."},{"family":"Wang","given":"T."},{"family":"Wang","given":"Y."},{"family":"Wang","given":"W."},{"family":"Yu","given":"Y."},{"family":"Guo","given":"J."},{"family":"Wu","given":"Q."},{"family":"Min","given":"J."}],"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[207]</w:t>
            </w:r>
            <w:r w:rsidRPr="00B55044">
              <w:rPr>
                <w:rFonts w:eastAsia="Times New Roman"/>
                <w:color w:val="0000FF"/>
                <w:sz w:val="16"/>
                <w:szCs w:val="16"/>
              </w:rPr>
              <w:fldChar w:fldCharType="end"/>
            </w:r>
          </w:p>
        </w:tc>
      </w:tr>
      <w:tr w:rsidR="00D47774" w:rsidRPr="00B55044" w14:paraId="4D5E9CA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FFC7AB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383</w:t>
            </w:r>
          </w:p>
        </w:tc>
        <w:tc>
          <w:tcPr>
            <w:tcW w:w="1525" w:type="pct"/>
            <w:tcBorders>
              <w:top w:val="single" w:sz="4" w:space="0" w:color="auto"/>
              <w:left w:val="nil"/>
              <w:bottom w:val="single" w:sz="4" w:space="0" w:color="auto"/>
              <w:right w:val="nil"/>
            </w:tcBorders>
            <w:shd w:val="clear" w:color="auto" w:fill="auto"/>
            <w:noWrap/>
            <w:vAlign w:val="bottom"/>
            <w:hideMark/>
          </w:tcPr>
          <w:p w14:paraId="53FCAB3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ITO/PEDOT:PSS/AL/PDINO/Ag</w:t>
            </w:r>
          </w:p>
        </w:tc>
        <w:tc>
          <w:tcPr>
            <w:tcW w:w="1288" w:type="pct"/>
            <w:tcBorders>
              <w:top w:val="single" w:sz="4" w:space="0" w:color="auto"/>
              <w:left w:val="nil"/>
              <w:bottom w:val="single" w:sz="4" w:space="0" w:color="auto"/>
              <w:right w:val="nil"/>
            </w:tcBorders>
            <w:shd w:val="clear" w:color="auto" w:fill="auto"/>
            <w:noWrap/>
            <w:vAlign w:val="bottom"/>
            <w:hideMark/>
          </w:tcPr>
          <w:p w14:paraId="1F40B2E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PM6:Y6:BR1</w:t>
            </w:r>
          </w:p>
        </w:tc>
        <w:tc>
          <w:tcPr>
            <w:tcW w:w="379" w:type="pct"/>
            <w:tcBorders>
              <w:top w:val="single" w:sz="4" w:space="0" w:color="auto"/>
              <w:left w:val="nil"/>
              <w:bottom w:val="single" w:sz="4" w:space="0" w:color="auto"/>
              <w:right w:val="nil"/>
            </w:tcBorders>
            <w:shd w:val="clear" w:color="auto" w:fill="auto"/>
            <w:noWrap/>
            <w:vAlign w:val="bottom"/>
            <w:hideMark/>
          </w:tcPr>
          <w:p w14:paraId="101AEBB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0.859</w:t>
            </w:r>
          </w:p>
        </w:tc>
        <w:tc>
          <w:tcPr>
            <w:tcW w:w="379" w:type="pct"/>
            <w:tcBorders>
              <w:top w:val="single" w:sz="4" w:space="0" w:color="auto"/>
              <w:left w:val="nil"/>
              <w:bottom w:val="single" w:sz="4" w:space="0" w:color="auto"/>
              <w:right w:val="nil"/>
            </w:tcBorders>
            <w:shd w:val="clear" w:color="auto" w:fill="auto"/>
            <w:noWrap/>
            <w:vAlign w:val="bottom"/>
            <w:hideMark/>
          </w:tcPr>
          <w:p w14:paraId="73D1384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26.49</w:t>
            </w:r>
          </w:p>
        </w:tc>
        <w:tc>
          <w:tcPr>
            <w:tcW w:w="378" w:type="pct"/>
            <w:tcBorders>
              <w:top w:val="single" w:sz="4" w:space="0" w:color="auto"/>
              <w:left w:val="nil"/>
              <w:bottom w:val="single" w:sz="4" w:space="0" w:color="auto"/>
              <w:right w:val="nil"/>
            </w:tcBorders>
            <w:shd w:val="clear" w:color="auto" w:fill="auto"/>
            <w:noWrap/>
            <w:vAlign w:val="bottom"/>
            <w:hideMark/>
          </w:tcPr>
          <w:p w14:paraId="3C69A8A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75.7</w:t>
            </w:r>
          </w:p>
        </w:tc>
        <w:tc>
          <w:tcPr>
            <w:tcW w:w="381" w:type="pct"/>
            <w:tcBorders>
              <w:top w:val="single" w:sz="4" w:space="0" w:color="auto"/>
              <w:left w:val="nil"/>
              <w:bottom w:val="single" w:sz="4" w:space="0" w:color="auto"/>
              <w:right w:val="nil"/>
            </w:tcBorders>
            <w:shd w:val="clear" w:color="auto" w:fill="auto"/>
            <w:noWrap/>
            <w:vAlign w:val="bottom"/>
            <w:hideMark/>
          </w:tcPr>
          <w:p w14:paraId="3C770D6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17.23</w:t>
            </w:r>
          </w:p>
        </w:tc>
        <w:tc>
          <w:tcPr>
            <w:tcW w:w="378" w:type="pct"/>
            <w:tcBorders>
              <w:top w:val="single" w:sz="4" w:space="0" w:color="auto"/>
              <w:left w:val="nil"/>
              <w:bottom w:val="single" w:sz="4" w:space="0" w:color="auto"/>
              <w:right w:val="nil"/>
            </w:tcBorders>
            <w:shd w:val="clear" w:color="auto" w:fill="auto"/>
            <w:noWrap/>
            <w:vAlign w:val="bottom"/>
            <w:hideMark/>
          </w:tcPr>
          <w:p w14:paraId="3E4A8F0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{"citationID":"a2g33b6jq77","properties":{"formattedCitation":"[208]","plainCitation":"[208]","noteIndex":0},"citationItems":[{"id":187,"uris":["http://zotero.org/users/12909065/items/9TCIQMBL"],"itemData":{"id":187,"type":"article-journal","abstract":"Ternary strategy is one of the most effective methods to further boost the power conversion efficiency (PCE) of organic photovoltaic cells (OPVs). In terms of high-efficiency PM6:Y6 binary systems, there is still room to further reduce energy loss (Eloss) through regulating molecular packing and aggregation by introducing a third component in the construction of ternary OPVs. Here we introduce a simple molecule BR1 based on an acceptor-donor-acceptor (A-D-A) structure with a wide bandgap and high crystallinity into PM6:Y6-based OPVs. It is proved that BR1 can be selectively dispersed into the donor phase in the PM6:Y6 and reduce disorder in the ternary blends, thus resulting in lower Eloss, non-rad and Eloss. Furthermore, the mechanism study reveals well-develop phase separation morphology and complemented absorption spectra in the ternary blends, leading to higher charge mobility, suppressed recombination, which concurrently contributes to the significantly improved PCE of 17.23% for the ternary system compared with the binary ones (16.21%). This work provides an effective approach to improve the performance of the PM6:Y6-based OPVs by adopting a ternary strategy with a simple molecule as the third component. [Figure not available: see fulltext.] © 2021, Tsinghua University Press and Springer-Verlag GmbH Germany, part of Springer Nature.","archive":"Scopus","container-title":"Nano Research","DOI":"10.1007/s12274-021-3945-3","ISSN":"1998-0124","issue":"4","language":"English","page":"3222-3229","source":"Scopus","title":"Exploring ternary organic photovoltaics for the reduced nonradiative recombination and improved efficiency over 17.23% with a simple large-bandgap small molecular third component","volume":"15","author":[{"family":"Feng","given":"H."},{"family":"Dai","given":"Y."},{"family":"Guo","given":"L."},{"family":"Wang","given":"D."},{"family":"Dong","given":"H."},{"family":"Liu","given":"Z."},{"family":"Zhang","given":"L."},{"family":"Zhu","given":"Y."},{"family":"Su","given":"C."},{"family":"Chen","given":"Y."},{"family":"Wu","given":"W."}],"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[208]</w:t>
            </w:r>
            <w:r w:rsidRPr="00B55044">
              <w:rPr>
                <w:rFonts w:eastAsia="Times New Roman"/>
                <w:color w:val="0000FF"/>
                <w:sz w:val="16"/>
                <w:szCs w:val="16"/>
              </w:rPr>
              <w:fldChar w:fldCharType="end"/>
            </w:r>
          </w:p>
        </w:tc>
      </w:tr>
      <w:tr w:rsidR="00D47774" w:rsidRPr="00B55044" w14:paraId="2278AF8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1AC454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384</w:t>
            </w:r>
          </w:p>
        </w:tc>
        <w:tc>
          <w:tcPr>
            <w:tcW w:w="1525" w:type="pct"/>
            <w:tcBorders>
              <w:top w:val="single" w:sz="4" w:space="0" w:color="auto"/>
              <w:left w:val="nil"/>
              <w:bottom w:val="single" w:sz="4" w:space="0" w:color="auto"/>
              <w:right w:val="nil"/>
            </w:tcBorders>
            <w:shd w:val="clear" w:color="auto" w:fill="auto"/>
            <w:noWrap/>
            <w:vAlign w:val="bottom"/>
            <w:hideMark/>
          </w:tcPr>
          <w:p w14:paraId="08E983E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ITO/PEDOT:PSS/AL/PDIN/Ag</w:t>
            </w:r>
          </w:p>
        </w:tc>
        <w:tc>
          <w:tcPr>
            <w:tcW w:w="1288" w:type="pct"/>
            <w:tcBorders>
              <w:top w:val="single" w:sz="4" w:space="0" w:color="auto"/>
              <w:left w:val="nil"/>
              <w:bottom w:val="single" w:sz="4" w:space="0" w:color="auto"/>
              <w:right w:val="nil"/>
            </w:tcBorders>
            <w:shd w:val="clear" w:color="auto" w:fill="auto"/>
            <w:noWrap/>
            <w:vAlign w:val="bottom"/>
            <w:hideMark/>
          </w:tcPr>
          <w:p w14:paraId="01757AE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PM6:M36:MQ5 (10%)</w:t>
            </w:r>
          </w:p>
        </w:tc>
        <w:tc>
          <w:tcPr>
            <w:tcW w:w="379" w:type="pct"/>
            <w:tcBorders>
              <w:top w:val="single" w:sz="4" w:space="0" w:color="auto"/>
              <w:left w:val="nil"/>
              <w:bottom w:val="single" w:sz="4" w:space="0" w:color="auto"/>
              <w:right w:val="nil"/>
            </w:tcBorders>
            <w:shd w:val="clear" w:color="auto" w:fill="auto"/>
            <w:noWrap/>
            <w:vAlign w:val="bottom"/>
            <w:hideMark/>
          </w:tcPr>
          <w:p w14:paraId="12F9995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0.898</w:t>
            </w:r>
          </w:p>
        </w:tc>
        <w:tc>
          <w:tcPr>
            <w:tcW w:w="379" w:type="pct"/>
            <w:tcBorders>
              <w:top w:val="single" w:sz="4" w:space="0" w:color="auto"/>
              <w:left w:val="nil"/>
              <w:bottom w:val="single" w:sz="4" w:space="0" w:color="auto"/>
              <w:right w:val="nil"/>
            </w:tcBorders>
            <w:shd w:val="clear" w:color="auto" w:fill="auto"/>
            <w:noWrap/>
            <w:vAlign w:val="bottom"/>
            <w:hideMark/>
          </w:tcPr>
          <w:p w14:paraId="0C7B42E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24.92</w:t>
            </w:r>
          </w:p>
        </w:tc>
        <w:tc>
          <w:tcPr>
            <w:tcW w:w="378" w:type="pct"/>
            <w:tcBorders>
              <w:top w:val="single" w:sz="4" w:space="0" w:color="auto"/>
              <w:left w:val="nil"/>
              <w:bottom w:val="single" w:sz="4" w:space="0" w:color="auto"/>
              <w:right w:val="nil"/>
            </w:tcBorders>
            <w:shd w:val="clear" w:color="auto" w:fill="auto"/>
            <w:noWrap/>
            <w:vAlign w:val="bottom"/>
            <w:hideMark/>
          </w:tcPr>
          <w:p w14:paraId="6FC300D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74.57</w:t>
            </w:r>
          </w:p>
        </w:tc>
        <w:tc>
          <w:tcPr>
            <w:tcW w:w="381" w:type="pct"/>
            <w:tcBorders>
              <w:top w:val="single" w:sz="4" w:space="0" w:color="auto"/>
              <w:left w:val="nil"/>
              <w:bottom w:val="single" w:sz="4" w:space="0" w:color="auto"/>
              <w:right w:val="nil"/>
            </w:tcBorders>
            <w:shd w:val="clear" w:color="auto" w:fill="auto"/>
            <w:noWrap/>
            <w:vAlign w:val="bottom"/>
            <w:hideMark/>
          </w:tcPr>
          <w:p w14:paraId="2703CA3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16.69</w:t>
            </w:r>
          </w:p>
        </w:tc>
        <w:tc>
          <w:tcPr>
            <w:tcW w:w="378" w:type="pct"/>
            <w:tcBorders>
              <w:top w:val="single" w:sz="4" w:space="0" w:color="auto"/>
              <w:left w:val="nil"/>
              <w:bottom w:val="single" w:sz="4" w:space="0" w:color="auto"/>
              <w:right w:val="nil"/>
            </w:tcBorders>
            <w:shd w:val="clear" w:color="auto" w:fill="auto"/>
            <w:noWrap/>
            <w:vAlign w:val="bottom"/>
            <w:hideMark/>
          </w:tcPr>
          <w:p w14:paraId="5770EE7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{"citationID":"a26usn5i3n7","properties":{"formattedCitation":"[209]","plainCitation":"[209]","noteIndex":0},"citationItems":[{"id":186,"uris":["http://zotero.org/users/12909065/items/V6QJGG3P"],"itemData":{"id":186,"type":"article-journal","abstract":"Ternary organic photovoltaics (OPVs) were constructed with one wide-band-gap donor PM6 and two A-D-A-type acceptors (M-series M36 and MQ5) with similar chemical structures. Power conversion efficiency (PCE) of the optimal ternary OPVs reaches 17.24% with 20 wt % MQ5 content, arising from a simultaneously increased short circuit current density (JSC) of 25.36 mA cm-2 and a fill factor (FF) of 76.02% as compared to those of two binary OPVs. The photon harvesting of ternary active layers can be maximized by adjusting the MQ5 content by reason of the complementary absorption spectra of M36 and MQ5. The molecular arrangement of PM6 and M36 can be collectively optimized by introducing an appropriate amount of MQ5 as a morphology regulator for facilitating effective charge transportation in ternary active layers. The improved photon harvesting and charge transport in active layers should be two important factors responsible for JSC and FF improvement of optimal ternary OPVs, respectively. More than an 8.8% improvement of PCE is achieved in ternary OPVs with an appropriate amount of MQ5 as the photon-harvesting enhancer and morphology regulator. The huge potential of A-D-A-type materials in constructing highly efficient OPVs can be further exploited based on a ternary strategy. © 2021 American Chemical Society.","archive":"Scopus","container-title":"ACS Applied Materials and Interfaces","DOI":"10.1021/acsami.1c15896","ISSN":"1944-8244","issue":"48","language":"English","page":"57684-57692","source":"Scopus","title":"Over 17% Efficiency of Ternary Organic Photovoltaics Employing Two Acceptors with an Acceptor-Donor-Acceptor Configuration","volume":"13","author":[{"family":"Ma","given":"X."},{"family":"Tang","given":"C."},{"family":"Ma","given":"Y."},{"family":"Zhu","given":"X."},{"family":"Wang","given":"J."},{"family":"Gao","given":"J."},{"family":"Xu","given":"C."},{"family":"Wang","given":"Y."},{"family":"Zhang","given":"J."},{"family":"Zheng","given":"Q."},{"family":"Zhang","given":"F."}],"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[209]</w:t>
            </w:r>
            <w:r w:rsidRPr="00B55044">
              <w:rPr>
                <w:rFonts w:eastAsia="Times New Roman"/>
                <w:color w:val="0000FF"/>
                <w:sz w:val="16"/>
                <w:szCs w:val="16"/>
              </w:rPr>
              <w:fldChar w:fldCharType="end"/>
            </w:r>
          </w:p>
        </w:tc>
      </w:tr>
      <w:tr w:rsidR="00D47774" w:rsidRPr="00B55044" w14:paraId="5AD42B8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AF1E02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385</w:t>
            </w:r>
          </w:p>
        </w:tc>
        <w:tc>
          <w:tcPr>
            <w:tcW w:w="1525" w:type="pct"/>
            <w:tcBorders>
              <w:top w:val="single" w:sz="4" w:space="0" w:color="auto"/>
              <w:left w:val="nil"/>
              <w:bottom w:val="single" w:sz="4" w:space="0" w:color="auto"/>
              <w:right w:val="nil"/>
            </w:tcBorders>
            <w:shd w:val="clear" w:color="auto" w:fill="auto"/>
            <w:noWrap/>
            <w:vAlign w:val="bottom"/>
            <w:hideMark/>
          </w:tcPr>
          <w:p w14:paraId="7C2FF3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ITO/PEDOT:PSS/AL/PDIN/Ag</w:t>
            </w:r>
          </w:p>
        </w:tc>
        <w:tc>
          <w:tcPr>
            <w:tcW w:w="1288" w:type="pct"/>
            <w:tcBorders>
              <w:top w:val="single" w:sz="4" w:space="0" w:color="auto"/>
              <w:left w:val="nil"/>
              <w:bottom w:val="single" w:sz="4" w:space="0" w:color="auto"/>
              <w:right w:val="nil"/>
            </w:tcBorders>
            <w:shd w:val="clear" w:color="auto" w:fill="auto"/>
            <w:noWrap/>
            <w:vAlign w:val="bottom"/>
            <w:hideMark/>
          </w:tcPr>
          <w:p w14:paraId="569F76C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PM6:M36:MQ5 (20%)</w:t>
            </w:r>
          </w:p>
        </w:tc>
        <w:tc>
          <w:tcPr>
            <w:tcW w:w="379" w:type="pct"/>
            <w:tcBorders>
              <w:top w:val="single" w:sz="4" w:space="0" w:color="auto"/>
              <w:left w:val="nil"/>
              <w:bottom w:val="single" w:sz="4" w:space="0" w:color="auto"/>
              <w:right w:val="nil"/>
            </w:tcBorders>
            <w:shd w:val="clear" w:color="auto" w:fill="auto"/>
            <w:noWrap/>
            <w:vAlign w:val="bottom"/>
            <w:hideMark/>
          </w:tcPr>
          <w:p w14:paraId="3E9DD68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0.894</w:t>
            </w:r>
          </w:p>
        </w:tc>
        <w:tc>
          <w:tcPr>
            <w:tcW w:w="379" w:type="pct"/>
            <w:tcBorders>
              <w:top w:val="single" w:sz="4" w:space="0" w:color="auto"/>
              <w:left w:val="nil"/>
              <w:bottom w:val="single" w:sz="4" w:space="0" w:color="auto"/>
              <w:right w:val="nil"/>
            </w:tcBorders>
            <w:shd w:val="clear" w:color="auto" w:fill="auto"/>
            <w:noWrap/>
            <w:vAlign w:val="bottom"/>
            <w:hideMark/>
          </w:tcPr>
          <w:p w14:paraId="483B4E5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25.36</w:t>
            </w:r>
          </w:p>
        </w:tc>
        <w:tc>
          <w:tcPr>
            <w:tcW w:w="378" w:type="pct"/>
            <w:tcBorders>
              <w:top w:val="single" w:sz="4" w:space="0" w:color="auto"/>
              <w:left w:val="nil"/>
              <w:bottom w:val="single" w:sz="4" w:space="0" w:color="auto"/>
              <w:right w:val="nil"/>
            </w:tcBorders>
            <w:shd w:val="clear" w:color="auto" w:fill="auto"/>
            <w:noWrap/>
            <w:vAlign w:val="bottom"/>
            <w:hideMark/>
          </w:tcPr>
          <w:p w14:paraId="2638FE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76.02</w:t>
            </w:r>
          </w:p>
        </w:tc>
        <w:tc>
          <w:tcPr>
            <w:tcW w:w="381" w:type="pct"/>
            <w:tcBorders>
              <w:top w:val="single" w:sz="4" w:space="0" w:color="auto"/>
              <w:left w:val="nil"/>
              <w:bottom w:val="single" w:sz="4" w:space="0" w:color="auto"/>
              <w:right w:val="nil"/>
            </w:tcBorders>
            <w:shd w:val="clear" w:color="auto" w:fill="auto"/>
            <w:noWrap/>
            <w:vAlign w:val="bottom"/>
            <w:hideMark/>
          </w:tcPr>
          <w:p w14:paraId="738A41B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17.24</w:t>
            </w:r>
          </w:p>
        </w:tc>
        <w:tc>
          <w:tcPr>
            <w:tcW w:w="378" w:type="pct"/>
            <w:tcBorders>
              <w:top w:val="single" w:sz="4" w:space="0" w:color="auto"/>
              <w:left w:val="nil"/>
              <w:bottom w:val="single" w:sz="4" w:space="0" w:color="auto"/>
              <w:right w:val="nil"/>
            </w:tcBorders>
            <w:shd w:val="clear" w:color="auto" w:fill="auto"/>
            <w:noWrap/>
            <w:vAlign w:val="bottom"/>
            <w:hideMark/>
          </w:tcPr>
          <w:p w14:paraId="1A08B35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{"citationID":"a2g38q3v66","properties":{"formattedCitation":"[209]","plainCitation":"[209]","noteIndex":0},"citationItems":[{"id":186,"uris":["http://zotero.org/users/12909065/items/V6QJGG3P"],"itemData":{"id":186,"type":"article-journal","abstract":"Ternary organic photovoltaics (OPVs) were constructed with one wide-band-gap donor PM6 and two A-D-A-type acceptors (M-series M36 and MQ5) with similar chemical structures. Power conversion efficiency (PCE) of the optimal ternary OPVs reaches 17.24% with 20 wt % MQ5 content, arising from a simultaneously increased short circuit current density (JSC) of 25.36 mA cm-2 and a fill factor (FF) of 76.02% as compared to those of two binary OPVs. The photon harvesting of ternary active layers can be maximized by adjusting the MQ5 content by reason of the complementary absorption spectra of M36 and MQ5. The molecular arrangement of PM6 and M36 can be collectively optimized by introducing an appropriate amount of MQ5 as a morphology regulator for facilitating effective charge transportation in ternary active layers. The improved photon harvesting and charge transport in active layers should be two important factors responsible for JSC and FF improvement of optimal ternary OPVs, respectively. More than an 8.8% improvement of PCE is achieved in ternary OPVs with an appropriate amount of MQ5 as the photon-harvesting enhancer and morphology regulator. The huge potential of A-D-A-type materials in constructing highly efficient OPVs can be further exploited based on a ternary strategy. © 2021 American Chemical Society.","archive":"Scopus","container-title":"ACS Applied Materials and Interfaces","DOI":"10.1021/acsami.1c15896","ISSN":"1944-8244","issue":"48","language":"English","page":"57684-57692","source":"Scopus","title":"Over 17% Efficiency of Ternary Organic Photovoltaics Employing Two Acceptors with an Acceptor-Donor-Acceptor Configuration","volume":"13","author":[{"family":"Ma","given":"X."},{"family":"Tang","given":"C."},{"family":"Ma","given":"Y."},{"family":"Zhu","given":"X."},{"family":"Wang","given":"J."},{"family":"Gao","given":"J."},{"family":"Xu","given":"C."},{"family":"Wang","given":"Y."},{"family":"Zhang","given":"J."},{"family":"Zheng","given":"Q."},{"family":"Zhang","given":"F."}],"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[209]</w:t>
            </w:r>
            <w:r w:rsidRPr="00B55044">
              <w:rPr>
                <w:rFonts w:eastAsia="Times New Roman"/>
                <w:color w:val="0000FF"/>
                <w:sz w:val="16"/>
                <w:szCs w:val="16"/>
              </w:rPr>
              <w:fldChar w:fldCharType="end"/>
            </w:r>
          </w:p>
        </w:tc>
      </w:tr>
      <w:tr w:rsidR="00D47774" w:rsidRPr="00B55044" w14:paraId="5971CB4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896B29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386</w:t>
            </w:r>
          </w:p>
        </w:tc>
        <w:tc>
          <w:tcPr>
            <w:tcW w:w="1525" w:type="pct"/>
            <w:tcBorders>
              <w:top w:val="single" w:sz="4" w:space="0" w:color="auto"/>
              <w:left w:val="nil"/>
              <w:bottom w:val="single" w:sz="4" w:space="0" w:color="auto"/>
              <w:right w:val="nil"/>
            </w:tcBorders>
            <w:shd w:val="clear" w:color="auto" w:fill="auto"/>
            <w:noWrap/>
            <w:vAlign w:val="bottom"/>
            <w:hideMark/>
          </w:tcPr>
          <w:p w14:paraId="684ED8F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ITO/PEDOT:PSS/AL/PDIN/Ag</w:t>
            </w:r>
          </w:p>
        </w:tc>
        <w:tc>
          <w:tcPr>
            <w:tcW w:w="1288" w:type="pct"/>
            <w:tcBorders>
              <w:top w:val="single" w:sz="4" w:space="0" w:color="auto"/>
              <w:left w:val="nil"/>
              <w:bottom w:val="single" w:sz="4" w:space="0" w:color="auto"/>
              <w:right w:val="nil"/>
            </w:tcBorders>
            <w:shd w:val="clear" w:color="auto" w:fill="auto"/>
            <w:noWrap/>
            <w:vAlign w:val="bottom"/>
            <w:hideMark/>
          </w:tcPr>
          <w:p w14:paraId="33E69B2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PM6:M36:MQ5 (40%)</w:t>
            </w:r>
          </w:p>
        </w:tc>
        <w:tc>
          <w:tcPr>
            <w:tcW w:w="379" w:type="pct"/>
            <w:tcBorders>
              <w:top w:val="single" w:sz="4" w:space="0" w:color="auto"/>
              <w:left w:val="nil"/>
              <w:bottom w:val="single" w:sz="4" w:space="0" w:color="auto"/>
              <w:right w:val="nil"/>
            </w:tcBorders>
            <w:shd w:val="clear" w:color="auto" w:fill="auto"/>
            <w:noWrap/>
            <w:vAlign w:val="bottom"/>
            <w:hideMark/>
          </w:tcPr>
          <w:p w14:paraId="30DBFB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0.884</w:t>
            </w:r>
          </w:p>
        </w:tc>
        <w:tc>
          <w:tcPr>
            <w:tcW w:w="379" w:type="pct"/>
            <w:tcBorders>
              <w:top w:val="single" w:sz="4" w:space="0" w:color="auto"/>
              <w:left w:val="nil"/>
              <w:bottom w:val="single" w:sz="4" w:space="0" w:color="auto"/>
              <w:right w:val="nil"/>
            </w:tcBorders>
            <w:shd w:val="clear" w:color="auto" w:fill="auto"/>
            <w:noWrap/>
            <w:vAlign w:val="bottom"/>
            <w:hideMark/>
          </w:tcPr>
          <w:p w14:paraId="024ECAF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24.6</w:t>
            </w:r>
          </w:p>
        </w:tc>
        <w:tc>
          <w:tcPr>
            <w:tcW w:w="378" w:type="pct"/>
            <w:tcBorders>
              <w:top w:val="single" w:sz="4" w:space="0" w:color="auto"/>
              <w:left w:val="nil"/>
              <w:bottom w:val="single" w:sz="4" w:space="0" w:color="auto"/>
              <w:right w:val="nil"/>
            </w:tcBorders>
            <w:shd w:val="clear" w:color="auto" w:fill="auto"/>
            <w:noWrap/>
            <w:vAlign w:val="bottom"/>
            <w:hideMark/>
          </w:tcPr>
          <w:p w14:paraId="23CC03D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75.2</w:t>
            </w:r>
          </w:p>
        </w:tc>
        <w:tc>
          <w:tcPr>
            <w:tcW w:w="381" w:type="pct"/>
            <w:tcBorders>
              <w:top w:val="single" w:sz="4" w:space="0" w:color="auto"/>
              <w:left w:val="nil"/>
              <w:bottom w:val="single" w:sz="4" w:space="0" w:color="auto"/>
              <w:right w:val="nil"/>
            </w:tcBorders>
            <w:shd w:val="clear" w:color="auto" w:fill="auto"/>
            <w:noWrap/>
            <w:vAlign w:val="bottom"/>
            <w:hideMark/>
          </w:tcPr>
          <w:p w14:paraId="64BB76B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16.35</w:t>
            </w:r>
          </w:p>
        </w:tc>
        <w:tc>
          <w:tcPr>
            <w:tcW w:w="378" w:type="pct"/>
            <w:tcBorders>
              <w:top w:val="single" w:sz="4" w:space="0" w:color="auto"/>
              <w:left w:val="nil"/>
              <w:bottom w:val="single" w:sz="4" w:space="0" w:color="auto"/>
              <w:right w:val="nil"/>
            </w:tcBorders>
            <w:shd w:val="clear" w:color="auto" w:fill="auto"/>
            <w:noWrap/>
            <w:vAlign w:val="bottom"/>
            <w:hideMark/>
          </w:tcPr>
          <w:p w14:paraId="06C5484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{"citationID":"a1qnra20b59","properties":{"formattedCitation":"[209]","plainCitation":"[209]","noteIndex":0},"citationItems":[{"id":186,"uris":["http://zotero.org/users/12909065/items/V6QJGG3P"],"itemData":{"id":186,"type":"article-journal","abstract":"Ternary organic photovoltaics (OPVs) were constructed with one wide-band-gap donor PM6 and two A-D-A-type acceptors (M-series M36 and MQ5) with similar chemical structures. Power conversion efficiency (PCE) of the optimal ternary OPVs reaches 17.24% with 20 wt % MQ5 content, arising from a simultaneously increased short circuit current density (JSC) of 25.36 mA cm-2 and a fill factor (FF) of 76.02% as compared to those of two binary OPVs. The photon harvesting of ternary active layers can be maximized by adjusting the MQ5 content by reason of the complementary absorption spectra of M36 and MQ5. The molecular arrangement of PM6 and M36 can be collectively optimized by introducing an appropriate amount of MQ5 as a morphology regulator for facilitating effective charge transportation in ternary active layers. The improved photon harvesting and charge transport in active layers should be two important factors responsible for JSC and FF improvement of optimal ternary OPVs, respectively. More than an 8.8% improvement of PCE is achieved in ternary OPVs with an appropriate amount of MQ5 as the photon-harvesting enhancer and morphology regulator. The huge potential of A-D-A-type materials in constructing highly efficient OPVs can be further exploited based on a ternary strategy. © 2021 American Chemical Society.","archive":"Scopus","container-title":"ACS Applied Materials and Interfaces","DOI":"10.1021/acsami.1c15896","ISSN":"1944-8244","issue":"48","language":"English","page":"57684-57692","source":"Scopus","title":"Over 17% Efficiency of Ternary Organic Photovoltaics Employing Two Acceptors with an Acceptor-Donor-Acceptor Configuration","volume":"13","author":[{"family":"Ma","given":"X."},{"family":"Tang","given":"C."},{"family":"Ma","given":"Y."},{"family":"Zhu","given":"X."},{"family":"Wang","given":"J."},{"family":"Gao","given":"J."},{"family":"Xu","given":"C."},{"family":"Wang","given":"Y."},{"family":"Zhang","given":"J."},{"family":"Zheng","given":"Q."},{"family":"Zhang","given":"F."}],"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[209]</w:t>
            </w:r>
            <w:r w:rsidRPr="00B55044">
              <w:rPr>
                <w:rFonts w:eastAsia="Times New Roman"/>
                <w:color w:val="0000FF"/>
                <w:sz w:val="16"/>
                <w:szCs w:val="16"/>
              </w:rPr>
              <w:fldChar w:fldCharType="end"/>
            </w:r>
          </w:p>
        </w:tc>
      </w:tr>
      <w:tr w:rsidR="00D47774" w:rsidRPr="00B55044" w14:paraId="260EA3B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D90C26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387</w:t>
            </w:r>
          </w:p>
        </w:tc>
        <w:tc>
          <w:tcPr>
            <w:tcW w:w="1525" w:type="pct"/>
            <w:tcBorders>
              <w:top w:val="single" w:sz="4" w:space="0" w:color="auto"/>
              <w:left w:val="nil"/>
              <w:bottom w:val="single" w:sz="4" w:space="0" w:color="auto"/>
              <w:right w:val="nil"/>
            </w:tcBorders>
            <w:shd w:val="clear" w:color="auto" w:fill="auto"/>
            <w:noWrap/>
            <w:vAlign w:val="bottom"/>
            <w:hideMark/>
          </w:tcPr>
          <w:p w14:paraId="357DDDA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ITO/PEDOT:PSS/AL/PDIN/Ag</w:t>
            </w:r>
          </w:p>
        </w:tc>
        <w:tc>
          <w:tcPr>
            <w:tcW w:w="1288" w:type="pct"/>
            <w:tcBorders>
              <w:top w:val="single" w:sz="4" w:space="0" w:color="auto"/>
              <w:left w:val="nil"/>
              <w:bottom w:val="single" w:sz="4" w:space="0" w:color="auto"/>
              <w:right w:val="nil"/>
            </w:tcBorders>
            <w:shd w:val="clear" w:color="auto" w:fill="auto"/>
            <w:noWrap/>
            <w:vAlign w:val="bottom"/>
            <w:hideMark/>
          </w:tcPr>
          <w:p w14:paraId="38AE18F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PM6:M36:MQ5 (70%)</w:t>
            </w:r>
          </w:p>
        </w:tc>
        <w:tc>
          <w:tcPr>
            <w:tcW w:w="379" w:type="pct"/>
            <w:tcBorders>
              <w:top w:val="single" w:sz="4" w:space="0" w:color="auto"/>
              <w:left w:val="nil"/>
              <w:bottom w:val="single" w:sz="4" w:space="0" w:color="auto"/>
              <w:right w:val="nil"/>
            </w:tcBorders>
            <w:shd w:val="clear" w:color="auto" w:fill="auto"/>
            <w:noWrap/>
            <w:vAlign w:val="bottom"/>
            <w:hideMark/>
          </w:tcPr>
          <w:p w14:paraId="0A01149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0.871</w:t>
            </w:r>
          </w:p>
        </w:tc>
        <w:tc>
          <w:tcPr>
            <w:tcW w:w="379" w:type="pct"/>
            <w:tcBorders>
              <w:top w:val="single" w:sz="4" w:space="0" w:color="auto"/>
              <w:left w:val="nil"/>
              <w:bottom w:val="single" w:sz="4" w:space="0" w:color="auto"/>
              <w:right w:val="nil"/>
            </w:tcBorders>
            <w:shd w:val="clear" w:color="auto" w:fill="auto"/>
            <w:noWrap/>
            <w:vAlign w:val="bottom"/>
            <w:hideMark/>
          </w:tcPr>
          <w:p w14:paraId="667F188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24.53</w:t>
            </w:r>
          </w:p>
        </w:tc>
        <w:tc>
          <w:tcPr>
            <w:tcW w:w="378" w:type="pct"/>
            <w:tcBorders>
              <w:top w:val="single" w:sz="4" w:space="0" w:color="auto"/>
              <w:left w:val="nil"/>
              <w:bottom w:val="single" w:sz="4" w:space="0" w:color="auto"/>
              <w:right w:val="nil"/>
            </w:tcBorders>
            <w:shd w:val="clear" w:color="auto" w:fill="auto"/>
            <w:noWrap/>
            <w:vAlign w:val="bottom"/>
            <w:hideMark/>
          </w:tcPr>
          <w:p w14:paraId="34DBE32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74.29</w:t>
            </w:r>
          </w:p>
        </w:tc>
        <w:tc>
          <w:tcPr>
            <w:tcW w:w="381" w:type="pct"/>
            <w:tcBorders>
              <w:top w:val="single" w:sz="4" w:space="0" w:color="auto"/>
              <w:left w:val="nil"/>
              <w:bottom w:val="single" w:sz="4" w:space="0" w:color="auto"/>
              <w:right w:val="nil"/>
            </w:tcBorders>
            <w:shd w:val="clear" w:color="auto" w:fill="auto"/>
            <w:noWrap/>
            <w:vAlign w:val="bottom"/>
            <w:hideMark/>
          </w:tcPr>
          <w:p w14:paraId="72A73F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15.61</w:t>
            </w:r>
          </w:p>
        </w:tc>
        <w:tc>
          <w:tcPr>
            <w:tcW w:w="378" w:type="pct"/>
            <w:tcBorders>
              <w:top w:val="single" w:sz="4" w:space="0" w:color="auto"/>
              <w:left w:val="nil"/>
              <w:bottom w:val="single" w:sz="4" w:space="0" w:color="auto"/>
              <w:right w:val="nil"/>
            </w:tcBorders>
            <w:shd w:val="clear" w:color="auto" w:fill="auto"/>
            <w:noWrap/>
            <w:vAlign w:val="bottom"/>
            <w:hideMark/>
          </w:tcPr>
          <w:p w14:paraId="152E235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{"citationID":"arjbe2k6q7","properties":{"formattedCitation":"[209]","plainCitation":"[209]","noteIndex":0},"citationItems":[{"id":186,"uris":["http://zotero.org/users/12909065/items/V6QJGG3P"],"itemData":{"id":186,"type":"article-journal","abstract":"Ternary organic photovoltaics (OPVs) were constructed with one wide-band-gap donor PM6 and two A-D-A-type acceptors (M-series M36 and MQ5) with similar chemical structures. Power conversion efficiency (PCE) of the optimal ternary OPVs reaches 17.24% with 20 wt % MQ5 content, arising from a simultaneously increased short circuit current density (JSC) of 25.36 mA cm-2 and a fill factor (FF) of 76.02% as compared to those of two binary OPVs. The photon harvesting of ternary active layers can be maximized by adjusting the MQ5 content by reason of the complementary absorption spectra of M36 and MQ5. The molecular arrangement of PM6 and M36 can be collectively optimized by introducing an appropriate amount of MQ5 as a morphology regulator for facilitating effective charge transportation in ternary active layers. The improved photon harvesting and charge transport in active layers should be two important factors responsible for JSC and FF improvement of optimal ternary OPVs, respectively. More than an 8.8% improvement of PCE is achieved in ternary OPVs with an appropriate amount of MQ5 as the photon-harvesting enhancer and morphology regulator. The huge potential of A-D-A-type materials in constructing highly efficient OPVs can be further exploited based on a ternary strategy. © 2021 American Chemical Society.","archive":"Scopus","container-title":"ACS Applied Materials and Interfaces","DOI":"10.1021/acsami.1c15896","ISSN":"1944-8244","issue":"48","language":"English","page":"57684-57692","source":"Scopus","title":"Over 17% Efficiency of Ternary Organic Photovoltaics Employing Two Acceptors with an Acceptor-Donor-Acceptor Configuration","volume":"13","author":[{"family":"Ma","given":"X."},{"family":"Tang","given":"C."},{"family":"Ma","given":"Y."},{"family":"Zhu","given":"X."},{"family":"Wang","given":"J."},{"family":"Gao","given":"J."},{"family":"Xu","given":"C."},{"family":"Wang","given":"Y."},{"family":"Zhang","given":"J."},{"family":"Zheng","given":"Q."},{"family":"Zhang","given":"F."}],"issued":{"date-parts":[["2021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[209]</w:t>
            </w:r>
            <w:r w:rsidRPr="00B55044">
              <w:rPr>
                <w:rFonts w:eastAsia="Times New Roman"/>
                <w:color w:val="0000FF"/>
                <w:sz w:val="16"/>
                <w:szCs w:val="16"/>
              </w:rPr>
              <w:fldChar w:fldCharType="end"/>
            </w:r>
          </w:p>
        </w:tc>
      </w:tr>
      <w:tr w:rsidR="00D47774" w:rsidRPr="00B55044" w14:paraId="2E6ED97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AAC490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388</w:t>
            </w:r>
          </w:p>
        </w:tc>
        <w:tc>
          <w:tcPr>
            <w:tcW w:w="1525" w:type="pct"/>
            <w:tcBorders>
              <w:top w:val="single" w:sz="4" w:space="0" w:color="auto"/>
              <w:left w:val="nil"/>
              <w:bottom w:val="single" w:sz="4" w:space="0" w:color="auto"/>
              <w:right w:val="nil"/>
            </w:tcBorders>
            <w:shd w:val="clear" w:color="auto" w:fill="auto"/>
            <w:noWrap/>
            <w:vAlign w:val="bottom"/>
            <w:hideMark/>
          </w:tcPr>
          <w:p w14:paraId="5E7B44D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3A0C28F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PM6:Y6:J71 (5%)</w:t>
            </w:r>
          </w:p>
        </w:tc>
        <w:tc>
          <w:tcPr>
            <w:tcW w:w="379" w:type="pct"/>
            <w:tcBorders>
              <w:top w:val="single" w:sz="4" w:space="0" w:color="auto"/>
              <w:left w:val="nil"/>
              <w:bottom w:val="single" w:sz="4" w:space="0" w:color="auto"/>
              <w:right w:val="nil"/>
            </w:tcBorders>
            <w:shd w:val="clear" w:color="auto" w:fill="auto"/>
            <w:noWrap/>
            <w:vAlign w:val="bottom"/>
            <w:hideMark/>
          </w:tcPr>
          <w:p w14:paraId="7F8C958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4F5110F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25.34</w:t>
            </w:r>
          </w:p>
        </w:tc>
        <w:tc>
          <w:tcPr>
            <w:tcW w:w="378" w:type="pct"/>
            <w:tcBorders>
              <w:top w:val="single" w:sz="4" w:space="0" w:color="auto"/>
              <w:left w:val="nil"/>
              <w:bottom w:val="single" w:sz="4" w:space="0" w:color="auto"/>
              <w:right w:val="nil"/>
            </w:tcBorders>
            <w:shd w:val="clear" w:color="auto" w:fill="auto"/>
            <w:noWrap/>
            <w:vAlign w:val="bottom"/>
            <w:hideMark/>
          </w:tcPr>
          <w:p w14:paraId="7403D0A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75.1</w:t>
            </w:r>
          </w:p>
        </w:tc>
        <w:tc>
          <w:tcPr>
            <w:tcW w:w="381" w:type="pct"/>
            <w:tcBorders>
              <w:top w:val="single" w:sz="4" w:space="0" w:color="auto"/>
              <w:left w:val="nil"/>
              <w:bottom w:val="single" w:sz="4" w:space="0" w:color="auto"/>
              <w:right w:val="nil"/>
            </w:tcBorders>
            <w:shd w:val="clear" w:color="auto" w:fill="auto"/>
            <w:noWrap/>
            <w:vAlign w:val="bottom"/>
            <w:hideMark/>
          </w:tcPr>
          <w:p w14:paraId="516988F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w:t>
            </w:r>
          </w:p>
        </w:tc>
        <w:tc>
          <w:tcPr>
            <w:tcW w:w="378" w:type="pct"/>
            <w:tcBorders>
              <w:top w:val="single" w:sz="4" w:space="0" w:color="auto"/>
              <w:left w:val="nil"/>
              <w:bottom w:val="single" w:sz="4" w:space="0" w:color="auto"/>
              <w:right w:val="nil"/>
            </w:tcBorders>
            <w:shd w:val="clear" w:color="auto" w:fill="auto"/>
            <w:noWrap/>
            <w:vAlign w:val="bottom"/>
            <w:hideMark/>
          </w:tcPr>
          <w:p w14:paraId="58B838F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{"citationID":"a24nmiee7ri","properties":{"formattedCitation":"[210]","plainCitation":"[210]","noteIndex":0},"citationItems":[{"id":185,"uris":["http://zotero.org/users/12909065/items/3IPSQR9E"],"itemData":{"id":185,"type":"article-journal","abstract":"Ternary organic photovoltaics (OPVs) combining two polymer donors (PM6, J71) and one non-fullerene acceptor Y6 were prepared in conventional configuration. The complementary absorption spectra of PM6 and J71 can maximize photon harvesting in ternary films that is beneficial to the enhancement of short circuit current density (JSC). The open circuit voltage (VOC) of ternary OPVs show a monotonously increased trend along with the increase of J71 content, which is attributed to reduced energy loss considering the similar HOMO energy levels of two donors. Furthermore, the optimized molecular arrangement and phase separation in ternary films result a high fill factor (FF) of 76.0%. As a result, by incorporating 10 wt% J71 in ternary films, the power conversion efficiency of ternary OPVs achieves 16.5% that is the highest values for ternary OPVs with two donors. The results indicate that ternary OPVs with two donors could achieve high performance by well-optimized photon harvesting and phase separation.","container-title":"Nano Energy","DOI":"10.1016/j.nanoen.2020.104447","ISSN":"2211-2855","journalAbbreviation":"Nano Energy","page":"104447","source":"ScienceDirect","title":"16.5% efficiency ternary organic photovoltaics with two polymer donors by optimizing molecular arrangement and phase separation","volume":"69","author":[{"family":"Xie","given":"Guanshui"},{"family":"Zhang","given":"Zheling"},{"family":"Su","given":"Zhenying"},{"family":"Zhang","given":"Xiaoling"},{"family":"Zhang","given":"Jian"}],"issued":{"date-parts":[["2020",3,1]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[210]</w:t>
            </w:r>
            <w:r w:rsidRPr="00B55044">
              <w:rPr>
                <w:rFonts w:eastAsia="Times New Roman"/>
                <w:color w:val="0000FF"/>
                <w:sz w:val="16"/>
                <w:szCs w:val="16"/>
              </w:rPr>
              <w:fldChar w:fldCharType="end"/>
            </w:r>
          </w:p>
        </w:tc>
      </w:tr>
      <w:tr w:rsidR="00D47774" w:rsidRPr="00B55044" w14:paraId="1D3F00B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D9878D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389</w:t>
            </w:r>
          </w:p>
        </w:tc>
        <w:tc>
          <w:tcPr>
            <w:tcW w:w="1525" w:type="pct"/>
            <w:tcBorders>
              <w:top w:val="single" w:sz="4" w:space="0" w:color="auto"/>
              <w:left w:val="nil"/>
              <w:bottom w:val="single" w:sz="4" w:space="0" w:color="auto"/>
              <w:right w:val="nil"/>
            </w:tcBorders>
            <w:shd w:val="clear" w:color="auto" w:fill="auto"/>
            <w:noWrap/>
            <w:vAlign w:val="bottom"/>
            <w:hideMark/>
          </w:tcPr>
          <w:p w14:paraId="0D62056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047582E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PM6:Y6:J71 (10%)</w:t>
            </w:r>
          </w:p>
        </w:tc>
        <w:tc>
          <w:tcPr>
            <w:tcW w:w="379" w:type="pct"/>
            <w:tcBorders>
              <w:top w:val="single" w:sz="4" w:space="0" w:color="auto"/>
              <w:left w:val="nil"/>
              <w:bottom w:val="single" w:sz="4" w:space="0" w:color="auto"/>
              <w:right w:val="nil"/>
            </w:tcBorders>
            <w:shd w:val="clear" w:color="auto" w:fill="auto"/>
            <w:noWrap/>
            <w:vAlign w:val="bottom"/>
            <w:hideMark/>
          </w:tcPr>
          <w:p w14:paraId="2B2BACE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459459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25.55</w:t>
            </w:r>
          </w:p>
        </w:tc>
        <w:tc>
          <w:tcPr>
            <w:tcW w:w="378" w:type="pct"/>
            <w:tcBorders>
              <w:top w:val="single" w:sz="4" w:space="0" w:color="auto"/>
              <w:left w:val="nil"/>
              <w:bottom w:val="single" w:sz="4" w:space="0" w:color="auto"/>
              <w:right w:val="nil"/>
            </w:tcBorders>
            <w:shd w:val="clear" w:color="auto" w:fill="auto"/>
            <w:noWrap/>
            <w:vAlign w:val="bottom"/>
            <w:hideMark/>
          </w:tcPr>
          <w:p w14:paraId="673C754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w:t>
            </w:r>
          </w:p>
        </w:tc>
        <w:tc>
          <w:tcPr>
            <w:tcW w:w="381" w:type="pct"/>
            <w:tcBorders>
              <w:top w:val="single" w:sz="4" w:space="0" w:color="auto"/>
              <w:left w:val="nil"/>
              <w:bottom w:val="single" w:sz="4" w:space="0" w:color="auto"/>
              <w:right w:val="nil"/>
            </w:tcBorders>
            <w:shd w:val="clear" w:color="auto" w:fill="auto"/>
            <w:noWrap/>
            <w:vAlign w:val="bottom"/>
            <w:hideMark/>
          </w:tcPr>
          <w:p w14:paraId="156CE73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16.5</w:t>
            </w:r>
          </w:p>
        </w:tc>
        <w:tc>
          <w:tcPr>
            <w:tcW w:w="378" w:type="pct"/>
            <w:tcBorders>
              <w:top w:val="single" w:sz="4" w:space="0" w:color="auto"/>
              <w:left w:val="nil"/>
              <w:bottom w:val="single" w:sz="4" w:space="0" w:color="auto"/>
              <w:right w:val="nil"/>
            </w:tcBorders>
            <w:shd w:val="clear" w:color="auto" w:fill="auto"/>
            <w:noWrap/>
            <w:vAlign w:val="bottom"/>
            <w:hideMark/>
          </w:tcPr>
          <w:p w14:paraId="0DEECD1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{"citationID":"ait9k9h25j","properties":{"formattedCitation":"[210]","plainCitation":"[210]","noteIndex":0},"citationItems":[{"id":185,"uris":["http://zotero.org/users/12909065/items/3IPSQR9E"],"itemData":{"id":185,"type":"article-journal","abstract":"Ternary organic photovoltaics (OPVs) combining two polymer donors (PM6, J71) and one non-fullerene acceptor Y6 were prepared in conventional configuration. The complementary absorption spectra of PM6 and J71 can maximize photon harvesting in ternary films that is beneficial to the enhancement of short circuit current density (JSC). The open circuit voltage (VOC) of ternary OPVs show a monotonously increased trend along with the increase of J71 content, which is attributed to reduced energy loss considering the similar HOMO energy levels of two donors. Furthermore, the optimized molecular arrangement and phase separation in ternary films result a high fill factor (FF) of 76.0%. As a result, by incorporating 10 wt% J71 in ternary films, the power conversion efficiency of ternary OPVs achieves 16.5% that is the highest values for ternary OPVs with two donors. The results indicate that ternary OPVs with two donors could achieve high performance by well-optimized photon harvesting and phase separation.","container-title":"Nano Energy","DOI":"10.1016/j.nanoen.2020.104447","ISSN":"2211-2855","journalAbbreviation":"Nano Energy","page":"104447","source":"ScienceDirect","title":"16.5% efficiency ternary organic photovoltaics with two polymer donors by optimizing molecular arrangement and phase separation","volume":"69","author":[{"family":"Xie","given":"Guanshui"},{"family":"Zhang","given":"Zheling"},{"family":"Su","given":"Zhenying"},{"family":"Zhang","given":"Xiaoling"},{"family":"Zhang","given":"Jian"}],"issued":{"date-parts":[["2020",3,1]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[210]</w:t>
            </w:r>
            <w:r w:rsidRPr="00B55044">
              <w:rPr>
                <w:rFonts w:eastAsia="Times New Roman"/>
                <w:color w:val="0000FF"/>
                <w:sz w:val="16"/>
                <w:szCs w:val="16"/>
              </w:rPr>
              <w:fldChar w:fldCharType="end"/>
            </w:r>
          </w:p>
        </w:tc>
      </w:tr>
      <w:tr w:rsidR="00D47774" w:rsidRPr="00B55044" w14:paraId="73387F9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50A3A2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390</w:t>
            </w:r>
          </w:p>
        </w:tc>
        <w:tc>
          <w:tcPr>
            <w:tcW w:w="1525" w:type="pct"/>
            <w:tcBorders>
              <w:top w:val="single" w:sz="4" w:space="0" w:color="auto"/>
              <w:left w:val="nil"/>
              <w:bottom w:val="single" w:sz="4" w:space="0" w:color="auto"/>
              <w:right w:val="nil"/>
            </w:tcBorders>
            <w:shd w:val="clear" w:color="auto" w:fill="auto"/>
            <w:noWrap/>
            <w:vAlign w:val="bottom"/>
            <w:hideMark/>
          </w:tcPr>
          <w:p w14:paraId="4465B85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0D5CE69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PM6:Y6:J71 (15%)</w:t>
            </w:r>
          </w:p>
        </w:tc>
        <w:tc>
          <w:tcPr>
            <w:tcW w:w="379" w:type="pct"/>
            <w:tcBorders>
              <w:top w:val="single" w:sz="4" w:space="0" w:color="auto"/>
              <w:left w:val="nil"/>
              <w:bottom w:val="single" w:sz="4" w:space="0" w:color="auto"/>
              <w:right w:val="nil"/>
            </w:tcBorders>
            <w:shd w:val="clear" w:color="auto" w:fill="auto"/>
            <w:noWrap/>
            <w:vAlign w:val="bottom"/>
            <w:hideMark/>
          </w:tcPr>
          <w:p w14:paraId="4006658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5070C00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25.42</w:t>
            </w:r>
          </w:p>
        </w:tc>
        <w:tc>
          <w:tcPr>
            <w:tcW w:w="378" w:type="pct"/>
            <w:tcBorders>
              <w:top w:val="single" w:sz="4" w:space="0" w:color="auto"/>
              <w:left w:val="nil"/>
              <w:bottom w:val="single" w:sz="4" w:space="0" w:color="auto"/>
              <w:right w:val="nil"/>
            </w:tcBorders>
            <w:shd w:val="clear" w:color="auto" w:fill="auto"/>
            <w:noWrap/>
            <w:vAlign w:val="bottom"/>
            <w:hideMark/>
          </w:tcPr>
          <w:p w14:paraId="1082E4C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75.1</w:t>
            </w:r>
          </w:p>
        </w:tc>
        <w:tc>
          <w:tcPr>
            <w:tcW w:w="381" w:type="pct"/>
            <w:tcBorders>
              <w:top w:val="single" w:sz="4" w:space="0" w:color="auto"/>
              <w:left w:val="nil"/>
              <w:bottom w:val="single" w:sz="4" w:space="0" w:color="auto"/>
              <w:right w:val="nil"/>
            </w:tcBorders>
            <w:shd w:val="clear" w:color="auto" w:fill="auto"/>
            <w:noWrap/>
            <w:vAlign w:val="bottom"/>
            <w:hideMark/>
          </w:tcPr>
          <w:p w14:paraId="088F1D7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16.2</w:t>
            </w:r>
          </w:p>
        </w:tc>
        <w:tc>
          <w:tcPr>
            <w:tcW w:w="378" w:type="pct"/>
            <w:tcBorders>
              <w:top w:val="single" w:sz="4" w:space="0" w:color="auto"/>
              <w:left w:val="nil"/>
              <w:bottom w:val="single" w:sz="4" w:space="0" w:color="auto"/>
              <w:right w:val="nil"/>
            </w:tcBorders>
            <w:shd w:val="clear" w:color="auto" w:fill="auto"/>
            <w:noWrap/>
            <w:vAlign w:val="bottom"/>
            <w:hideMark/>
          </w:tcPr>
          <w:p w14:paraId="7569B45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{"citationID":"a1lkk2v0na9","properties":{"formattedCitation":"[210]","plainCitation":"[210]","noteIndex":0},"citationItems":[{"id":185,"uris":["http://zotero.org/users/12909065/items/3IPSQR9E"],"itemData":{"id":185,"type":"article-journal","abstract":"Ternary organic photovoltaics (OPVs) combining two polymer donors (PM6, J71) and one non-fullerene acceptor Y6 were prepared in conventional configuration. The complementary absorption spectra of PM6 and J71 can maximize photon harvesting in ternary films that is beneficial to the enhancement of short circuit current density (JSC). The open circuit voltage (VOC) of ternary OPVs show a monotonously increased trend along with the increase of J71 content, which is attributed to reduced energy loss considering the similar HOMO energy levels of two donors. Furthermore, the optimized molecular arrangement and phase separation in ternary films result a high fill factor (FF) of 76.0%. As a result, by incorporating 10 wt% J71 in ternary films, the power conversion efficiency of ternary OPVs achieves 16.5% that is the highest values for ternary OPVs with two donors. The results indicate that ternary OPVs with two donors could achieve high performance by well-optimized photon harvesting and phase separation.","container-title":"Nano Energy","DOI":"10.1016/j.nanoen.2020.104447","ISSN":"2211-2855","journalAbbreviation":"Nano Energy","page":"104447","source":"ScienceDirect","title":"16.5% efficiency ternary organic photovoltaics with two polymer donors by optimizing molecular arrangement and phase separation","volume":"69","author":[{"family":"Xie","given":"Guanshui"},{"family":"Zhang","given":"Zheling"},{"family":"Su","given":"Zhenying"},{"family":"Zhang","given":"Xiaoling"},{"family":"Zhang","given":"Jian"}],"issued":{"date-parts":[["2020",3,1]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[210]</w:t>
            </w:r>
            <w:r w:rsidRPr="00B55044">
              <w:rPr>
                <w:rFonts w:eastAsia="Times New Roman"/>
                <w:color w:val="0000FF"/>
                <w:sz w:val="16"/>
                <w:szCs w:val="16"/>
              </w:rPr>
              <w:fldChar w:fldCharType="end"/>
            </w:r>
          </w:p>
        </w:tc>
      </w:tr>
      <w:tr w:rsidR="00D47774" w:rsidRPr="00B55044" w14:paraId="550016D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982B13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391</w:t>
            </w:r>
          </w:p>
        </w:tc>
        <w:tc>
          <w:tcPr>
            <w:tcW w:w="1525" w:type="pct"/>
            <w:tcBorders>
              <w:top w:val="single" w:sz="4" w:space="0" w:color="auto"/>
              <w:left w:val="nil"/>
              <w:bottom w:val="single" w:sz="4" w:space="0" w:color="auto"/>
              <w:right w:val="nil"/>
            </w:tcBorders>
            <w:shd w:val="clear" w:color="auto" w:fill="auto"/>
            <w:noWrap/>
            <w:vAlign w:val="bottom"/>
            <w:hideMark/>
          </w:tcPr>
          <w:p w14:paraId="05D59F9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6F57389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PM6:Y6:J71 (20%)</w:t>
            </w:r>
          </w:p>
        </w:tc>
        <w:tc>
          <w:tcPr>
            <w:tcW w:w="379" w:type="pct"/>
            <w:tcBorders>
              <w:top w:val="single" w:sz="4" w:space="0" w:color="auto"/>
              <w:left w:val="nil"/>
              <w:bottom w:val="single" w:sz="4" w:space="0" w:color="auto"/>
              <w:right w:val="nil"/>
            </w:tcBorders>
            <w:shd w:val="clear" w:color="auto" w:fill="auto"/>
            <w:noWrap/>
            <w:vAlign w:val="bottom"/>
            <w:hideMark/>
          </w:tcPr>
          <w:p w14:paraId="00220A0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34E7E2B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25.28</w:t>
            </w:r>
          </w:p>
        </w:tc>
        <w:tc>
          <w:tcPr>
            <w:tcW w:w="378" w:type="pct"/>
            <w:tcBorders>
              <w:top w:val="single" w:sz="4" w:space="0" w:color="auto"/>
              <w:left w:val="nil"/>
              <w:bottom w:val="single" w:sz="4" w:space="0" w:color="auto"/>
              <w:right w:val="nil"/>
            </w:tcBorders>
            <w:shd w:val="clear" w:color="auto" w:fill="auto"/>
            <w:noWrap/>
            <w:vAlign w:val="bottom"/>
            <w:hideMark/>
          </w:tcPr>
          <w:p w14:paraId="3EF28D4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73.2</w:t>
            </w:r>
          </w:p>
        </w:tc>
        <w:tc>
          <w:tcPr>
            <w:tcW w:w="381" w:type="pct"/>
            <w:tcBorders>
              <w:top w:val="single" w:sz="4" w:space="0" w:color="auto"/>
              <w:left w:val="nil"/>
              <w:bottom w:val="single" w:sz="4" w:space="0" w:color="auto"/>
              <w:right w:val="nil"/>
            </w:tcBorders>
            <w:shd w:val="clear" w:color="auto" w:fill="auto"/>
            <w:noWrap/>
            <w:vAlign w:val="bottom"/>
            <w:hideMark/>
          </w:tcPr>
          <w:p w14:paraId="7A23E25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15.7</w:t>
            </w:r>
          </w:p>
        </w:tc>
        <w:tc>
          <w:tcPr>
            <w:tcW w:w="378" w:type="pct"/>
            <w:tcBorders>
              <w:top w:val="single" w:sz="4" w:space="0" w:color="auto"/>
              <w:left w:val="nil"/>
              <w:bottom w:val="single" w:sz="4" w:space="0" w:color="auto"/>
              <w:right w:val="nil"/>
            </w:tcBorders>
            <w:shd w:val="clear" w:color="auto" w:fill="auto"/>
            <w:noWrap/>
            <w:vAlign w:val="bottom"/>
            <w:hideMark/>
          </w:tcPr>
          <w:p w14:paraId="4DAF313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{"citationID":"ag0dvejsge","properties":{"formattedCitation":"[210]","plainCitation":"[210]","noteIndex":0},"citationItems":[{"id":185,"uris":["http://zotero.org/users/12909065/items/3IPSQR9E"],"itemData":{"id":185,"type":"article-journal","abstract":"Ternary organic photovoltaics (OPVs) combining two polymer donors (PM6, J71) and one non-fullerene acceptor Y6 were prepared in conventional configuration. The complementary absorption spectra of PM6 and J71 can maximize photon harvesting in ternary films that is beneficial to the enhancement of short circuit current density (JSC). The open circuit voltage (VOC) of ternary OPVs show a monotonously increased trend along with the increase of J71 content, which is attributed to reduced energy loss considering the similar HOMO energy levels of two donors. Furthermore, the optimized molecular arrangement and phase separation in ternary films result a high fill factor (FF) of 76.0%. As a result, by incorporating 10 wt% J71 in ternary films, the power conversion efficiency of ternary OPVs achieves 16.5% that is the highest values for ternary OPVs with two donors. The results indicate that ternary OPVs with two donors could achieve high performance by well-optimized photon harvesting and phase separation.","container-title":"Nano Energy","DOI":"10.1016/j.nanoen.2020.104447","ISSN":"2211-2855","journalAbbreviation":"Nano Energy","page":"104447","source":"ScienceDirect","title":"16.5% efficiency ternary organic photovoltaics with two polymer donors by optimizing molecular arrangement and phase separation","volume":"69","author":[{"family":"Xie","given":"Guanshui"},{"family":"Zhang","given":"Zheling"},{"family":"Su","given":"Zhenying"},{"family":"Zhang","given":"Xiaoling"},{"family":"Zhang","given":"Jian"}],"issued":{"date-parts":[["2020",3,1]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[210]</w:t>
            </w:r>
            <w:r w:rsidRPr="00B55044">
              <w:rPr>
                <w:rFonts w:eastAsia="Times New Roman"/>
                <w:color w:val="0000FF"/>
                <w:sz w:val="16"/>
                <w:szCs w:val="16"/>
              </w:rPr>
              <w:fldChar w:fldCharType="end"/>
            </w:r>
          </w:p>
        </w:tc>
      </w:tr>
      <w:tr w:rsidR="00D47774" w:rsidRPr="00B55044" w14:paraId="635E5D2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F7A479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392</w:t>
            </w:r>
          </w:p>
        </w:tc>
        <w:tc>
          <w:tcPr>
            <w:tcW w:w="1525" w:type="pct"/>
            <w:tcBorders>
              <w:top w:val="single" w:sz="4" w:space="0" w:color="auto"/>
              <w:left w:val="nil"/>
              <w:bottom w:val="single" w:sz="4" w:space="0" w:color="auto"/>
              <w:right w:val="nil"/>
            </w:tcBorders>
            <w:shd w:val="clear" w:color="auto" w:fill="auto"/>
            <w:noWrap/>
            <w:vAlign w:val="bottom"/>
            <w:hideMark/>
          </w:tcPr>
          <w:p w14:paraId="11188EB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76280B3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PM6:Y6:J71 (40%)</w:t>
            </w:r>
          </w:p>
        </w:tc>
        <w:tc>
          <w:tcPr>
            <w:tcW w:w="379" w:type="pct"/>
            <w:tcBorders>
              <w:top w:val="single" w:sz="4" w:space="0" w:color="auto"/>
              <w:left w:val="nil"/>
              <w:bottom w:val="single" w:sz="4" w:space="0" w:color="auto"/>
              <w:right w:val="nil"/>
            </w:tcBorders>
            <w:shd w:val="clear" w:color="auto" w:fill="auto"/>
            <w:noWrap/>
            <w:vAlign w:val="bottom"/>
            <w:hideMark/>
          </w:tcPr>
          <w:p w14:paraId="7943768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2C2602D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23.49</w:t>
            </w:r>
          </w:p>
        </w:tc>
        <w:tc>
          <w:tcPr>
            <w:tcW w:w="378" w:type="pct"/>
            <w:tcBorders>
              <w:top w:val="single" w:sz="4" w:space="0" w:color="auto"/>
              <w:left w:val="nil"/>
              <w:bottom w:val="single" w:sz="4" w:space="0" w:color="auto"/>
              <w:right w:val="nil"/>
            </w:tcBorders>
            <w:shd w:val="clear" w:color="auto" w:fill="auto"/>
            <w:noWrap/>
            <w:vAlign w:val="bottom"/>
            <w:hideMark/>
          </w:tcPr>
          <w:p w14:paraId="4946B83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70.3</w:t>
            </w:r>
          </w:p>
        </w:tc>
        <w:tc>
          <w:tcPr>
            <w:tcW w:w="381" w:type="pct"/>
            <w:tcBorders>
              <w:top w:val="single" w:sz="4" w:space="0" w:color="auto"/>
              <w:left w:val="nil"/>
              <w:bottom w:val="single" w:sz="4" w:space="0" w:color="auto"/>
              <w:right w:val="nil"/>
            </w:tcBorders>
            <w:shd w:val="clear" w:color="auto" w:fill="auto"/>
            <w:noWrap/>
            <w:vAlign w:val="bottom"/>
            <w:hideMark/>
          </w:tcPr>
          <w:p w14:paraId="3915B08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14.2</w:t>
            </w:r>
          </w:p>
        </w:tc>
        <w:tc>
          <w:tcPr>
            <w:tcW w:w="378" w:type="pct"/>
            <w:tcBorders>
              <w:top w:val="single" w:sz="4" w:space="0" w:color="auto"/>
              <w:left w:val="nil"/>
              <w:bottom w:val="single" w:sz="4" w:space="0" w:color="auto"/>
              <w:right w:val="nil"/>
            </w:tcBorders>
            <w:shd w:val="clear" w:color="auto" w:fill="auto"/>
            <w:noWrap/>
            <w:vAlign w:val="bottom"/>
            <w:hideMark/>
          </w:tcPr>
          <w:p w14:paraId="10212A3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{"citationID":"a14tpc6ihk7","properties":{"formattedCitation":"[210]","plainCitation":"[210]","noteIndex":0},"citationItems":[{"id":185,"uris":["http://zotero.org/users/12909065/items/3IPSQR9E"],"itemData":{"id":185,"type":"article-journal","abstract":"Ternary organic photovoltaics (OPVs) combining two polymer donors (PM6, J71) and one non-fullerene acceptor Y6 were prepared in conventional configuration. The complementary absorption spectra of PM6 and J71 can maximize photon harvesting in ternary films that is beneficial to the enhancement of short circuit current density (JSC). The open circuit voltage (VOC) of ternary OPVs show a monotonously increased trend along with the increase of J71 content, which is attributed to reduced energy loss considering the similar HOMO energy levels of two donors. Furthermore, the optimized molecular arrangement and phase separation in ternary films result a high fill factor (FF) of 76.0%. As a result, by incorporating 10 wt% J71 in ternary films, the power conversion efficiency of ternary OPVs achieves 16.5% that is the highest values for ternary OPVs with two donors. The results indicate that ternary OPVs with two donors could achieve high performance by well-optimized photon harvesting and phase separation.","container-title":"Nano Energy","DOI":"10.1016/j.nanoen.2020.104447","ISSN":"2211-2855","journalAbbreviation":"Nano Energy","page":"104447","source":"ScienceDirect","title":"16.5% efficiency ternary organic photovoltaics with two polymer donors by optimizing molecular arrangement and phase separation","volume":"69","author":[{"family":"Xie","given":"Guanshui"},{"family":"Zhang","given":"Zheling"},{"family":"Su","given":"Zhenying"},{"family":"Zhang","given":"Xiaoling"},{"family":"Zhang","given":"Jian"}],"issued":{"date-parts":[["2020",3,1]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[210]</w:t>
            </w:r>
            <w:r w:rsidRPr="00B55044">
              <w:rPr>
                <w:rFonts w:eastAsia="Times New Roman"/>
                <w:color w:val="0000FF"/>
                <w:sz w:val="16"/>
                <w:szCs w:val="16"/>
              </w:rPr>
              <w:fldChar w:fldCharType="end"/>
            </w:r>
          </w:p>
        </w:tc>
      </w:tr>
      <w:tr w:rsidR="00D47774" w:rsidRPr="00B55044" w14:paraId="6621499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6283F5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393</w:t>
            </w:r>
          </w:p>
        </w:tc>
        <w:tc>
          <w:tcPr>
            <w:tcW w:w="1525" w:type="pct"/>
            <w:tcBorders>
              <w:top w:val="single" w:sz="4" w:space="0" w:color="auto"/>
              <w:left w:val="nil"/>
              <w:bottom w:val="single" w:sz="4" w:space="0" w:color="auto"/>
              <w:right w:val="nil"/>
            </w:tcBorders>
            <w:shd w:val="clear" w:color="auto" w:fill="auto"/>
            <w:noWrap/>
            <w:vAlign w:val="bottom"/>
            <w:hideMark/>
          </w:tcPr>
          <w:p w14:paraId="4113B45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2BFA5A7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PM6:Y6:J71 (80%)</w:t>
            </w:r>
          </w:p>
        </w:tc>
        <w:tc>
          <w:tcPr>
            <w:tcW w:w="379" w:type="pct"/>
            <w:tcBorders>
              <w:top w:val="single" w:sz="4" w:space="0" w:color="auto"/>
              <w:left w:val="nil"/>
              <w:bottom w:val="single" w:sz="4" w:space="0" w:color="auto"/>
              <w:right w:val="nil"/>
            </w:tcBorders>
            <w:shd w:val="clear" w:color="auto" w:fill="auto"/>
            <w:noWrap/>
            <w:vAlign w:val="bottom"/>
            <w:hideMark/>
          </w:tcPr>
          <w:p w14:paraId="3E6DD13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w:t>
            </w:r>
          </w:p>
        </w:tc>
        <w:tc>
          <w:tcPr>
            <w:tcW w:w="379" w:type="pct"/>
            <w:tcBorders>
              <w:top w:val="single" w:sz="4" w:space="0" w:color="auto"/>
              <w:left w:val="nil"/>
              <w:bottom w:val="single" w:sz="4" w:space="0" w:color="auto"/>
              <w:right w:val="nil"/>
            </w:tcBorders>
            <w:shd w:val="clear" w:color="auto" w:fill="auto"/>
            <w:noWrap/>
            <w:vAlign w:val="bottom"/>
            <w:hideMark/>
          </w:tcPr>
          <w:p w14:paraId="1600DF9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21.22</w:t>
            </w:r>
          </w:p>
        </w:tc>
        <w:tc>
          <w:tcPr>
            <w:tcW w:w="378" w:type="pct"/>
            <w:tcBorders>
              <w:top w:val="single" w:sz="4" w:space="0" w:color="auto"/>
              <w:left w:val="nil"/>
              <w:bottom w:val="single" w:sz="4" w:space="0" w:color="auto"/>
              <w:right w:val="nil"/>
            </w:tcBorders>
            <w:shd w:val="clear" w:color="auto" w:fill="auto"/>
            <w:noWrap/>
            <w:vAlign w:val="bottom"/>
            <w:hideMark/>
          </w:tcPr>
          <w:p w14:paraId="3A8F445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60.2</w:t>
            </w:r>
          </w:p>
        </w:tc>
        <w:tc>
          <w:tcPr>
            <w:tcW w:w="381" w:type="pct"/>
            <w:tcBorders>
              <w:top w:val="single" w:sz="4" w:space="0" w:color="auto"/>
              <w:left w:val="nil"/>
              <w:bottom w:val="single" w:sz="4" w:space="0" w:color="auto"/>
              <w:right w:val="nil"/>
            </w:tcBorders>
            <w:shd w:val="clear" w:color="auto" w:fill="auto"/>
            <w:noWrap/>
            <w:vAlign w:val="bottom"/>
            <w:hideMark/>
          </w:tcPr>
          <w:p w14:paraId="253D30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11.1</w:t>
            </w:r>
          </w:p>
        </w:tc>
        <w:tc>
          <w:tcPr>
            <w:tcW w:w="378" w:type="pct"/>
            <w:tcBorders>
              <w:top w:val="single" w:sz="4" w:space="0" w:color="auto"/>
              <w:left w:val="nil"/>
              <w:bottom w:val="single" w:sz="4" w:space="0" w:color="auto"/>
              <w:right w:val="nil"/>
            </w:tcBorders>
            <w:shd w:val="clear" w:color="auto" w:fill="auto"/>
            <w:noWrap/>
            <w:vAlign w:val="bottom"/>
            <w:hideMark/>
          </w:tcPr>
          <w:p w14:paraId="377A33C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{"citationID":"a18n1i1a4pr","properties":{"formattedCitation":"[210]","plainCitation":"[210]","noteIndex":0},"citationItems":[{"id":185,"uris":["http://zotero.org/users/12909065/items/3IPSQR9E"],"itemData":{"id":185,"type":"article-journal","abstract":"Ternary organic photovoltaics (OPVs) combining two polymer donors (PM6, J71) and one non-fullerene acceptor Y6 were prepared in conventional configuration. The complementary absorption spectra of PM6 and J71 can maximize photon harvesting in ternary films that is beneficial to the enhancement of short circuit current density (JSC). The open circuit voltage (VOC) of ternary OPVs show a monotonously increased trend along with the increase of J71 content, which is attributed to reduced energy loss considering the similar HOMO energy levels of two donors. Furthermore, the optimized molecular arrangement and phase separation in ternary films result a high fill factor (FF) of 76.0%. As a result, by incorporating 10 wt% J71 in ternary films, the power conversion efficiency of ternary OPVs achieves 16.5% that is the highest values for ternary OPVs with two donors. The results indicate that ternary OPVs with two donors could achieve high performance by well-optimized photon harvesting and phase separation.","container-title":"Nano Energy","DOI":"10.1016/j.nanoen.2020.104447","ISSN":"2211-2855","journalAbbreviation":"Nano Energy","page":"104447","source":"ScienceDirect","title":"16.5% efficiency ternary organic photovoltaics with two polymer donors by optimizing molecular arrangement and phase separation","volume":"69","author":[{"family":"Xie","given":"Guanshui"},{"family":"Zhang","given":"Zheling"},{"family":"Su","given":"Zhenying"},{"family":"Zhang","given":"Xiaoling"},{"family":"Zhang","given":"Jian"}],"issued":{"date-parts":[["2020",3,1]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[210]</w:t>
            </w:r>
            <w:r w:rsidRPr="00B55044">
              <w:rPr>
                <w:rFonts w:eastAsia="Times New Roman"/>
                <w:color w:val="0000FF"/>
                <w:sz w:val="16"/>
                <w:szCs w:val="16"/>
              </w:rPr>
              <w:fldChar w:fldCharType="end"/>
            </w:r>
          </w:p>
        </w:tc>
      </w:tr>
      <w:tr w:rsidR="00D47774" w:rsidRPr="00B55044" w14:paraId="663A1AF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611CA3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394</w:t>
            </w:r>
          </w:p>
        </w:tc>
        <w:tc>
          <w:tcPr>
            <w:tcW w:w="1525" w:type="pct"/>
            <w:tcBorders>
              <w:top w:val="single" w:sz="4" w:space="0" w:color="auto"/>
              <w:left w:val="nil"/>
              <w:bottom w:val="single" w:sz="4" w:space="0" w:color="auto"/>
              <w:right w:val="nil"/>
            </w:tcBorders>
            <w:shd w:val="clear" w:color="auto" w:fill="auto"/>
            <w:noWrap/>
            <w:vAlign w:val="bottom"/>
            <w:hideMark/>
          </w:tcPr>
          <w:p w14:paraId="1387E3C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F39C81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PM6:PBDB-T-SF:Y6</w:t>
            </w:r>
          </w:p>
        </w:tc>
        <w:tc>
          <w:tcPr>
            <w:tcW w:w="379" w:type="pct"/>
            <w:tcBorders>
              <w:top w:val="single" w:sz="4" w:space="0" w:color="auto"/>
              <w:left w:val="nil"/>
              <w:bottom w:val="single" w:sz="4" w:space="0" w:color="auto"/>
              <w:right w:val="nil"/>
            </w:tcBorders>
            <w:shd w:val="clear" w:color="auto" w:fill="auto"/>
            <w:noWrap/>
            <w:vAlign w:val="bottom"/>
            <w:hideMark/>
          </w:tcPr>
          <w:p w14:paraId="46BE1E2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0.856</w:t>
            </w:r>
          </w:p>
        </w:tc>
        <w:tc>
          <w:tcPr>
            <w:tcW w:w="379" w:type="pct"/>
            <w:tcBorders>
              <w:top w:val="single" w:sz="4" w:space="0" w:color="auto"/>
              <w:left w:val="nil"/>
              <w:bottom w:val="single" w:sz="4" w:space="0" w:color="auto"/>
              <w:right w:val="nil"/>
            </w:tcBorders>
            <w:shd w:val="clear" w:color="auto" w:fill="auto"/>
            <w:noWrap/>
            <w:vAlign w:val="bottom"/>
            <w:hideMark/>
          </w:tcPr>
          <w:p w14:paraId="0697AB6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25.21</w:t>
            </w:r>
          </w:p>
        </w:tc>
        <w:tc>
          <w:tcPr>
            <w:tcW w:w="378" w:type="pct"/>
            <w:tcBorders>
              <w:top w:val="single" w:sz="4" w:space="0" w:color="auto"/>
              <w:left w:val="nil"/>
              <w:bottom w:val="single" w:sz="4" w:space="0" w:color="auto"/>
              <w:right w:val="nil"/>
            </w:tcBorders>
            <w:shd w:val="clear" w:color="auto" w:fill="auto"/>
            <w:noWrap/>
            <w:vAlign w:val="bottom"/>
            <w:hideMark/>
          </w:tcPr>
          <w:p w14:paraId="0397D4E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53.6</w:t>
            </w:r>
          </w:p>
        </w:tc>
        <w:tc>
          <w:tcPr>
            <w:tcW w:w="381" w:type="pct"/>
            <w:tcBorders>
              <w:top w:val="single" w:sz="4" w:space="0" w:color="auto"/>
              <w:left w:val="nil"/>
              <w:bottom w:val="single" w:sz="4" w:space="0" w:color="auto"/>
              <w:right w:val="nil"/>
            </w:tcBorders>
            <w:shd w:val="clear" w:color="auto" w:fill="auto"/>
            <w:noWrap/>
            <w:vAlign w:val="bottom"/>
            <w:hideMark/>
          </w:tcPr>
          <w:p w14:paraId="72CF822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16.42</w:t>
            </w:r>
          </w:p>
        </w:tc>
        <w:tc>
          <w:tcPr>
            <w:tcW w:w="378" w:type="pct"/>
            <w:tcBorders>
              <w:top w:val="single" w:sz="4" w:space="0" w:color="auto"/>
              <w:left w:val="nil"/>
              <w:bottom w:val="single" w:sz="4" w:space="0" w:color="auto"/>
              <w:right w:val="nil"/>
            </w:tcBorders>
            <w:shd w:val="clear" w:color="auto" w:fill="auto"/>
            <w:noWrap/>
            <w:vAlign w:val="bottom"/>
            <w:hideMark/>
          </w:tcPr>
          <w:p w14:paraId="1DBFE82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{"citationID":"arrd6emj8v","properties":{"formattedCitation":"[211]","plainCitation":"[211]","noteIndex":0},"citationItems":[{"id":182,"uris":["http://zotero.org/users/12909065/items/AXPDGSTL"],"itemData":{"id":182,"type":"article-journal","abstract":"Effective ternary material systems are usually achieved using a donor/acceptor guest that is structurally similar to the donor/acceptor host to maintain the film-morphology of the host binary blend. In this study, we report an unprecedented ternary material system, PBDB-TF:PBDB-T-SF:Y6, in which PBDB-T-SF is selected as the donor polymer guest of the PBDB-TF:Y6 binary blend. The absorption spectra of both polymers are almost overlapped and their energy levels are similar. However, the side-chains between the host (PBDB-TF) and the guest (PBDB-T-SF) are oriented differently, which modulates the morphology of the polymer phases from nanoscale (10–20 nm) fine fibrils in the host binary blend to an interpenetrating mesoscale polymer-crowd (&gt;100 nm) with reduced phase crystallinity in the ternary blend. As a result, the electrical properties of the active layer are greatly improved: the hole mobility increases more than the electron mobility, resulting in balanced hole and electron mobilities; the monomolecular and bimolecular recombinations are both reduced; the charge carrier extraction is faster and the trap-assisted recombination is reduced, resulting in a longer recombination lifetime of charge carriers (0.19 μs vs. 0.15/0.11 μs). All of these contribute to the concurrently increased device fill-factor and short-circuit current-density, and finally improved efficiency (16.4%). Solid-state 19F magic angle spinning nuclear magnetic microscopy is conducted to probe interaction between the host and guest donor polymers. This study demonstrates that mesoscale morphology such as the polymer-crowd induced by differently oriented side chains of the host–guest polymers can be a morphological feature of active layer toward high-efficiency organic photovoltaic cells.","container-title":"Journal of Materials Chemistry A","DOI":"10.1039/C9TA13293G","ISSN":"2050-7496","issue":"7","journalAbbreviation":"J. Mater. Chem. A","language":"en","note":"publisher: The Royal Society of Chemistry","page":"3676-3685","source":"pubs.rsc.org","title":"A 16.4% efficiency organic photovoltaic cell enabled using two donor polymers with their side-chains oriented differently by a ternary strategy","volume":"8","author":[{"family":"Chang","given":"Yuan"},{"family":"Lau","given":"Tsz-Ki"},{"family":"Chow","given":"Philip C. Y."},{"family":"Wu","given":"Ningning"},{"family":"Su","given":"Dan"},{"family":"Zhang","given":"Weichao"},{"family":"Meng","given":"Huifeng"},{"family":"Ma","given":"Chao"},{"family":"Liu","given":"Tao"},{"family":"Li","given":"Kun"},{"family":"Zou","given":"Xinhui"},{"family":"Wong","given":"Kam Sing"},{"family":"Lu","given":"Xinhui"},{"family":"Yan","given":"He"},{"family":"Zhan","given":"Chuanlang"}],"issued":{"date-parts":[["2020",2,18]]}}}],"schema":"https://github.com/citation-style-language/schema/raw/master/csl-citation.json"}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[211]</w:t>
            </w:r>
            <w:r w:rsidRPr="00B55044">
              <w:rPr>
                <w:rFonts w:eastAsia="Times New Roman"/>
                <w:color w:val="0000FF"/>
                <w:sz w:val="16"/>
                <w:szCs w:val="16"/>
              </w:rPr>
              <w:fldChar w:fldCharType="end"/>
            </w:r>
          </w:p>
        </w:tc>
      </w:tr>
      <w:tr w:rsidR="00D47774" w:rsidRPr="00B55044" w14:paraId="5B9E6F0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E29B77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395</w:t>
            </w:r>
          </w:p>
        </w:tc>
        <w:tc>
          <w:tcPr>
            <w:tcW w:w="1525" w:type="pct"/>
            <w:tcBorders>
              <w:top w:val="single" w:sz="4" w:space="0" w:color="auto"/>
              <w:left w:val="nil"/>
              <w:bottom w:val="single" w:sz="4" w:space="0" w:color="auto"/>
              <w:right w:val="nil"/>
            </w:tcBorders>
            <w:shd w:val="clear" w:color="auto" w:fill="auto"/>
            <w:noWrap/>
            <w:vAlign w:val="bottom"/>
            <w:hideMark/>
          </w:tcPr>
          <w:p w14:paraId="0171525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737086D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PM6:PDHP-Th:Y6</w:t>
            </w:r>
          </w:p>
        </w:tc>
        <w:tc>
          <w:tcPr>
            <w:tcW w:w="379" w:type="pct"/>
            <w:tcBorders>
              <w:top w:val="single" w:sz="4" w:space="0" w:color="auto"/>
              <w:left w:val="nil"/>
              <w:bottom w:val="single" w:sz="4" w:space="0" w:color="auto"/>
              <w:right w:val="nil"/>
            </w:tcBorders>
            <w:shd w:val="clear" w:color="auto" w:fill="auto"/>
            <w:noWrap/>
            <w:vAlign w:val="bottom"/>
            <w:hideMark/>
          </w:tcPr>
          <w:p w14:paraId="3EF262B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0.801</w:t>
            </w:r>
          </w:p>
        </w:tc>
        <w:tc>
          <w:tcPr>
            <w:tcW w:w="379" w:type="pct"/>
            <w:tcBorders>
              <w:top w:val="single" w:sz="4" w:space="0" w:color="auto"/>
              <w:left w:val="nil"/>
              <w:bottom w:val="single" w:sz="4" w:space="0" w:color="auto"/>
              <w:right w:val="nil"/>
            </w:tcBorders>
            <w:shd w:val="clear" w:color="auto" w:fill="auto"/>
            <w:noWrap/>
            <w:vAlign w:val="bottom"/>
            <w:hideMark/>
          </w:tcPr>
          <w:p w14:paraId="73C0EB4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21.9</w:t>
            </w:r>
          </w:p>
        </w:tc>
        <w:tc>
          <w:tcPr>
            <w:tcW w:w="378" w:type="pct"/>
            <w:tcBorders>
              <w:top w:val="single" w:sz="4" w:space="0" w:color="auto"/>
              <w:left w:val="nil"/>
              <w:bottom w:val="single" w:sz="4" w:space="0" w:color="auto"/>
              <w:right w:val="nil"/>
            </w:tcBorders>
            <w:shd w:val="clear" w:color="auto" w:fill="auto"/>
            <w:noWrap/>
            <w:vAlign w:val="bottom"/>
            <w:hideMark/>
          </w:tcPr>
          <w:p w14:paraId="4B0FE25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70.5</w:t>
            </w:r>
          </w:p>
        </w:tc>
        <w:tc>
          <w:tcPr>
            <w:tcW w:w="381" w:type="pct"/>
            <w:tcBorders>
              <w:top w:val="single" w:sz="4" w:space="0" w:color="auto"/>
              <w:left w:val="nil"/>
              <w:bottom w:val="single" w:sz="4" w:space="0" w:color="auto"/>
              <w:right w:val="nil"/>
            </w:tcBorders>
            <w:shd w:val="clear" w:color="auto" w:fill="auto"/>
            <w:noWrap/>
            <w:vAlign w:val="bottom"/>
            <w:hideMark/>
          </w:tcPr>
          <w:p w14:paraId="3B6BA0C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12.4</w:t>
            </w:r>
          </w:p>
        </w:tc>
        <w:tc>
          <w:tcPr>
            <w:tcW w:w="378" w:type="pct"/>
            <w:tcBorders>
              <w:top w:val="single" w:sz="4" w:space="0" w:color="auto"/>
              <w:left w:val="nil"/>
              <w:bottom w:val="single" w:sz="4" w:space="0" w:color="auto"/>
              <w:right w:val="nil"/>
            </w:tcBorders>
            <w:shd w:val="clear" w:color="auto" w:fill="auto"/>
            <w:noWrap/>
            <w:vAlign w:val="bottom"/>
            <w:hideMark/>
          </w:tcPr>
          <w:p w14:paraId="2B04362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{"citationID":"a1s3fgkc8ai","properties":{"formattedCitation":"[212]","plainCitation":"[212]","noteIndex":0},"citationItems":[{"id":181,"uris":["http://zotero.org/users/12909065/items/MQDASLML"],"itemData":{"id":181,"type":"article-journal","abstract":"Ternary polymer solar cells (PSCs) with the third component as guest offer exceptional photovoltaic performance. Most guests in highly efficient ternary PSCs are small molecular acceptors. Utilizing polymer donor as an effective guest to improve power conversion efficiencies of PSCs remains difficult to anticipate. Herein, new asymmetrical electron-deficient thieno[3,4-d]pyridazin-1(2H)-one monomers polymerize with benzo[1,2-b:4,5-b′]dithiophene monomers, yielding two asymmetrical donor polymers, namely, PDHP-Th (with thiophene arm) and PDHP-Ph (with benzene arm). The asymmetrical thieno[3,4-d]pyridazin-1(2H)-one blocks twist the polymer backbones that induce blue-shift absorption spectra and regulate aggregations compared to that of the well-known symmetrical polymers PBDB-T and PM6. PBDB-T, PDHP-Th, and PDHP-Ph as polymer donor guests are introduced into PM6:Y6 to fabricate ternary PSC devices. The PDHP-Th polymer exhibits a similar energy level to PM6 and can mix well with the PM6:Y6 system and regulate overaggregation of the acceptor Y6, which helps to balance electron and hole mobilities in the ternary devices. All of these contributions result in a power conversion efficiency of 16.8% for the PM6:PDHP-Th:Y6 ternary PSCs. Compared to the widely reported small molecular acceptor guest approaches, our work provides a guideline and molecular design strategy for developing polymer donor guests in constructing high-performance ternary PSCs.","container-title":"Macromolecules","DOI":"10.1021/acs.macromol.0c00459","ISSN":"0024-9297","issue":"15","journalAbbreviation":"Macromolecules","note":"publisher: American Chemical Society","page":"6619-6629","source":"ACS Publications","title":"Employing Asymmetrical Thieno[3,4-d]pyridazin-1(2H)-one Block Enables Efficient Ternary Polymer Solar Cells with Improved Light-Harvesting and Morphological Properties","volume":"53","author":[{"family":"Han","given":"Jianhua"},{"family":"Wang","given":"Xunchang"},{"family":"Huang","given":"Da"},{"family":"Yang","given":"Chunming"},{"family":"Yang","given":"Renqiang"},{"family":"Bao","given":"Xichang"}],"issued":{"date-parts":[["2020",8,11]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[212]</w:t>
            </w:r>
            <w:r w:rsidRPr="00B55044">
              <w:rPr>
                <w:rFonts w:eastAsia="Times New Roman"/>
                <w:color w:val="0000FF"/>
                <w:sz w:val="16"/>
                <w:szCs w:val="16"/>
              </w:rPr>
              <w:fldChar w:fldCharType="end"/>
            </w:r>
          </w:p>
        </w:tc>
      </w:tr>
      <w:tr w:rsidR="00D47774" w:rsidRPr="00B55044" w14:paraId="4AFD024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81638D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396</w:t>
            </w:r>
          </w:p>
        </w:tc>
        <w:tc>
          <w:tcPr>
            <w:tcW w:w="1525" w:type="pct"/>
            <w:tcBorders>
              <w:top w:val="single" w:sz="4" w:space="0" w:color="auto"/>
              <w:left w:val="nil"/>
              <w:bottom w:val="single" w:sz="4" w:space="0" w:color="auto"/>
              <w:right w:val="nil"/>
            </w:tcBorders>
            <w:shd w:val="clear" w:color="auto" w:fill="auto"/>
            <w:noWrap/>
            <w:vAlign w:val="bottom"/>
            <w:hideMark/>
          </w:tcPr>
          <w:p w14:paraId="3790172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2DD60F9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PM6:PDHP-Th:Y6</w:t>
            </w:r>
          </w:p>
        </w:tc>
        <w:tc>
          <w:tcPr>
            <w:tcW w:w="379" w:type="pct"/>
            <w:tcBorders>
              <w:top w:val="single" w:sz="4" w:space="0" w:color="auto"/>
              <w:left w:val="nil"/>
              <w:bottom w:val="single" w:sz="4" w:space="0" w:color="auto"/>
              <w:right w:val="nil"/>
            </w:tcBorders>
            <w:shd w:val="clear" w:color="auto" w:fill="auto"/>
            <w:noWrap/>
            <w:vAlign w:val="bottom"/>
            <w:hideMark/>
          </w:tcPr>
          <w:p w14:paraId="0820B9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0.801</w:t>
            </w:r>
          </w:p>
        </w:tc>
        <w:tc>
          <w:tcPr>
            <w:tcW w:w="379" w:type="pct"/>
            <w:tcBorders>
              <w:top w:val="single" w:sz="4" w:space="0" w:color="auto"/>
              <w:left w:val="nil"/>
              <w:bottom w:val="single" w:sz="4" w:space="0" w:color="auto"/>
              <w:right w:val="nil"/>
            </w:tcBorders>
            <w:shd w:val="clear" w:color="auto" w:fill="auto"/>
            <w:noWrap/>
            <w:vAlign w:val="bottom"/>
            <w:hideMark/>
          </w:tcPr>
          <w:p w14:paraId="6A69B21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22.38</w:t>
            </w:r>
          </w:p>
        </w:tc>
        <w:tc>
          <w:tcPr>
            <w:tcW w:w="378" w:type="pct"/>
            <w:tcBorders>
              <w:top w:val="single" w:sz="4" w:space="0" w:color="auto"/>
              <w:left w:val="nil"/>
              <w:bottom w:val="single" w:sz="4" w:space="0" w:color="auto"/>
              <w:right w:val="nil"/>
            </w:tcBorders>
            <w:shd w:val="clear" w:color="auto" w:fill="auto"/>
            <w:noWrap/>
            <w:vAlign w:val="bottom"/>
            <w:hideMark/>
          </w:tcPr>
          <w:p w14:paraId="73E3386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w:t>
            </w:r>
          </w:p>
        </w:tc>
        <w:tc>
          <w:tcPr>
            <w:tcW w:w="381" w:type="pct"/>
            <w:tcBorders>
              <w:top w:val="single" w:sz="4" w:space="0" w:color="auto"/>
              <w:left w:val="nil"/>
              <w:bottom w:val="single" w:sz="4" w:space="0" w:color="auto"/>
              <w:right w:val="nil"/>
            </w:tcBorders>
            <w:shd w:val="clear" w:color="auto" w:fill="auto"/>
            <w:noWrap/>
            <w:vAlign w:val="bottom"/>
            <w:hideMark/>
          </w:tcPr>
          <w:p w14:paraId="6EF701B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12.7</w:t>
            </w:r>
          </w:p>
        </w:tc>
        <w:tc>
          <w:tcPr>
            <w:tcW w:w="378" w:type="pct"/>
            <w:tcBorders>
              <w:top w:val="single" w:sz="4" w:space="0" w:color="auto"/>
              <w:left w:val="nil"/>
              <w:bottom w:val="single" w:sz="4" w:space="0" w:color="auto"/>
              <w:right w:val="nil"/>
            </w:tcBorders>
            <w:shd w:val="clear" w:color="auto" w:fill="auto"/>
            <w:noWrap/>
            <w:vAlign w:val="bottom"/>
            <w:hideMark/>
          </w:tcPr>
          <w:p w14:paraId="150A662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{"citationID":"a23imp4c2ua","properties":{"formattedCitation":"[212]","plainCitation":"[212]","noteIndex":0},"citationItems":[{"id":181,"uris":["http://zotero.org/users/12909065/items/MQDASLML"],"itemData":{"id":181,"type":"article-journal","abstract":"Ternary polymer solar cells (PSCs) with the third component as guest offer exceptional photovoltaic performance. Most guests in highly efficient ternary PSCs are small molecular acceptors. Utilizing polymer donor as an effective guest to improve power conversion efficiencies of PSCs remains difficult to anticipate. Herein, new asymmetrical electron-deficient thieno[3,4-d]pyridazin-1(2H)-one monomers polymerize with benzo[1,2-b:4,5-b′]dithiophene monomers, yielding two asymmetrical donor polymers, namely, PDHP-Th (with thiophene arm) and PDHP-Ph (with benzene arm). The asymmetrical thieno[3,4-d]pyridazin-1(2H)-one blocks twist the polymer backbones that induce blue-shift absorption spectra and regulate aggregations compared to that of the well-known symmetrical polymers PBDB-T and PM6. PBDB-T, PDHP-Th, and PDHP-Ph as polymer donor guests are introduced into PM6:Y6 to fabricate ternary PSC devices. The PDHP-Th polymer exhibits a similar energy level to PM6 and can mix well with the PM6:Y6 system and regulate overaggregation of the acceptor Y6, which helps to balance electron and hole mobilities in the ternary devices. All of these contributions result in a power conversion efficiency of 16.8% for the PM6:PDHP-Th:Y6 ternary PSCs. Compared to the widely reported small molecular acceptor guest approaches, our work provides a guideline and molecular design strategy for developing polymer donor guests in constructing high-performance ternary PSCs.","container-title":"Macromolecules","DOI":"10.1021/acs.macromol.0c00459","ISSN":"0024-9297","issue":"15","journalAbbreviation":"Macromolecules","note":"publisher: American Chemical Society","page":"6619-6629","source":"ACS Publications","title":"Employing Asymmetrical Thieno[3,4-d]pyridazin-1(2H)-one Block Enables Efficient Ternary Polymer Solar Cells with Improved Light-Harvesting and Morphological Properties","volume":"53","author":[{"family":"Han","given":"Jianhua"},{"family":"Wang","given":"Xunchang"},{"family":"Huang","given":"Da"},{"family":"Yang","given":"Chunming"},{"family":"Yang","given":"Renqiang"},{"family":"Bao","given":"Xichang"}],"issued":{"date-parts":[["2020",8,11]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[212]</w:t>
            </w:r>
            <w:r w:rsidRPr="00B55044">
              <w:rPr>
                <w:rFonts w:eastAsia="Times New Roman"/>
                <w:color w:val="0000FF"/>
                <w:sz w:val="16"/>
                <w:szCs w:val="16"/>
              </w:rPr>
              <w:fldChar w:fldCharType="end"/>
            </w:r>
          </w:p>
        </w:tc>
      </w:tr>
      <w:tr w:rsidR="00D47774" w:rsidRPr="00B55044" w14:paraId="7FA9E1E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74DA5D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397</w:t>
            </w:r>
          </w:p>
        </w:tc>
        <w:tc>
          <w:tcPr>
            <w:tcW w:w="1525" w:type="pct"/>
            <w:tcBorders>
              <w:top w:val="single" w:sz="4" w:space="0" w:color="auto"/>
              <w:left w:val="nil"/>
              <w:bottom w:val="single" w:sz="4" w:space="0" w:color="auto"/>
              <w:right w:val="nil"/>
            </w:tcBorders>
            <w:shd w:val="clear" w:color="auto" w:fill="auto"/>
            <w:noWrap/>
            <w:vAlign w:val="bottom"/>
            <w:hideMark/>
          </w:tcPr>
          <w:p w14:paraId="28E075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46004A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PM6:PDHP-Th:Y6</w:t>
            </w:r>
          </w:p>
        </w:tc>
        <w:tc>
          <w:tcPr>
            <w:tcW w:w="379" w:type="pct"/>
            <w:tcBorders>
              <w:top w:val="single" w:sz="4" w:space="0" w:color="auto"/>
              <w:left w:val="nil"/>
              <w:bottom w:val="single" w:sz="4" w:space="0" w:color="auto"/>
              <w:right w:val="nil"/>
            </w:tcBorders>
            <w:shd w:val="clear" w:color="auto" w:fill="auto"/>
            <w:noWrap/>
            <w:vAlign w:val="bottom"/>
            <w:hideMark/>
          </w:tcPr>
          <w:p w14:paraId="142CBC0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0.811</w:t>
            </w:r>
          </w:p>
        </w:tc>
        <w:tc>
          <w:tcPr>
            <w:tcW w:w="379" w:type="pct"/>
            <w:tcBorders>
              <w:top w:val="single" w:sz="4" w:space="0" w:color="auto"/>
              <w:left w:val="nil"/>
              <w:bottom w:val="single" w:sz="4" w:space="0" w:color="auto"/>
              <w:right w:val="nil"/>
            </w:tcBorders>
            <w:shd w:val="clear" w:color="auto" w:fill="auto"/>
            <w:noWrap/>
            <w:vAlign w:val="bottom"/>
            <w:hideMark/>
          </w:tcPr>
          <w:p w14:paraId="13366FC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24.87</w:t>
            </w:r>
          </w:p>
        </w:tc>
        <w:tc>
          <w:tcPr>
            <w:tcW w:w="378" w:type="pct"/>
            <w:tcBorders>
              <w:top w:val="single" w:sz="4" w:space="0" w:color="auto"/>
              <w:left w:val="nil"/>
              <w:bottom w:val="single" w:sz="4" w:space="0" w:color="auto"/>
              <w:right w:val="nil"/>
            </w:tcBorders>
            <w:shd w:val="clear" w:color="auto" w:fill="auto"/>
            <w:noWrap/>
            <w:vAlign w:val="bottom"/>
            <w:hideMark/>
          </w:tcPr>
          <w:p w14:paraId="2A69E15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w:t>
            </w:r>
          </w:p>
        </w:tc>
        <w:tc>
          <w:tcPr>
            <w:tcW w:w="381" w:type="pct"/>
            <w:tcBorders>
              <w:top w:val="single" w:sz="4" w:space="0" w:color="auto"/>
              <w:left w:val="nil"/>
              <w:bottom w:val="single" w:sz="4" w:space="0" w:color="auto"/>
              <w:right w:val="nil"/>
            </w:tcBorders>
            <w:shd w:val="clear" w:color="auto" w:fill="auto"/>
            <w:noWrap/>
            <w:vAlign w:val="bottom"/>
            <w:hideMark/>
          </w:tcPr>
          <w:p w14:paraId="3AF73A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14.3</w:t>
            </w:r>
          </w:p>
        </w:tc>
        <w:tc>
          <w:tcPr>
            <w:tcW w:w="378" w:type="pct"/>
            <w:tcBorders>
              <w:top w:val="single" w:sz="4" w:space="0" w:color="auto"/>
              <w:left w:val="nil"/>
              <w:bottom w:val="single" w:sz="4" w:space="0" w:color="auto"/>
              <w:right w:val="nil"/>
            </w:tcBorders>
            <w:shd w:val="clear" w:color="auto" w:fill="auto"/>
            <w:noWrap/>
            <w:vAlign w:val="bottom"/>
            <w:hideMark/>
          </w:tcPr>
          <w:p w14:paraId="39835D9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{"citationID":"a882k1hnhc","properties":{"formattedCitation":"[212]","plainCitation":"[212]","noteIndex":0},"citationItems":[{"id":181,"uris":["http://zotero.org/users/12909065/items/MQDASLML"],"itemData":{"id":181,"type":"article-journal","abstract":"Ternary polymer solar cells (PSCs) with the third component as guest offer exceptional photovoltaic performance. Most guests in highly efficient ternary PSCs are small molecular acceptors. Utilizing polymer donor as an effective guest to improve power conversion efficiencies of PSCs remains difficult to anticipate. Herein, new asymmetrical electron-deficient thieno[3,4-d]pyridazin-1(2H)-one monomers polymerize with benzo[1,2-b:4,5-b′]dithiophene monomers, yielding two asymmetrical donor polymers, namely, PDHP-Th (with thiophene arm) and PDHP-Ph (with benzene arm). The asymmetrical thieno[3,4-d]pyridazin-1(2H)-one blocks twist the polymer backbones that induce blue-shift absorption spectra and regulate aggregations compared to that of the well-known symmetrical polymers PBDB-T and PM6. PBDB-T, PDHP-Th, and PDHP-Ph as polymer donor guests are introduced into PM6:Y6 to fabricate ternary PSC devices. The PDHP-Th polymer exhibits a similar energy level to PM6 and can mix well with the PM6:Y6 system and regulate overaggregation of the acceptor Y6, which helps to balance electron and hole mobilities in the ternary devices. All of these contributions result in a power conversion efficiency of 16.8% for the PM6:PDHP-Th:Y6 ternary PSCs. Compared to the widely reported small molecular acceptor guest approaches, our work provides a guideline and molecular design strategy for developing polymer donor guests in constructing high-performance ternary PSCs.","container-title":"Macromolecules","DOI":"10.1021/acs.macromol.0c00459","ISSN":"0024-9297","issue":"15","journalAbbreviation":"Macromolecules","note":"publisher: American Chemical Society","page":"6619-6629","source":"ACS Publications","title":"Employing Asymmetrical Thieno[3,4-d]pyridazin-1(2H)-one Block Enables Efficient Ternary Polymer Solar Cells with Improved Light-Harvesting and Morphological Properties","volume":"53","author":[{"family":"Han","given":"Jianhua"},{"family":"Wang","given":"Xunchang"},{"family":"Huang","given":"Da"},{"family":"Yang","given":"Chunming"},{"family":"Yang","given":"Renqiang"},{"family":"Bao","given":"Xichang"}],"issued":{"date-parts":[["2020",8,11]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[212]</w:t>
            </w:r>
            <w:r w:rsidRPr="00B55044">
              <w:rPr>
                <w:rFonts w:eastAsia="Times New Roman"/>
                <w:color w:val="0000FF"/>
                <w:sz w:val="16"/>
                <w:szCs w:val="16"/>
              </w:rPr>
              <w:fldChar w:fldCharType="end"/>
            </w:r>
          </w:p>
        </w:tc>
      </w:tr>
      <w:tr w:rsidR="00D47774" w:rsidRPr="00B55044" w14:paraId="72CC0781"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34C9E1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398</w:t>
            </w:r>
          </w:p>
        </w:tc>
        <w:tc>
          <w:tcPr>
            <w:tcW w:w="1525" w:type="pct"/>
            <w:tcBorders>
              <w:top w:val="single" w:sz="4" w:space="0" w:color="auto"/>
              <w:left w:val="nil"/>
              <w:bottom w:val="single" w:sz="4" w:space="0" w:color="auto"/>
              <w:right w:val="nil"/>
            </w:tcBorders>
            <w:shd w:val="clear" w:color="auto" w:fill="auto"/>
            <w:noWrap/>
            <w:vAlign w:val="bottom"/>
            <w:hideMark/>
          </w:tcPr>
          <w:p w14:paraId="1D5A526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2D17A55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PM6:PDHP-Th:Y6</w:t>
            </w:r>
          </w:p>
        </w:tc>
        <w:tc>
          <w:tcPr>
            <w:tcW w:w="379" w:type="pct"/>
            <w:tcBorders>
              <w:top w:val="single" w:sz="4" w:space="0" w:color="auto"/>
              <w:left w:val="nil"/>
              <w:bottom w:val="single" w:sz="4" w:space="0" w:color="auto"/>
              <w:right w:val="nil"/>
            </w:tcBorders>
            <w:shd w:val="clear" w:color="auto" w:fill="auto"/>
            <w:noWrap/>
            <w:vAlign w:val="bottom"/>
            <w:hideMark/>
          </w:tcPr>
          <w:p w14:paraId="7F2EBA5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0.785</w:t>
            </w:r>
          </w:p>
        </w:tc>
        <w:tc>
          <w:tcPr>
            <w:tcW w:w="379" w:type="pct"/>
            <w:tcBorders>
              <w:top w:val="single" w:sz="4" w:space="0" w:color="auto"/>
              <w:left w:val="nil"/>
              <w:bottom w:val="single" w:sz="4" w:space="0" w:color="auto"/>
              <w:right w:val="nil"/>
            </w:tcBorders>
            <w:shd w:val="clear" w:color="auto" w:fill="auto"/>
            <w:noWrap/>
            <w:vAlign w:val="bottom"/>
            <w:hideMark/>
          </w:tcPr>
          <w:p w14:paraId="3EB0981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22.69</w:t>
            </w:r>
          </w:p>
        </w:tc>
        <w:tc>
          <w:tcPr>
            <w:tcW w:w="378" w:type="pct"/>
            <w:tcBorders>
              <w:top w:val="single" w:sz="4" w:space="0" w:color="auto"/>
              <w:left w:val="nil"/>
              <w:bottom w:val="single" w:sz="4" w:space="0" w:color="auto"/>
              <w:right w:val="nil"/>
            </w:tcBorders>
            <w:shd w:val="clear" w:color="auto" w:fill="auto"/>
            <w:noWrap/>
            <w:vAlign w:val="bottom"/>
            <w:hideMark/>
          </w:tcPr>
          <w:p w14:paraId="17C7929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67.4</w:t>
            </w:r>
          </w:p>
        </w:tc>
        <w:tc>
          <w:tcPr>
            <w:tcW w:w="381" w:type="pct"/>
            <w:tcBorders>
              <w:top w:val="single" w:sz="4" w:space="0" w:color="auto"/>
              <w:left w:val="nil"/>
              <w:bottom w:val="single" w:sz="4" w:space="0" w:color="auto"/>
              <w:right w:val="nil"/>
            </w:tcBorders>
            <w:shd w:val="clear" w:color="auto" w:fill="auto"/>
            <w:noWrap/>
            <w:vAlign w:val="bottom"/>
            <w:hideMark/>
          </w:tcPr>
          <w:p w14:paraId="5E4F2B0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12.3</w:t>
            </w:r>
          </w:p>
        </w:tc>
        <w:tc>
          <w:tcPr>
            <w:tcW w:w="378" w:type="pct"/>
            <w:tcBorders>
              <w:top w:val="single" w:sz="4" w:space="0" w:color="auto"/>
              <w:left w:val="nil"/>
              <w:bottom w:val="single" w:sz="4" w:space="0" w:color="auto"/>
              <w:right w:val="nil"/>
            </w:tcBorders>
            <w:shd w:val="clear" w:color="auto" w:fill="auto"/>
            <w:noWrap/>
            <w:vAlign w:val="bottom"/>
            <w:hideMark/>
          </w:tcPr>
          <w:p w14:paraId="1E31AD2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{"citationID":"apeg5mbkng","properties":{"formattedCitation":"[212]","plainCitation":"[212]","noteIndex":0},"citationItems":[{"id":181,"uris":["http://zotero.org/users/12909065/items/MQDASLML"],"itemData":{"id":181,"type":"article-journal","abstract":"Ternary polymer solar cells (PSCs) with the third component as guest offer exceptional photovoltaic performance. Most guests in highly efficient ternary PSCs are small molecular acceptors. Utilizing polymer donor as an effective guest to improve power conversion efficiencies of PSCs remains difficult to anticipate. Herein, new asymmetrical electron-deficient thieno[3,4-d]pyridazin-1(2H)-one monomers polymerize with benzo[1,2-b:4,5-b′]dithiophene monomers, yielding two asymmetrical donor polymers, namely, PDHP-Th (with thiophene arm) and PDHP-Ph (with benzene arm). The asymmetrical thieno[3,4-d]pyridazin-1(2H)-one blocks twist the polymer backbones that induce blue-shift absorption spectra and regulate aggregations compared to that of the well-known symmetrical polymers PBDB-T and PM6. PBDB-T, PDHP-Th, and PDHP-Ph as polymer donor guests are introduced into PM6:Y6 to fabricate ternary PSC devices. The PDHP-Th polymer exhibits a similar energy level to PM6 and can mix well with the PM6:Y6 system and regulate overaggregation of the acceptor Y6, which helps to balance electron and hole mobilities in the ternary devices. All of these contributions result in a power conversion efficiency of 16.8% for the PM6:PDHP-Th:Y6 ternary PSCs. Compared to the widely reported small molecular acceptor guest approaches, our work provides a guideline and molecular design strategy for developing polymer donor guests in constructing high-performance ternary PSCs.","container-title":"Macromolecules","DOI":"10.1021/acs.macromol.0c00459","ISSN":"0024-9297","issue":"15","journalAbbreviation":"Macromolecules","note":"publisher: American Chemical Society","page":"6619-6629","source":"ACS Publications","title":"Employing Asymmetrical Thieno[3,4-d]pyridazin-1(2H)-one Block Enables Efficient Ternary Polymer Solar Cells with Improved Light-Harvesting and Morphological Properties","volume":"53","author":[{"family":"Han","given":"Jianhua"},{"family":"Wang","given":"Xunchang"},{"family":"Huang","given":"Da"},{"family":"Yang","given":"Chunming"},{"family":"Yang","given":"Renqiang"},{"family":"Bao","given":"Xichang"}],"issued":{"date-parts":[["2020",8,11]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[212]</w:t>
            </w:r>
            <w:r w:rsidRPr="00B55044">
              <w:rPr>
                <w:rFonts w:eastAsia="Times New Roman"/>
                <w:color w:val="0000FF"/>
                <w:sz w:val="16"/>
                <w:szCs w:val="16"/>
              </w:rPr>
              <w:fldChar w:fldCharType="end"/>
            </w:r>
          </w:p>
        </w:tc>
      </w:tr>
      <w:tr w:rsidR="00D47774" w:rsidRPr="00B55044" w14:paraId="58FB229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848E05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399</w:t>
            </w:r>
          </w:p>
        </w:tc>
        <w:tc>
          <w:tcPr>
            <w:tcW w:w="1525" w:type="pct"/>
            <w:tcBorders>
              <w:top w:val="single" w:sz="4" w:space="0" w:color="auto"/>
              <w:left w:val="nil"/>
              <w:bottom w:val="single" w:sz="4" w:space="0" w:color="auto"/>
              <w:right w:val="nil"/>
            </w:tcBorders>
            <w:shd w:val="clear" w:color="auto" w:fill="auto"/>
            <w:noWrap/>
            <w:vAlign w:val="bottom"/>
            <w:hideMark/>
          </w:tcPr>
          <w:p w14:paraId="3ED43D6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6F448EA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PM6:PDHP-Th:Y6</w:t>
            </w:r>
          </w:p>
        </w:tc>
        <w:tc>
          <w:tcPr>
            <w:tcW w:w="379" w:type="pct"/>
            <w:tcBorders>
              <w:top w:val="single" w:sz="4" w:space="0" w:color="auto"/>
              <w:left w:val="nil"/>
              <w:bottom w:val="single" w:sz="4" w:space="0" w:color="auto"/>
              <w:right w:val="nil"/>
            </w:tcBorders>
            <w:shd w:val="clear" w:color="auto" w:fill="auto"/>
            <w:noWrap/>
            <w:vAlign w:val="bottom"/>
            <w:hideMark/>
          </w:tcPr>
          <w:p w14:paraId="34218EA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0.801</w:t>
            </w:r>
          </w:p>
        </w:tc>
        <w:tc>
          <w:tcPr>
            <w:tcW w:w="379" w:type="pct"/>
            <w:tcBorders>
              <w:top w:val="single" w:sz="4" w:space="0" w:color="auto"/>
              <w:left w:val="nil"/>
              <w:bottom w:val="single" w:sz="4" w:space="0" w:color="auto"/>
              <w:right w:val="nil"/>
            </w:tcBorders>
            <w:shd w:val="clear" w:color="auto" w:fill="auto"/>
            <w:noWrap/>
            <w:vAlign w:val="bottom"/>
            <w:hideMark/>
          </w:tcPr>
          <w:p w14:paraId="0669C15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19.7</w:t>
            </w:r>
          </w:p>
        </w:tc>
        <w:tc>
          <w:tcPr>
            <w:tcW w:w="378" w:type="pct"/>
            <w:tcBorders>
              <w:top w:val="single" w:sz="4" w:space="0" w:color="auto"/>
              <w:left w:val="nil"/>
              <w:bottom w:val="single" w:sz="4" w:space="0" w:color="auto"/>
              <w:right w:val="nil"/>
            </w:tcBorders>
            <w:shd w:val="clear" w:color="auto" w:fill="auto"/>
            <w:noWrap/>
            <w:vAlign w:val="bottom"/>
            <w:hideMark/>
          </w:tcPr>
          <w:p w14:paraId="222AA39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61.8</w:t>
            </w:r>
          </w:p>
        </w:tc>
        <w:tc>
          <w:tcPr>
            <w:tcW w:w="381" w:type="pct"/>
            <w:tcBorders>
              <w:top w:val="single" w:sz="4" w:space="0" w:color="auto"/>
              <w:left w:val="nil"/>
              <w:bottom w:val="single" w:sz="4" w:space="0" w:color="auto"/>
              <w:right w:val="nil"/>
            </w:tcBorders>
            <w:shd w:val="clear" w:color="auto" w:fill="auto"/>
            <w:noWrap/>
            <w:vAlign w:val="bottom"/>
            <w:hideMark/>
          </w:tcPr>
          <w:p w14:paraId="58D3675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9.6</w:t>
            </w:r>
          </w:p>
        </w:tc>
        <w:tc>
          <w:tcPr>
            <w:tcW w:w="378" w:type="pct"/>
            <w:tcBorders>
              <w:top w:val="single" w:sz="4" w:space="0" w:color="auto"/>
              <w:left w:val="nil"/>
              <w:bottom w:val="single" w:sz="4" w:space="0" w:color="auto"/>
              <w:right w:val="nil"/>
            </w:tcBorders>
            <w:shd w:val="clear" w:color="auto" w:fill="auto"/>
            <w:noWrap/>
            <w:vAlign w:val="bottom"/>
            <w:hideMark/>
          </w:tcPr>
          <w:p w14:paraId="412F91D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{"citationID":"a1mtnas1h2n","properties":{"formattedCitation":"[212]","plainCitation":"[212]","noteIndex":0},"citationItems":[{"id":181,"uris":["http://zotero.org/users/12909065/items/MQDASLML"],"itemData":{"id":181,"type":"article-journal","abstract":"Ternary polymer solar cells (PSCs) with the third component as guest offer exceptional photovoltaic performance. Most guests in highly efficient ternary PSCs are small molecular acceptors. Utilizing polymer donor as an effective guest to improve power conversion efficiencies of PSCs remains difficult to anticipate. Herein, new asymmetrical electron-deficient thieno[3,4-d]pyridazin-1(2H)-one monomers polymerize with benzo[1,2-b:4,5-b′]dithiophene monomers, yielding two asymmetrical donor polymers, namely, PDHP-Th (with thiophene arm) and PDHP-Ph (with benzene arm). The asymmetrical thieno[3,4-d]pyridazin-1(2H)-one blocks twist the polymer backbones that induce blue-shift absorption spectra and regulate aggregations compared to that of the well-known symmetrical polymers PBDB-T and PM6. PBDB-T, PDHP-Th, and PDHP-Ph as polymer donor guests are introduced into PM6:Y6 to fabricate ternary PSC devices. The PDHP-Th polymer exhibits a similar energy level to PM6 and can mix well with the PM6:Y6 system and regulate overaggregation of the acceptor Y6, which helps to balance electron and hole mobilities in the ternary devices. All of these contributions result in a power conversion efficiency of 16.8% for the PM6:PDHP-Th:Y6 ternary PSCs. Compared to the widely reported small molecular acceptor guest approaches, our work provides a guideline and molecular design strategy for developing polymer donor guests in constructing high-performance ternary PSCs.","container-title":"Macromolecules","DOI":"10.1021/acs.macromol.0c00459","ISSN":"0024-9297","issue":"15","journalAbbreviation":"Macromolecules","note":"publisher: American Chemical Society","page":"6619-6629","source":"ACS Publications","title":"Employing Asymmetrical Thieno[3,4-d]pyridazin-1(2H)-one Block Enables Efficient Ternary Polymer Solar Cells with Improved Light-Harvesting and Morphological Properties","volume":"53","author":[{"family":"Han","given":"Jianhua"},{"family":"Wang","given":"Xunchang"},{"family":"Huang","given":"Da"},{"family":"Yang","given":"Chunming"},{"family":"Yang","given":"Renqiang"},{"family":"Bao","given":"Xichang"}],"issued":{"date-parts":[["2020",8,11]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[212]</w:t>
            </w:r>
            <w:r w:rsidRPr="00B55044">
              <w:rPr>
                <w:rFonts w:eastAsia="Times New Roman"/>
                <w:color w:val="0000FF"/>
                <w:sz w:val="16"/>
                <w:szCs w:val="16"/>
              </w:rPr>
              <w:fldChar w:fldCharType="end"/>
            </w:r>
          </w:p>
        </w:tc>
      </w:tr>
      <w:tr w:rsidR="00D47774" w:rsidRPr="00B55044" w14:paraId="2A8C16F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56B2F9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400</w:t>
            </w:r>
          </w:p>
        </w:tc>
        <w:tc>
          <w:tcPr>
            <w:tcW w:w="1525" w:type="pct"/>
            <w:tcBorders>
              <w:top w:val="single" w:sz="4" w:space="0" w:color="auto"/>
              <w:left w:val="nil"/>
              <w:bottom w:val="single" w:sz="4" w:space="0" w:color="auto"/>
              <w:right w:val="nil"/>
            </w:tcBorders>
            <w:shd w:val="clear" w:color="auto" w:fill="auto"/>
            <w:noWrap/>
            <w:vAlign w:val="bottom"/>
            <w:hideMark/>
          </w:tcPr>
          <w:p w14:paraId="6C0D457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42EB40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PM6:PBDB-T:Y6</w:t>
            </w:r>
          </w:p>
        </w:tc>
        <w:tc>
          <w:tcPr>
            <w:tcW w:w="379" w:type="pct"/>
            <w:tcBorders>
              <w:top w:val="single" w:sz="4" w:space="0" w:color="auto"/>
              <w:left w:val="nil"/>
              <w:bottom w:val="single" w:sz="4" w:space="0" w:color="auto"/>
              <w:right w:val="nil"/>
            </w:tcBorders>
            <w:shd w:val="clear" w:color="auto" w:fill="auto"/>
            <w:noWrap/>
            <w:vAlign w:val="bottom"/>
            <w:hideMark/>
          </w:tcPr>
          <w:p w14:paraId="1EBC792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0.833</w:t>
            </w:r>
          </w:p>
        </w:tc>
        <w:tc>
          <w:tcPr>
            <w:tcW w:w="379" w:type="pct"/>
            <w:tcBorders>
              <w:top w:val="single" w:sz="4" w:space="0" w:color="auto"/>
              <w:left w:val="nil"/>
              <w:bottom w:val="single" w:sz="4" w:space="0" w:color="auto"/>
              <w:right w:val="nil"/>
            </w:tcBorders>
            <w:shd w:val="clear" w:color="auto" w:fill="auto"/>
            <w:noWrap/>
            <w:vAlign w:val="bottom"/>
            <w:hideMark/>
          </w:tcPr>
          <w:p w14:paraId="3F81CC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25.57</w:t>
            </w:r>
          </w:p>
        </w:tc>
        <w:tc>
          <w:tcPr>
            <w:tcW w:w="378" w:type="pct"/>
            <w:tcBorders>
              <w:top w:val="single" w:sz="4" w:space="0" w:color="auto"/>
              <w:left w:val="nil"/>
              <w:bottom w:val="single" w:sz="4" w:space="0" w:color="auto"/>
              <w:right w:val="nil"/>
            </w:tcBorders>
            <w:shd w:val="clear" w:color="auto" w:fill="auto"/>
            <w:noWrap/>
            <w:vAlign w:val="bottom"/>
            <w:hideMark/>
          </w:tcPr>
          <w:p w14:paraId="71896F1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68.5</w:t>
            </w:r>
          </w:p>
        </w:tc>
        <w:tc>
          <w:tcPr>
            <w:tcW w:w="381" w:type="pct"/>
            <w:tcBorders>
              <w:top w:val="single" w:sz="4" w:space="0" w:color="auto"/>
              <w:left w:val="nil"/>
              <w:bottom w:val="single" w:sz="4" w:space="0" w:color="auto"/>
              <w:right w:val="nil"/>
            </w:tcBorders>
            <w:shd w:val="clear" w:color="auto" w:fill="auto"/>
            <w:noWrap/>
            <w:vAlign w:val="bottom"/>
            <w:hideMark/>
          </w:tcPr>
          <w:p w14:paraId="4077896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14.6</w:t>
            </w:r>
          </w:p>
        </w:tc>
        <w:tc>
          <w:tcPr>
            <w:tcW w:w="378" w:type="pct"/>
            <w:tcBorders>
              <w:top w:val="single" w:sz="4" w:space="0" w:color="auto"/>
              <w:left w:val="nil"/>
              <w:bottom w:val="single" w:sz="4" w:space="0" w:color="auto"/>
              <w:right w:val="nil"/>
            </w:tcBorders>
            <w:shd w:val="clear" w:color="auto" w:fill="auto"/>
            <w:noWrap/>
            <w:vAlign w:val="bottom"/>
            <w:hideMark/>
          </w:tcPr>
          <w:p w14:paraId="44DE987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{"citationID":"a10prnmv6kc","properties":{"formattedCitation":"[212]","plainCitation":"[212]","noteIndex":0},"citationItems":[{"id":181,"uris":["http://zotero.org/users/12909065/items/MQDASLML"],"itemData":{"id":181,"type":"article-journal","abstract":"Ternary polymer solar cells (PSCs) with the third component as guest offer exceptional photovoltaic performance. Most guests in highly efficient ternary PSCs are small molecular acceptors. Utilizing polymer donor as an effective guest to improve power conversion efficiencies of PSCs remains difficult to anticipate. Herein, new asymmetrical electron-deficient thieno[3,4-d]pyridazin-1(2H)-one monomers polymerize with benzo[1,2-b:4,5-b′]dithiophene monomers, yielding two asymmetrical donor polymers, namely, PDHP-Th (with thiophene arm) and PDHP-Ph (with benzene arm). The asymmetrical thieno[3,4-d]pyridazin-1(2H)-one blocks twist the polymer backbones that induce blue-shift absorption spectra and regulate aggregations compared to that of the well-known symmetrical polymers PBDB-T and PM6. PBDB-T, PDHP-Th, and PDHP-Ph as polymer donor guests are introduced into PM6:Y6 to fabricate ternary PSC devices. The PDHP-Th polymer exhibits a similar energy level to PM6 and can mix well with the PM6:Y6 system and regulate overaggregation of the acceptor Y6, which helps to balance electron and hole mobilities in the ternary devices. All of these contributions result in a power conversion efficiency of 16.8% for the PM6:PDHP-Th:Y6 ternary PSCs. Compared to the widely reported small molecular acceptor guest approaches, our work provides a guideline and molecular design strategy for developing polymer donor guests in constructing high-performance ternary PSCs.","container-title":"Macromolecules","DOI":"10.1021/acs.macromol.0c00459","ISSN":"0024-9297","issue":"15","journalAbbreviation":"Macromolecules","note":"publisher: American Chemical Society","page":"6619-6629","source":"ACS Publications","title":"Employing Asymmetrical Thieno[3,4-d]pyridazin-1(2H)-one Block Enables Efficient Ternary Polymer Solar Cells with Improved Light-Harvesting and Morphological Properties","volume":"53","author":[{"family":"Han","given":"Jianhua"},{"family":"Wang","given":"Xunchang"},{"family":"Huang","given":"Da"},{"family":"Yang","given":"Chunming"},{"family":"Yang","given":"Renqiang"},{"family":"Bao","given":"Xichang"}],"issued":{"date-parts":[["2020",8,11]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[212]</w:t>
            </w:r>
            <w:r w:rsidRPr="00B55044">
              <w:rPr>
                <w:rFonts w:eastAsia="Times New Roman"/>
                <w:color w:val="0000FF"/>
                <w:sz w:val="16"/>
                <w:szCs w:val="16"/>
              </w:rPr>
              <w:fldChar w:fldCharType="end"/>
            </w:r>
          </w:p>
        </w:tc>
      </w:tr>
      <w:tr w:rsidR="00D47774" w:rsidRPr="00B55044" w14:paraId="51CBEAF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B593C9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401</w:t>
            </w:r>
          </w:p>
        </w:tc>
        <w:tc>
          <w:tcPr>
            <w:tcW w:w="1525" w:type="pct"/>
            <w:tcBorders>
              <w:top w:val="single" w:sz="4" w:space="0" w:color="auto"/>
              <w:left w:val="nil"/>
              <w:bottom w:val="single" w:sz="4" w:space="0" w:color="auto"/>
              <w:right w:val="nil"/>
            </w:tcBorders>
            <w:shd w:val="clear" w:color="auto" w:fill="auto"/>
            <w:noWrap/>
            <w:vAlign w:val="bottom"/>
            <w:hideMark/>
          </w:tcPr>
          <w:p w14:paraId="0975942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7EC1008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PM6:PBDB-T:Y6</w:t>
            </w:r>
          </w:p>
        </w:tc>
        <w:tc>
          <w:tcPr>
            <w:tcW w:w="379" w:type="pct"/>
            <w:tcBorders>
              <w:top w:val="single" w:sz="4" w:space="0" w:color="auto"/>
              <w:left w:val="nil"/>
              <w:bottom w:val="single" w:sz="4" w:space="0" w:color="auto"/>
              <w:right w:val="nil"/>
            </w:tcBorders>
            <w:shd w:val="clear" w:color="auto" w:fill="auto"/>
            <w:noWrap/>
            <w:vAlign w:val="bottom"/>
            <w:hideMark/>
          </w:tcPr>
          <w:p w14:paraId="4D3DC72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0.838</w:t>
            </w:r>
          </w:p>
        </w:tc>
        <w:tc>
          <w:tcPr>
            <w:tcW w:w="379" w:type="pct"/>
            <w:tcBorders>
              <w:top w:val="single" w:sz="4" w:space="0" w:color="auto"/>
              <w:left w:val="nil"/>
              <w:bottom w:val="single" w:sz="4" w:space="0" w:color="auto"/>
              <w:right w:val="nil"/>
            </w:tcBorders>
            <w:shd w:val="clear" w:color="auto" w:fill="auto"/>
            <w:noWrap/>
            <w:vAlign w:val="bottom"/>
            <w:hideMark/>
          </w:tcPr>
          <w:p w14:paraId="560F1A0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25.83</w:t>
            </w:r>
          </w:p>
        </w:tc>
        <w:tc>
          <w:tcPr>
            <w:tcW w:w="378" w:type="pct"/>
            <w:tcBorders>
              <w:top w:val="single" w:sz="4" w:space="0" w:color="auto"/>
              <w:left w:val="nil"/>
              <w:bottom w:val="single" w:sz="4" w:space="0" w:color="auto"/>
              <w:right w:val="nil"/>
            </w:tcBorders>
            <w:shd w:val="clear" w:color="auto" w:fill="auto"/>
            <w:noWrap/>
            <w:vAlign w:val="bottom"/>
            <w:hideMark/>
          </w:tcPr>
          <w:p w14:paraId="1C669B7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71.2</w:t>
            </w:r>
          </w:p>
        </w:tc>
        <w:tc>
          <w:tcPr>
            <w:tcW w:w="381" w:type="pct"/>
            <w:tcBorders>
              <w:top w:val="single" w:sz="4" w:space="0" w:color="auto"/>
              <w:left w:val="nil"/>
              <w:bottom w:val="single" w:sz="4" w:space="0" w:color="auto"/>
              <w:right w:val="nil"/>
            </w:tcBorders>
            <w:shd w:val="clear" w:color="auto" w:fill="auto"/>
            <w:noWrap/>
            <w:vAlign w:val="bottom"/>
            <w:hideMark/>
          </w:tcPr>
          <w:p w14:paraId="2766258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15.6</w:t>
            </w:r>
          </w:p>
        </w:tc>
        <w:tc>
          <w:tcPr>
            <w:tcW w:w="378" w:type="pct"/>
            <w:tcBorders>
              <w:top w:val="single" w:sz="4" w:space="0" w:color="auto"/>
              <w:left w:val="nil"/>
              <w:bottom w:val="single" w:sz="4" w:space="0" w:color="auto"/>
              <w:right w:val="nil"/>
            </w:tcBorders>
            <w:shd w:val="clear" w:color="auto" w:fill="auto"/>
            <w:noWrap/>
            <w:vAlign w:val="bottom"/>
            <w:hideMark/>
          </w:tcPr>
          <w:p w14:paraId="14BA7FF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{"citationID":"a10ct0teitu","properties":{"formattedCitation":"[212]","plainCitation":"[212]","noteIndex":0},"citationItems":[{"id":181,"uris":["http://zotero.org/users/12909065/items/MQDASLML"],"itemData":{"id":181,"type":"article-journal","abstract":"Ternary polymer solar cells (PSCs) with the third component as guest offer exceptional photovoltaic performance. Most guests in highly efficient ternary PSCs are small molecular acceptors. Utilizing polymer donor as an effective guest to improve power conversion efficiencies of PSCs remains difficult to anticipate. Herein, new asymmetrical electron-deficient thieno[3,4-d]pyridazin-1(2H)-one monomers polymerize with benzo[1,2-b:4,5-b′]dithiophene monomers, yielding two asymmetrical donor polymers, namely, PDHP-Th (with thiophene arm) and PDHP-Ph (with benzene arm). The asymmetrical thieno[3,4-d]pyridazin-1(2H)-one blocks twist the polymer backbones that induce blue-shift absorption spectra and regulate aggregations compared to that of the well-known symmetrical polymers PBDB-T and PM6. PBDB-T, PDHP-Th, and PDHP-Ph as polymer donor guests are introduced into PM6:Y6 to fabricate ternary PSC devices. The PDHP-Th polymer exhibits a similar energy level to PM6 and can mix well with the PM6:Y6 system and regulate overaggregation of the acceptor Y6, which helps to balance electron and hole mobilities in the ternary devices. All of these contributions result in a power conversion efficiency of 16.8% for the PM6:PDHP-Th:Y6 ternary PSCs. Compared to the widely reported small molecular acceptor guest approaches, our work provides a guideline and molecular design strategy for developing polymer donor guests in constructing high-performance ternary PSCs.","container-title":"Macromolecules","DOI":"10.1021/acs.macromol.0c00459","ISSN":"0024-9297","issue":"15","journalAbbreviation":"Macromolecules","note":"publisher: American Chemical Society","page":"6619-6629","source":"ACS Publications","title":"Employing Asymmetrical Thieno[3,4-d]pyridazin-1(2H)-one Block Enables Efficient Ternary Polymer Solar Cells with Improved Light-Harvesting and Morphological Properties","volume":"53","author":[{"family":"Han","given":"Jianhua"},{"family":"Wang","given":"Xunchang"},{"family":"Huang","given":"Da"},{"family":"Yang","given":"Chunming"},{"family":"Yang","given":"Renqiang"},{"family":"Bao","given":"Xichang"}],"issued":{"date-parts":[["2020",8,11]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[212]</w:t>
            </w:r>
            <w:r w:rsidRPr="00B55044">
              <w:rPr>
                <w:rFonts w:eastAsia="Times New Roman"/>
                <w:color w:val="0000FF"/>
                <w:sz w:val="16"/>
                <w:szCs w:val="16"/>
              </w:rPr>
              <w:fldChar w:fldCharType="end"/>
            </w:r>
          </w:p>
        </w:tc>
      </w:tr>
      <w:tr w:rsidR="00D47774" w:rsidRPr="00B55044" w14:paraId="5D91430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702D7F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402</w:t>
            </w:r>
          </w:p>
        </w:tc>
        <w:tc>
          <w:tcPr>
            <w:tcW w:w="1525" w:type="pct"/>
            <w:tcBorders>
              <w:top w:val="single" w:sz="4" w:space="0" w:color="auto"/>
              <w:left w:val="nil"/>
              <w:bottom w:val="single" w:sz="4" w:space="0" w:color="auto"/>
              <w:right w:val="nil"/>
            </w:tcBorders>
            <w:shd w:val="clear" w:color="auto" w:fill="auto"/>
            <w:noWrap/>
            <w:vAlign w:val="bottom"/>
            <w:hideMark/>
          </w:tcPr>
          <w:p w14:paraId="6323A8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6A17140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PM6:PBDB-T:Y6</w:t>
            </w:r>
          </w:p>
        </w:tc>
        <w:tc>
          <w:tcPr>
            <w:tcW w:w="379" w:type="pct"/>
            <w:tcBorders>
              <w:top w:val="single" w:sz="4" w:space="0" w:color="auto"/>
              <w:left w:val="nil"/>
              <w:bottom w:val="single" w:sz="4" w:space="0" w:color="auto"/>
              <w:right w:val="nil"/>
            </w:tcBorders>
            <w:shd w:val="clear" w:color="auto" w:fill="auto"/>
            <w:noWrap/>
            <w:vAlign w:val="bottom"/>
            <w:hideMark/>
          </w:tcPr>
          <w:p w14:paraId="126939A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69D46F1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26.6</w:t>
            </w:r>
          </w:p>
        </w:tc>
        <w:tc>
          <w:tcPr>
            <w:tcW w:w="378" w:type="pct"/>
            <w:tcBorders>
              <w:top w:val="single" w:sz="4" w:space="0" w:color="auto"/>
              <w:left w:val="nil"/>
              <w:bottom w:val="single" w:sz="4" w:space="0" w:color="auto"/>
              <w:right w:val="nil"/>
            </w:tcBorders>
            <w:shd w:val="clear" w:color="auto" w:fill="auto"/>
            <w:noWrap/>
            <w:vAlign w:val="bottom"/>
            <w:hideMark/>
          </w:tcPr>
          <w:p w14:paraId="15B78A0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71.7</w:t>
            </w:r>
          </w:p>
        </w:tc>
        <w:tc>
          <w:tcPr>
            <w:tcW w:w="381" w:type="pct"/>
            <w:tcBorders>
              <w:top w:val="single" w:sz="4" w:space="0" w:color="auto"/>
              <w:left w:val="nil"/>
              <w:bottom w:val="single" w:sz="4" w:space="0" w:color="auto"/>
              <w:right w:val="nil"/>
            </w:tcBorders>
            <w:shd w:val="clear" w:color="auto" w:fill="auto"/>
            <w:noWrap/>
            <w:vAlign w:val="bottom"/>
            <w:hideMark/>
          </w:tcPr>
          <w:p w14:paraId="3D36BD8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16.2</w:t>
            </w:r>
          </w:p>
        </w:tc>
        <w:tc>
          <w:tcPr>
            <w:tcW w:w="378" w:type="pct"/>
            <w:tcBorders>
              <w:top w:val="single" w:sz="4" w:space="0" w:color="auto"/>
              <w:left w:val="nil"/>
              <w:bottom w:val="single" w:sz="4" w:space="0" w:color="auto"/>
              <w:right w:val="nil"/>
            </w:tcBorders>
            <w:shd w:val="clear" w:color="auto" w:fill="auto"/>
            <w:noWrap/>
            <w:vAlign w:val="bottom"/>
            <w:hideMark/>
          </w:tcPr>
          <w:p w14:paraId="7811CA7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{"citationID":"a2n8vn3ut5e","properties":{"formattedCitation":"[212]","plainCitation":"[212]","noteIndex":0},"citationItems":[{"id":181,"uris":["http://zotero.org/users/12909065/items/MQDASLML"],"itemData":{"id":181,"type":"article-journal","abstract":"Ternary polymer solar cells (PSCs) with the third component as guest offer exceptional photovoltaic performance. Most guests in highly efficient ternary PSCs are small molecular acceptors. Utilizing polymer donor as an effective guest to improve power conversion efficiencies of PSCs remains difficult to anticipate. Herein, new asymmetrical electron-deficient thieno[3,4-d]pyridazin-1(2H)-one monomers polymerize with benzo[1,2-b:4,5-b′]dithiophene monomers, yielding two asymmetrical donor polymers, namely, PDHP-Th (with thiophene arm) and PDHP-Ph (with benzene arm). The asymmetrical thieno[3,4-d]pyridazin-1(2H)-one blocks twist the polymer backbones that induce blue-shift absorption spectra and regulate aggregations compared to that of the well-known symmetrical polymers PBDB-T and PM6. PBDB-T, PDHP-Th, and PDHP-Ph as polymer donor guests are introduced into PM6:Y6 to fabricate ternary PSC devices. The PDHP-Th polymer exhibits a similar energy level to PM6 and can mix well with the PM6:Y6 system and regulate overaggregation of the acceptor Y6, which helps to balance electron and hole mobilities in the ternary devices. All of these contributions result in a power conversion efficiency of 16.8% for the PM6:PDHP-Th:Y6 ternary PSCs. Compared to the widely reported small molecular acceptor guest approaches, our work provides a guideline and molecular design strategy for developing polymer donor guests in constructing high-performance ternary PSCs.","container-title":"Macromolecules","DOI":"10.1021/acs.macromol.0c00459","ISSN":"0024-9297","issue":"15","journalAbbreviation":"Macromolecules","note":"publisher: American Chemical Society","page":"6619-6629","source":"ACS Publications","title":"Employing Asymmetrical Thieno[3,4-d]pyridazin-1(2H)-one Block Enables Efficient Ternary Polymer Solar Cells with Improved Light-Harvesting and Morphological Properties","volume":"53","author":[{"family":"Han","given":"Jianhua"},{"family":"Wang","given":"Xunchang"},{"family":"Huang","given":"Da"},{"family":"Yang","given":"Chunming"},{"family":"Yang","given":"Renqiang"},{"family":"Bao","given":"Xichang"}],"issued":{"date-parts":[["2020",8,11]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[212]</w:t>
            </w:r>
            <w:r w:rsidRPr="00B55044">
              <w:rPr>
                <w:rFonts w:eastAsia="Times New Roman"/>
                <w:color w:val="0000FF"/>
                <w:sz w:val="16"/>
                <w:szCs w:val="16"/>
              </w:rPr>
              <w:fldChar w:fldCharType="end"/>
            </w:r>
          </w:p>
        </w:tc>
      </w:tr>
      <w:tr w:rsidR="00D47774" w:rsidRPr="00B55044" w14:paraId="29C3E72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8C5FB1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403</w:t>
            </w:r>
          </w:p>
        </w:tc>
        <w:tc>
          <w:tcPr>
            <w:tcW w:w="1525" w:type="pct"/>
            <w:tcBorders>
              <w:top w:val="single" w:sz="4" w:space="0" w:color="auto"/>
              <w:left w:val="nil"/>
              <w:bottom w:val="single" w:sz="4" w:space="0" w:color="auto"/>
              <w:right w:val="nil"/>
            </w:tcBorders>
            <w:shd w:val="clear" w:color="auto" w:fill="auto"/>
            <w:noWrap/>
            <w:vAlign w:val="bottom"/>
            <w:hideMark/>
          </w:tcPr>
          <w:p w14:paraId="4E3EE2D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D906BF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PM6:PBDB-T:Y6</w:t>
            </w:r>
          </w:p>
        </w:tc>
        <w:tc>
          <w:tcPr>
            <w:tcW w:w="379" w:type="pct"/>
            <w:tcBorders>
              <w:top w:val="single" w:sz="4" w:space="0" w:color="auto"/>
              <w:left w:val="nil"/>
              <w:bottom w:val="single" w:sz="4" w:space="0" w:color="auto"/>
              <w:right w:val="nil"/>
            </w:tcBorders>
            <w:shd w:val="clear" w:color="auto" w:fill="auto"/>
            <w:noWrap/>
            <w:vAlign w:val="bottom"/>
            <w:hideMark/>
          </w:tcPr>
          <w:p w14:paraId="088B3FE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0.844</w:t>
            </w:r>
          </w:p>
        </w:tc>
        <w:tc>
          <w:tcPr>
            <w:tcW w:w="379" w:type="pct"/>
            <w:tcBorders>
              <w:top w:val="single" w:sz="4" w:space="0" w:color="auto"/>
              <w:left w:val="nil"/>
              <w:bottom w:val="single" w:sz="4" w:space="0" w:color="auto"/>
              <w:right w:val="nil"/>
            </w:tcBorders>
            <w:shd w:val="clear" w:color="auto" w:fill="auto"/>
            <w:noWrap/>
            <w:vAlign w:val="bottom"/>
            <w:hideMark/>
          </w:tcPr>
          <w:p w14:paraId="611FFC0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23.99</w:t>
            </w:r>
          </w:p>
        </w:tc>
        <w:tc>
          <w:tcPr>
            <w:tcW w:w="378" w:type="pct"/>
            <w:tcBorders>
              <w:top w:val="single" w:sz="4" w:space="0" w:color="auto"/>
              <w:left w:val="nil"/>
              <w:bottom w:val="single" w:sz="4" w:space="0" w:color="auto"/>
              <w:right w:val="nil"/>
            </w:tcBorders>
            <w:shd w:val="clear" w:color="auto" w:fill="auto"/>
            <w:noWrap/>
            <w:vAlign w:val="bottom"/>
            <w:hideMark/>
          </w:tcPr>
          <w:p w14:paraId="23137FD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74.5</w:t>
            </w:r>
          </w:p>
        </w:tc>
        <w:tc>
          <w:tcPr>
            <w:tcW w:w="381" w:type="pct"/>
            <w:tcBorders>
              <w:top w:val="single" w:sz="4" w:space="0" w:color="auto"/>
              <w:left w:val="nil"/>
              <w:bottom w:val="single" w:sz="4" w:space="0" w:color="auto"/>
              <w:right w:val="nil"/>
            </w:tcBorders>
            <w:shd w:val="clear" w:color="auto" w:fill="auto"/>
            <w:noWrap/>
            <w:vAlign w:val="bottom"/>
            <w:hideMark/>
          </w:tcPr>
          <w:p w14:paraId="3E1C2DE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15.1</w:t>
            </w:r>
          </w:p>
        </w:tc>
        <w:tc>
          <w:tcPr>
            <w:tcW w:w="378" w:type="pct"/>
            <w:tcBorders>
              <w:top w:val="single" w:sz="4" w:space="0" w:color="auto"/>
              <w:left w:val="nil"/>
              <w:bottom w:val="single" w:sz="4" w:space="0" w:color="auto"/>
              <w:right w:val="nil"/>
            </w:tcBorders>
            <w:shd w:val="clear" w:color="auto" w:fill="auto"/>
            <w:noWrap/>
            <w:vAlign w:val="bottom"/>
            <w:hideMark/>
          </w:tcPr>
          <w:p w14:paraId="5A19C5B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{"citationID":"a20cnrmphnt","properties":{"formattedCitation":"[212]","plainCitation":"[212]","noteIndex":0},"citationItems":[{"id":181,"uris":["http://zotero.org/users/12909065/items/MQDASLML"],"itemData":{"id":181,"type":"article-journal","abstract":"Ternary polymer solar cells (PSCs) with the third component as guest offer exceptional photovoltaic performance. Most guests in highly efficient ternary PSCs are small molecular acceptors. Utilizing polymer donor as an effective guest to improve power conversion efficiencies of PSCs remains difficult to anticipate. Herein, new asymmetrical electron-deficient thieno[3,4-d]pyridazin-1(2H)-one monomers polymerize with benzo[1,2-b:4,5-b′]dithiophene monomers, yielding two asymmetrical donor polymers, namely, PDHP-Th (with thiophene arm) and PDHP-Ph (with benzene arm). The asymmetrical thieno[3,4-d]pyridazin-1(2H)-one blocks twist the polymer backbones that induce blue-shift absorption spectra and regulate aggregations compared to that of the well-known symmetrical polymers PBDB-T and PM6. PBDB-T, PDHP-Th, and PDHP-Ph as polymer donor guests are introduced into PM6:Y6 to fabricate ternary PSC devices. The PDHP-Th polymer exhibits a similar energy level to PM6 and can mix well with the PM6:Y6 system and regulate overaggregation of the acceptor Y6, which helps to balance electron and hole mobilities in the ternary devices. All of these contributions result in a power conversion efficiency of 16.8% for the PM6:PDHP-Th:Y6 ternary PSCs. Compared to the widely reported small molecular acceptor guest approaches, our work provides a guideline and molecular design strategy for developing polymer donor guests in constructing high-performance ternary PSCs.","container-title":"Macromolecules","DOI":"10.1021/acs.macromol.0c00459","ISSN":"0024-9297","issue":"15","journalAbbreviation":"Macromolecules","note":"publisher: American Chemical Society","page":"6619-6629","source":"ACS Publications","title":"Employing Asymmetrical Thieno[3,4-d]pyridazin-1(2H)-one Block Enables Efficient Ternary Polymer Solar Cells with Improved Light-Harvesting and Morphological Properties","volume":"53","author":[{"family":"Han","given":"Jianhua"},{"family":"Wang","given":"Xunchang"},{"family":"Huang","given":"Da"},{"family":"Yang","given":"Chunming"},{"family":"Yang","given":"Renqiang"},{"family":"Bao","given":"Xichang"}],"issued":{"date-parts":[["2020",8,11]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[212]</w:t>
            </w:r>
            <w:r w:rsidRPr="00B55044">
              <w:rPr>
                <w:rFonts w:eastAsia="Times New Roman"/>
                <w:color w:val="0000FF"/>
                <w:sz w:val="16"/>
                <w:szCs w:val="16"/>
              </w:rPr>
              <w:fldChar w:fldCharType="end"/>
            </w:r>
          </w:p>
        </w:tc>
      </w:tr>
      <w:tr w:rsidR="00D47774" w:rsidRPr="00B55044" w14:paraId="77B6CBD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B87E14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404</w:t>
            </w:r>
          </w:p>
        </w:tc>
        <w:tc>
          <w:tcPr>
            <w:tcW w:w="1525" w:type="pct"/>
            <w:tcBorders>
              <w:top w:val="single" w:sz="4" w:space="0" w:color="auto"/>
              <w:left w:val="nil"/>
              <w:bottom w:val="single" w:sz="4" w:space="0" w:color="auto"/>
              <w:right w:val="nil"/>
            </w:tcBorders>
            <w:shd w:val="clear" w:color="auto" w:fill="auto"/>
            <w:noWrap/>
            <w:vAlign w:val="bottom"/>
            <w:hideMark/>
          </w:tcPr>
          <w:p w14:paraId="06D9D19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6D4A1FD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PM6:PBDB-T:Y6</w:t>
            </w:r>
          </w:p>
        </w:tc>
        <w:tc>
          <w:tcPr>
            <w:tcW w:w="379" w:type="pct"/>
            <w:tcBorders>
              <w:top w:val="single" w:sz="4" w:space="0" w:color="auto"/>
              <w:left w:val="nil"/>
              <w:bottom w:val="single" w:sz="4" w:space="0" w:color="auto"/>
              <w:right w:val="nil"/>
            </w:tcBorders>
            <w:shd w:val="clear" w:color="auto" w:fill="auto"/>
            <w:noWrap/>
            <w:vAlign w:val="bottom"/>
            <w:hideMark/>
          </w:tcPr>
          <w:p w14:paraId="4FB4455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0.834</w:t>
            </w:r>
          </w:p>
        </w:tc>
        <w:tc>
          <w:tcPr>
            <w:tcW w:w="379" w:type="pct"/>
            <w:tcBorders>
              <w:top w:val="single" w:sz="4" w:space="0" w:color="auto"/>
              <w:left w:val="nil"/>
              <w:bottom w:val="single" w:sz="4" w:space="0" w:color="auto"/>
              <w:right w:val="nil"/>
            </w:tcBorders>
            <w:shd w:val="clear" w:color="auto" w:fill="auto"/>
            <w:noWrap/>
            <w:vAlign w:val="bottom"/>
            <w:hideMark/>
          </w:tcPr>
          <w:p w14:paraId="51D5B48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23.51</w:t>
            </w:r>
          </w:p>
        </w:tc>
        <w:tc>
          <w:tcPr>
            <w:tcW w:w="378" w:type="pct"/>
            <w:tcBorders>
              <w:top w:val="single" w:sz="4" w:space="0" w:color="auto"/>
              <w:left w:val="nil"/>
              <w:bottom w:val="single" w:sz="4" w:space="0" w:color="auto"/>
              <w:right w:val="nil"/>
            </w:tcBorders>
            <w:shd w:val="clear" w:color="auto" w:fill="auto"/>
            <w:noWrap/>
            <w:vAlign w:val="bottom"/>
            <w:hideMark/>
          </w:tcPr>
          <w:p w14:paraId="0E7CBF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72.3</w:t>
            </w:r>
          </w:p>
        </w:tc>
        <w:tc>
          <w:tcPr>
            <w:tcW w:w="381" w:type="pct"/>
            <w:tcBorders>
              <w:top w:val="single" w:sz="4" w:space="0" w:color="auto"/>
              <w:left w:val="nil"/>
              <w:bottom w:val="single" w:sz="4" w:space="0" w:color="auto"/>
              <w:right w:val="nil"/>
            </w:tcBorders>
            <w:shd w:val="clear" w:color="auto" w:fill="auto"/>
            <w:noWrap/>
            <w:vAlign w:val="bottom"/>
            <w:hideMark/>
          </w:tcPr>
          <w:p w14:paraId="62CB340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14.2</w:t>
            </w:r>
          </w:p>
        </w:tc>
        <w:tc>
          <w:tcPr>
            <w:tcW w:w="378" w:type="pct"/>
            <w:tcBorders>
              <w:top w:val="single" w:sz="4" w:space="0" w:color="auto"/>
              <w:left w:val="nil"/>
              <w:bottom w:val="single" w:sz="4" w:space="0" w:color="auto"/>
              <w:right w:val="nil"/>
            </w:tcBorders>
            <w:shd w:val="clear" w:color="auto" w:fill="auto"/>
            <w:noWrap/>
            <w:vAlign w:val="bottom"/>
            <w:hideMark/>
          </w:tcPr>
          <w:p w14:paraId="289859B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{"citationID":"a29hl8ubhcq","properties":{"formattedCitation":"[212]","plainCitation":"[212]","noteIndex":0},"citationItems":[{"id":181,"uris":["http://zotero.org/users/12909065/items/MQDASLML"],"itemData":{"id":181,"type":"article-journal","abstract":"Ternary polymer solar cells (PSCs) with the third component as guest offer exceptional photovoltaic performance. Most guests in highly efficient ternary PSCs are small molecular acceptors. Utilizing polymer donor as an effective guest to improve power conversion efficiencies of PSCs remains difficult to anticipate. Herein, new asymmetrical electron-deficient thieno[3,4-d]pyridazin-1(2H)-one monomers polymerize with benzo[1,2-b:4,5-b′]dithiophene monomers, yielding two asymmetrical donor polymers, namely, PDHP-Th (with thiophene arm) and PDHP-Ph (with benzene arm). The asymmetrical thieno[3,4-d]pyridazin-1(2H)-one blocks twist the polymer backbones that induce blue-shift absorption spectra and regulate aggregations compared to that of the well-known symmetrical polymers PBDB-T and PM6. PBDB-T, PDHP-Th, and PDHP-Ph as polymer donor guests are introduced into PM6:Y6 to fabricate ternary PSC devices. The PDHP-Th polymer exhibits a similar energy level to PM6 and can mix well with the PM6:Y6 system and regulate overaggregation of the acceptor Y6, which helps to balance electron and hole mobilities in the ternary devices. All of these contributions result in a power conversion efficiency of 16.8% for the PM6:PDHP-Th:Y6 ternary PSCs. Compared to the widely reported small molecular acceptor guest approaches, our work provides a guideline and molecular design strategy for developing polymer donor guests in constructing high-performance ternary PSCs.","container-title":"Macromolecules","DOI":"10.1021/acs.macromol.0c00459","ISSN":"0024-9297","issue":"15","journalAbbreviation":"Macromolecules","note":"publisher: American Chemical Society","page":"6619-6629","source":"ACS Publications","title":"Employing Asymmetrical Thieno[3,4-d]pyridazin-1(2H)-one Block Enables Efficient Ternary Polymer Solar Cells with Improved Light-Harvesting and Morphological Properties","volume":"53","author":[{"family":"Han","given":"Jianhua"},{"family":"Wang","given":"Xunchang"},{"family":"Huang","given":"Da"},{"family":"Yang","given":"Chunming"},{"family":"Yang","given":"Renqiang"},{"family":"Bao","given":"Xichang"}],"issued":{"date-parts":[["2020",8,11]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[212]</w:t>
            </w:r>
            <w:r w:rsidRPr="00B55044">
              <w:rPr>
                <w:rFonts w:eastAsia="Times New Roman"/>
                <w:color w:val="0000FF"/>
                <w:sz w:val="16"/>
                <w:szCs w:val="16"/>
              </w:rPr>
              <w:fldChar w:fldCharType="end"/>
            </w:r>
          </w:p>
        </w:tc>
      </w:tr>
      <w:tr w:rsidR="00D47774" w:rsidRPr="00B55044" w14:paraId="434A338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AB816A9"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405</w:t>
            </w:r>
          </w:p>
        </w:tc>
        <w:tc>
          <w:tcPr>
            <w:tcW w:w="1525" w:type="pct"/>
            <w:tcBorders>
              <w:top w:val="single" w:sz="4" w:space="0" w:color="auto"/>
              <w:left w:val="nil"/>
              <w:bottom w:val="single" w:sz="4" w:space="0" w:color="auto"/>
              <w:right w:val="nil"/>
            </w:tcBorders>
            <w:shd w:val="clear" w:color="auto" w:fill="auto"/>
            <w:noWrap/>
            <w:vAlign w:val="bottom"/>
            <w:hideMark/>
          </w:tcPr>
          <w:p w14:paraId="434A13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0BDD175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PM6:PDHP-Ph:Y6</w:t>
            </w:r>
          </w:p>
        </w:tc>
        <w:tc>
          <w:tcPr>
            <w:tcW w:w="379" w:type="pct"/>
            <w:tcBorders>
              <w:top w:val="single" w:sz="4" w:space="0" w:color="auto"/>
              <w:left w:val="nil"/>
              <w:bottom w:val="single" w:sz="4" w:space="0" w:color="auto"/>
              <w:right w:val="nil"/>
            </w:tcBorders>
            <w:shd w:val="clear" w:color="auto" w:fill="auto"/>
            <w:noWrap/>
            <w:vAlign w:val="bottom"/>
            <w:hideMark/>
          </w:tcPr>
          <w:p w14:paraId="3BD5158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0.823</w:t>
            </w:r>
          </w:p>
        </w:tc>
        <w:tc>
          <w:tcPr>
            <w:tcW w:w="379" w:type="pct"/>
            <w:tcBorders>
              <w:top w:val="single" w:sz="4" w:space="0" w:color="auto"/>
              <w:left w:val="nil"/>
              <w:bottom w:val="single" w:sz="4" w:space="0" w:color="auto"/>
              <w:right w:val="nil"/>
            </w:tcBorders>
            <w:shd w:val="clear" w:color="auto" w:fill="auto"/>
            <w:noWrap/>
            <w:vAlign w:val="bottom"/>
            <w:hideMark/>
          </w:tcPr>
          <w:p w14:paraId="78A7F3B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26.58</w:t>
            </w:r>
          </w:p>
        </w:tc>
        <w:tc>
          <w:tcPr>
            <w:tcW w:w="378" w:type="pct"/>
            <w:tcBorders>
              <w:top w:val="single" w:sz="4" w:space="0" w:color="auto"/>
              <w:left w:val="nil"/>
              <w:bottom w:val="single" w:sz="4" w:space="0" w:color="auto"/>
              <w:right w:val="nil"/>
            </w:tcBorders>
            <w:shd w:val="clear" w:color="auto" w:fill="auto"/>
            <w:noWrap/>
            <w:vAlign w:val="bottom"/>
            <w:hideMark/>
          </w:tcPr>
          <w:p w14:paraId="5E3CE6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68.2</w:t>
            </w:r>
          </w:p>
        </w:tc>
        <w:tc>
          <w:tcPr>
            <w:tcW w:w="381" w:type="pct"/>
            <w:tcBorders>
              <w:top w:val="single" w:sz="4" w:space="0" w:color="auto"/>
              <w:left w:val="nil"/>
              <w:bottom w:val="single" w:sz="4" w:space="0" w:color="auto"/>
              <w:right w:val="nil"/>
            </w:tcBorders>
            <w:shd w:val="clear" w:color="auto" w:fill="auto"/>
            <w:noWrap/>
            <w:vAlign w:val="bottom"/>
            <w:hideMark/>
          </w:tcPr>
          <w:p w14:paraId="6153753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14.9</w:t>
            </w:r>
          </w:p>
        </w:tc>
        <w:tc>
          <w:tcPr>
            <w:tcW w:w="378" w:type="pct"/>
            <w:tcBorders>
              <w:top w:val="single" w:sz="4" w:space="0" w:color="auto"/>
              <w:left w:val="nil"/>
              <w:bottom w:val="single" w:sz="4" w:space="0" w:color="auto"/>
              <w:right w:val="nil"/>
            </w:tcBorders>
            <w:shd w:val="clear" w:color="auto" w:fill="auto"/>
            <w:noWrap/>
            <w:vAlign w:val="bottom"/>
            <w:hideMark/>
          </w:tcPr>
          <w:p w14:paraId="59C3B02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{"citationID":"adq90lvrr2","properties":{"formattedCitation":"[212]","plainCitation":"[212]","noteIndex":0},"citationItems":[{"id":181,"uris":["http://zotero.org/users/12909065/items/MQDASLML"],"itemData":{"id":181,"type":"article-journal","abstract":"Ternary polymer solar cells (PSCs) with the third component as guest offer exceptional photovoltaic performance. Most guests in highly efficient ternary PSCs are small molecular acceptors. Utilizing polymer donor as an effective guest to improve power conversion efficiencies of PSCs remains difficult to anticipate. Herein, new asymmetrical electron-deficient thieno[3,4-d]pyridazin-1(2H)-one monomers polymerize with benzo[1,2-b:4,5-b′]dithiophene monomers, yielding two asymmetrical donor polymers, namely, PDHP-Th (with thiophene arm) and PDHP-Ph (with benzene arm). The asymmetrical thieno[3,4-d]pyridazin-1(2H)-one blocks twist the polymer backbones that induce blue-shift absorption spectra and regulate aggregations compared to that of the well-known symmetrical polymers PBDB-T and PM6. PBDB-T, PDHP-Th, and PDHP-Ph as polymer donor guests are introduced into PM6:Y6 to fabricate ternary PSC devices. The PDHP-Th polymer exhibits a similar energy level to PM6 and can mix well with the PM6:Y6 system and regulate overaggregation of the acceptor Y6, which helps to balance electron and hole mobilities in the ternary devices. All of these contributions result in a power conversion efficiency of 16.8% for the PM6:PDHP-Th:Y6 ternary PSCs. Compared to the widely reported small molecular acceptor guest approaches, our work provides a guideline and molecular design strategy for developing polymer donor guests in constructing high-performance ternary PSCs.","container-title":"Macromolecules","DOI":"10.1021/acs.macromol.0c00459","ISSN":"0024-9297","issue":"15","journalAbbreviation":"Macromolecules","note":"publisher: American Chemical Society","page":"6619-6629","source":"ACS Publications","title":"Employing Asymmetrical Thieno[3,4-d]pyridazin-1(2H)-one Block Enables Efficient Ternary Polymer Solar Cells with Improved Light-Harvesting and Morphological Properties","volume":"53","author":[{"family":"Han","given":"Jianhua"},{"family":"Wang","given":"Xunchang"},{"family":"Huang","given":"Da"},{"family":"Yang","given":"Chunming"},{"family":"Yang","given":"Renqiang"},{"family":"Bao","given":"Xichang"}],"issued":{"date-parts":[["2020",8,11]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[212]</w:t>
            </w:r>
            <w:r w:rsidRPr="00B55044">
              <w:rPr>
                <w:rFonts w:eastAsia="Times New Roman"/>
                <w:color w:val="0000FF"/>
                <w:sz w:val="16"/>
                <w:szCs w:val="16"/>
              </w:rPr>
              <w:fldChar w:fldCharType="end"/>
            </w:r>
          </w:p>
        </w:tc>
      </w:tr>
      <w:tr w:rsidR="00D47774" w:rsidRPr="00B55044" w14:paraId="410748B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0A73D4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406</w:t>
            </w:r>
          </w:p>
        </w:tc>
        <w:tc>
          <w:tcPr>
            <w:tcW w:w="1525" w:type="pct"/>
            <w:tcBorders>
              <w:top w:val="single" w:sz="4" w:space="0" w:color="auto"/>
              <w:left w:val="nil"/>
              <w:bottom w:val="single" w:sz="4" w:space="0" w:color="auto"/>
              <w:right w:val="nil"/>
            </w:tcBorders>
            <w:shd w:val="clear" w:color="auto" w:fill="auto"/>
            <w:noWrap/>
            <w:vAlign w:val="bottom"/>
            <w:hideMark/>
          </w:tcPr>
          <w:p w14:paraId="7AE5821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1BD5F6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PM6:PDHP-Ph:Y6</w:t>
            </w:r>
          </w:p>
        </w:tc>
        <w:tc>
          <w:tcPr>
            <w:tcW w:w="379" w:type="pct"/>
            <w:tcBorders>
              <w:top w:val="single" w:sz="4" w:space="0" w:color="auto"/>
              <w:left w:val="nil"/>
              <w:bottom w:val="single" w:sz="4" w:space="0" w:color="auto"/>
              <w:right w:val="nil"/>
            </w:tcBorders>
            <w:shd w:val="clear" w:color="auto" w:fill="auto"/>
            <w:noWrap/>
            <w:vAlign w:val="bottom"/>
            <w:hideMark/>
          </w:tcPr>
          <w:p w14:paraId="6902271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0.817</w:t>
            </w:r>
          </w:p>
        </w:tc>
        <w:tc>
          <w:tcPr>
            <w:tcW w:w="379" w:type="pct"/>
            <w:tcBorders>
              <w:top w:val="single" w:sz="4" w:space="0" w:color="auto"/>
              <w:left w:val="nil"/>
              <w:bottom w:val="single" w:sz="4" w:space="0" w:color="auto"/>
              <w:right w:val="nil"/>
            </w:tcBorders>
            <w:shd w:val="clear" w:color="auto" w:fill="auto"/>
            <w:noWrap/>
            <w:vAlign w:val="bottom"/>
            <w:hideMark/>
          </w:tcPr>
          <w:p w14:paraId="12A1B4E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24.48</w:t>
            </w:r>
          </w:p>
        </w:tc>
        <w:tc>
          <w:tcPr>
            <w:tcW w:w="378" w:type="pct"/>
            <w:tcBorders>
              <w:top w:val="single" w:sz="4" w:space="0" w:color="auto"/>
              <w:left w:val="nil"/>
              <w:bottom w:val="single" w:sz="4" w:space="0" w:color="auto"/>
              <w:right w:val="nil"/>
            </w:tcBorders>
            <w:shd w:val="clear" w:color="auto" w:fill="auto"/>
            <w:noWrap/>
            <w:vAlign w:val="bottom"/>
            <w:hideMark/>
          </w:tcPr>
          <w:p w14:paraId="60A5FA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69.1</w:t>
            </w:r>
          </w:p>
        </w:tc>
        <w:tc>
          <w:tcPr>
            <w:tcW w:w="381" w:type="pct"/>
            <w:tcBorders>
              <w:top w:val="single" w:sz="4" w:space="0" w:color="auto"/>
              <w:left w:val="nil"/>
              <w:bottom w:val="single" w:sz="4" w:space="0" w:color="auto"/>
              <w:right w:val="nil"/>
            </w:tcBorders>
            <w:shd w:val="clear" w:color="auto" w:fill="auto"/>
            <w:noWrap/>
            <w:vAlign w:val="bottom"/>
            <w:hideMark/>
          </w:tcPr>
          <w:p w14:paraId="5A7B7EA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13.8</w:t>
            </w:r>
          </w:p>
        </w:tc>
        <w:tc>
          <w:tcPr>
            <w:tcW w:w="378" w:type="pct"/>
            <w:tcBorders>
              <w:top w:val="single" w:sz="4" w:space="0" w:color="auto"/>
              <w:left w:val="nil"/>
              <w:bottom w:val="single" w:sz="4" w:space="0" w:color="auto"/>
              <w:right w:val="nil"/>
            </w:tcBorders>
            <w:shd w:val="clear" w:color="auto" w:fill="auto"/>
            <w:noWrap/>
            <w:vAlign w:val="bottom"/>
            <w:hideMark/>
          </w:tcPr>
          <w:p w14:paraId="4EB641C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{"citationID":"a22iue47rh7","properties":{"formattedCitation":"[212]","plainCitation":"[212]","noteIndex":0},"citationItems":[{"id":181,"uris":["http://zotero.org/users/12909065/items/MQDASLML"],"itemData":{"id":181,"type":"article-journal","abstract":"Ternary polymer solar cells (PSCs) with the third component as guest offer exceptional photovoltaic performance. Most guests in highly efficient ternary PSCs are small molecular acceptors. Utilizing polymer donor as an effective guest to improve power conversion efficiencies of PSCs remains difficult to anticipate. Herein, new asymmetrical electron-deficient thieno[3,4-d]pyridazin-1(2H)-one monomers polymerize with benzo[1,2-b:4,5-b′]dithiophene monomers, yielding two asymmetrical donor polymers, namely, PDHP-Th (with thiophene arm) and PDHP-Ph (with benzene arm). The asymmetrical thieno[3,4-d]pyridazin-1(2H)-one blocks twist the polymer backbones that induce blue-shift absorption spectra and regulate aggregations compared to that of the well-known symmetrical polymers PBDB-T and PM6. PBDB-T, PDHP-Th, and PDHP-Ph as polymer donor guests are introduced into PM6:Y6 to fabricate ternary PSC devices. The PDHP-Th polymer exhibits a similar energy level to PM6 and can mix well with the PM6:Y6 system and regulate overaggregation of the acceptor Y6, which helps to balance electron and hole mobilities in the ternary devices. All of these contributions result in a power conversion efficiency of 16.8% for the PM6:PDHP-Th:Y6 ternary PSCs. Compared to the widely reported small molecular acceptor guest approaches, our work provides a guideline and molecular design strategy for developing polymer donor guests in constructing high-performance ternary PSCs.","container-title":"Macromolecules","DOI":"10.1021/acs.macromol.0c00459","ISSN":"0024-9297","issue":"15","journalAbbreviation":"Macromolecules","note":"publisher: American Chemical Society","page":"6619-6629","source":"ACS Publications","title":"Employing Asymmetrical Thieno[3,4-d]pyridazin-1(2H)-one Block Enables Efficient Ternary Polymer Solar Cells with Improved Light-Harvesting and Morphological Properties","volume":"53","author":[{"family":"Han","given":"Jianhua"},{"family":"Wang","given":"Xunchang"},{"family":"Huang","given":"Da"},{"family":"Yang","given":"Chunming"},{"family":"Yang","given":"Renqiang"},{"family":"Bao","given":"Xichang"}],"issued":{"date-parts":[["2020",8,11]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[212]</w:t>
            </w:r>
            <w:r w:rsidRPr="00B55044">
              <w:rPr>
                <w:rFonts w:eastAsia="Times New Roman"/>
                <w:color w:val="0000FF"/>
                <w:sz w:val="16"/>
                <w:szCs w:val="16"/>
              </w:rPr>
              <w:fldChar w:fldCharType="end"/>
            </w:r>
          </w:p>
        </w:tc>
      </w:tr>
      <w:tr w:rsidR="00D47774" w:rsidRPr="00B55044" w14:paraId="0684041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F7D55E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407</w:t>
            </w:r>
          </w:p>
        </w:tc>
        <w:tc>
          <w:tcPr>
            <w:tcW w:w="1525" w:type="pct"/>
            <w:tcBorders>
              <w:top w:val="single" w:sz="4" w:space="0" w:color="auto"/>
              <w:left w:val="nil"/>
              <w:bottom w:val="single" w:sz="4" w:space="0" w:color="auto"/>
              <w:right w:val="nil"/>
            </w:tcBorders>
            <w:shd w:val="clear" w:color="auto" w:fill="auto"/>
            <w:noWrap/>
            <w:vAlign w:val="bottom"/>
            <w:hideMark/>
          </w:tcPr>
          <w:p w14:paraId="1654FBA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545DCE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PM6:PDHP-Ph:Y6</w:t>
            </w:r>
          </w:p>
        </w:tc>
        <w:tc>
          <w:tcPr>
            <w:tcW w:w="379" w:type="pct"/>
            <w:tcBorders>
              <w:top w:val="single" w:sz="4" w:space="0" w:color="auto"/>
              <w:left w:val="nil"/>
              <w:bottom w:val="single" w:sz="4" w:space="0" w:color="auto"/>
              <w:right w:val="nil"/>
            </w:tcBorders>
            <w:shd w:val="clear" w:color="auto" w:fill="auto"/>
            <w:noWrap/>
            <w:vAlign w:val="bottom"/>
            <w:hideMark/>
          </w:tcPr>
          <w:p w14:paraId="743851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w:t>
            </w:r>
          </w:p>
        </w:tc>
        <w:tc>
          <w:tcPr>
            <w:tcW w:w="379" w:type="pct"/>
            <w:tcBorders>
              <w:top w:val="single" w:sz="4" w:space="0" w:color="auto"/>
              <w:left w:val="nil"/>
              <w:bottom w:val="single" w:sz="4" w:space="0" w:color="auto"/>
              <w:right w:val="nil"/>
            </w:tcBorders>
            <w:shd w:val="clear" w:color="auto" w:fill="auto"/>
            <w:noWrap/>
            <w:vAlign w:val="bottom"/>
            <w:hideMark/>
          </w:tcPr>
          <w:p w14:paraId="2F8C1B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23.91</w:t>
            </w:r>
          </w:p>
        </w:tc>
        <w:tc>
          <w:tcPr>
            <w:tcW w:w="378" w:type="pct"/>
            <w:tcBorders>
              <w:top w:val="single" w:sz="4" w:space="0" w:color="auto"/>
              <w:left w:val="nil"/>
              <w:bottom w:val="single" w:sz="4" w:space="0" w:color="auto"/>
              <w:right w:val="nil"/>
            </w:tcBorders>
            <w:shd w:val="clear" w:color="auto" w:fill="auto"/>
            <w:noWrap/>
            <w:vAlign w:val="bottom"/>
            <w:hideMark/>
          </w:tcPr>
          <w:p w14:paraId="2D021B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66.4</w:t>
            </w:r>
          </w:p>
        </w:tc>
        <w:tc>
          <w:tcPr>
            <w:tcW w:w="381" w:type="pct"/>
            <w:tcBorders>
              <w:top w:val="single" w:sz="4" w:space="0" w:color="auto"/>
              <w:left w:val="nil"/>
              <w:bottom w:val="single" w:sz="4" w:space="0" w:color="auto"/>
              <w:right w:val="nil"/>
            </w:tcBorders>
            <w:shd w:val="clear" w:color="auto" w:fill="auto"/>
            <w:noWrap/>
            <w:vAlign w:val="bottom"/>
            <w:hideMark/>
          </w:tcPr>
          <w:p w14:paraId="44E59BC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12.7</w:t>
            </w:r>
          </w:p>
        </w:tc>
        <w:tc>
          <w:tcPr>
            <w:tcW w:w="378" w:type="pct"/>
            <w:tcBorders>
              <w:top w:val="single" w:sz="4" w:space="0" w:color="auto"/>
              <w:left w:val="nil"/>
              <w:bottom w:val="single" w:sz="4" w:space="0" w:color="auto"/>
              <w:right w:val="nil"/>
            </w:tcBorders>
            <w:shd w:val="clear" w:color="auto" w:fill="auto"/>
            <w:noWrap/>
            <w:vAlign w:val="bottom"/>
            <w:hideMark/>
          </w:tcPr>
          <w:p w14:paraId="3795BD1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{"citationID":"asube3f2na","properties":{"formattedCitation":"[212]","plainCitation":"[212]","noteIndex":0},"citationItems":[{"id":181,"uris":["http://zotero.org/users/12909065/items/MQDASLML"],"itemData":{"id":181,"type":"article-journal","abstract":"Ternary polymer solar cells (PSCs) with the third component as guest offer exceptional photovoltaic performance. Most guests in highly efficient ternary PSCs are small molecular acceptors. Utilizing polymer donor as an effective guest to improve power conversion efficiencies of PSCs remains difficult to anticipate. Herein, new asymmetrical electron-deficient thieno[3,4-d]pyridazin-1(2H)-one monomers polymerize with benzo[1,2-b:4,5-b′]dithiophene monomers, yielding two asymmetrical donor polymers, namely, PDHP-Th (with thiophene arm) and PDHP-Ph (with benzene arm). The asymmetrical thieno[3,4-d]pyridazin-1(2H)-one blocks twist the polymer backbones that induce blue-shift absorption spectra and regulate aggregations compared to that of the well-known symmetrical polymers PBDB-T and PM6. PBDB-T, PDHP-Th, and PDHP-Ph as polymer donor guests are introduced into PM6:Y6 to fabricate ternary PSC devices. The PDHP-Th polymer exhibits a similar energy level to PM6 and can mix well with the PM6:Y6 system and regulate overaggregation of the acceptor Y6, which helps to balance electron and hole mobilities in the ternary devices. All of these contributions result in a power conversion efficiency of 16.8% for the PM6:PDHP-Th:Y6 ternary PSCs. Compared to the widely reported small molecular acceptor guest approaches, our work provides a guideline and molecular design strategy for developing polymer donor guests in constructing high-performance ternary PSCs.","container-title":"Macromolecules","DOI":"10.1021/acs.macromol.0c00459","ISSN":"0024-9297","issue":"15","journalAbbreviation":"Macromolecules","note":"publisher: American Chemical Society","page":"6619-6629","source":"ACS Publications","title":"Employing Asymmetrical Thieno[3,4-d]pyridazin-1(2H)-one Block Enables Efficient Ternary Polymer Solar Cells with Improved Light-Harvesting and Morphological Properties","volume":"53","author":[{"family":"Han","given":"Jianhua"},{"family":"Wang","given":"Xunchang"},{"family":"Huang","given":"Da"},{"family":"Yang","given":"Chunming"},{"family":"Yang","given":"Renqiang"},{"family":"Bao","given":"Xichang"}],"issued":{"date-parts":[["2020",8,11]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[212]</w:t>
            </w:r>
            <w:r w:rsidRPr="00B55044">
              <w:rPr>
                <w:rFonts w:eastAsia="Times New Roman"/>
                <w:color w:val="0000FF"/>
                <w:sz w:val="16"/>
                <w:szCs w:val="16"/>
              </w:rPr>
              <w:fldChar w:fldCharType="end"/>
            </w:r>
          </w:p>
        </w:tc>
      </w:tr>
      <w:tr w:rsidR="00D47774" w:rsidRPr="00B55044" w14:paraId="07D040BE"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19E571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408</w:t>
            </w:r>
          </w:p>
        </w:tc>
        <w:tc>
          <w:tcPr>
            <w:tcW w:w="1525" w:type="pct"/>
            <w:tcBorders>
              <w:top w:val="single" w:sz="4" w:space="0" w:color="auto"/>
              <w:left w:val="nil"/>
              <w:bottom w:val="single" w:sz="4" w:space="0" w:color="auto"/>
              <w:right w:val="nil"/>
            </w:tcBorders>
            <w:shd w:val="clear" w:color="auto" w:fill="auto"/>
            <w:noWrap/>
            <w:vAlign w:val="bottom"/>
            <w:hideMark/>
          </w:tcPr>
          <w:p w14:paraId="02804B6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0ED86DE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PM6:PDHP-Ph:Y6</w:t>
            </w:r>
          </w:p>
        </w:tc>
        <w:tc>
          <w:tcPr>
            <w:tcW w:w="379" w:type="pct"/>
            <w:tcBorders>
              <w:top w:val="single" w:sz="4" w:space="0" w:color="auto"/>
              <w:left w:val="nil"/>
              <w:bottom w:val="single" w:sz="4" w:space="0" w:color="auto"/>
              <w:right w:val="nil"/>
            </w:tcBorders>
            <w:shd w:val="clear" w:color="auto" w:fill="auto"/>
            <w:noWrap/>
            <w:vAlign w:val="bottom"/>
            <w:hideMark/>
          </w:tcPr>
          <w:p w14:paraId="1FFE04F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0.837</w:t>
            </w:r>
          </w:p>
        </w:tc>
        <w:tc>
          <w:tcPr>
            <w:tcW w:w="379" w:type="pct"/>
            <w:tcBorders>
              <w:top w:val="single" w:sz="4" w:space="0" w:color="auto"/>
              <w:left w:val="nil"/>
              <w:bottom w:val="single" w:sz="4" w:space="0" w:color="auto"/>
              <w:right w:val="nil"/>
            </w:tcBorders>
            <w:shd w:val="clear" w:color="auto" w:fill="auto"/>
            <w:noWrap/>
            <w:vAlign w:val="bottom"/>
            <w:hideMark/>
          </w:tcPr>
          <w:p w14:paraId="6F10C5A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16.08</w:t>
            </w:r>
          </w:p>
        </w:tc>
        <w:tc>
          <w:tcPr>
            <w:tcW w:w="378" w:type="pct"/>
            <w:tcBorders>
              <w:top w:val="single" w:sz="4" w:space="0" w:color="auto"/>
              <w:left w:val="nil"/>
              <w:bottom w:val="single" w:sz="4" w:space="0" w:color="auto"/>
              <w:right w:val="nil"/>
            </w:tcBorders>
            <w:shd w:val="clear" w:color="auto" w:fill="auto"/>
            <w:noWrap/>
            <w:vAlign w:val="bottom"/>
            <w:hideMark/>
          </w:tcPr>
          <w:p w14:paraId="717C712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54.9</w:t>
            </w:r>
          </w:p>
        </w:tc>
        <w:tc>
          <w:tcPr>
            <w:tcW w:w="381" w:type="pct"/>
            <w:tcBorders>
              <w:top w:val="single" w:sz="4" w:space="0" w:color="auto"/>
              <w:left w:val="nil"/>
              <w:bottom w:val="single" w:sz="4" w:space="0" w:color="auto"/>
              <w:right w:val="nil"/>
            </w:tcBorders>
            <w:shd w:val="clear" w:color="auto" w:fill="auto"/>
            <w:noWrap/>
            <w:vAlign w:val="bottom"/>
            <w:hideMark/>
          </w:tcPr>
          <w:p w14:paraId="4E0E20B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w:t>
            </w:r>
          </w:p>
        </w:tc>
        <w:tc>
          <w:tcPr>
            <w:tcW w:w="378" w:type="pct"/>
            <w:tcBorders>
              <w:top w:val="single" w:sz="4" w:space="0" w:color="auto"/>
              <w:left w:val="nil"/>
              <w:bottom w:val="single" w:sz="4" w:space="0" w:color="auto"/>
              <w:right w:val="nil"/>
            </w:tcBorders>
            <w:shd w:val="clear" w:color="auto" w:fill="auto"/>
            <w:noWrap/>
            <w:vAlign w:val="bottom"/>
            <w:hideMark/>
          </w:tcPr>
          <w:p w14:paraId="0F09D8D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{"citationID":"a184if07oct","properties":{"formattedCitation":"[212]","plainCitation":"[212]","noteIndex":0},"citationItems":[{"id":181,"uris":["http://zotero.org/users/12909065/items/MQDASLML"],"itemData":{"id":181,"type":"article-journal","abstract":"Ternary polymer solar cells (PSCs) with the third component as guest offer exceptional photovoltaic performance. Most guests in highly efficient ternary PSCs are small molecular acceptors. Utilizing polymer donor as an effective guest to improve power conversion efficiencies of PSCs remains difficult to anticipate. Herein, new asymmetrical electron-deficient thieno[3,4-d]pyridazin-1(2H)-one monomers polymerize with benzo[1,2-b:4,5-b′]dithiophene monomers, yielding two asymmetrical donor polymers, namely, PDHP-Th (with thiophene arm) and PDHP-Ph (with benzene arm). The asymmetrical thieno[3,4-d]pyridazin-1(2H)-one blocks twist the polymer backbones that induce blue-shift absorption spectra and regulate aggregations compared to that of the well-known symmetrical polymers PBDB-T and PM6. PBDB-T, PDHP-Th, and PDHP-Ph as polymer donor guests are introduced into PM6:Y6 to fabricate ternary PSC devices. The PDHP-Th polymer exhibits a similar energy level to PM6 and can mix well with the PM6:Y6 system and regulate overaggregation of the acceptor Y6, which helps to balance electron and hole mobilities in the ternary devices. All of these contributions result in a power conversion efficiency of 16.8% for the PM6:PDHP-Th:Y6 ternary PSCs. Compared to the widely reported small molecular acceptor guest approaches, our work provides a guideline and molecular design strategy for developing polymer donor guests in constructing high-performance ternary PSCs.","container-title":"Macromolecules","DOI":"10.1021/acs.macromol.0c00459","ISSN":"0024-9297","issue":"15","journalAbbreviation":"Macromolecules","note":"publisher: American Chemical Society","page":"6619-6629","source":"ACS Publications","title":"Employing Asymmetrical Thieno[3,4-d]pyridazin-1(2H)-one Block Enables Efficient Ternary Polymer Solar Cells with Improved Light-Harvesting and Morphological Properties","volume":"53","author":[{"family":"Han","given":"Jianhua"},{"family":"Wang","given":"Xunchang"},{"family":"Huang","given":"Da"},{"family":"Yang","given":"Chunming"},{"family":"Yang","given":"Renqiang"},{"family":"Bao","given":"Xichang"}],"issued":{"date-parts":[["2020",8,11]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[212]</w:t>
            </w:r>
            <w:r w:rsidRPr="00B55044">
              <w:rPr>
                <w:rFonts w:eastAsia="Times New Roman"/>
                <w:color w:val="0000FF"/>
                <w:sz w:val="16"/>
                <w:szCs w:val="16"/>
              </w:rPr>
              <w:fldChar w:fldCharType="end"/>
            </w:r>
          </w:p>
        </w:tc>
      </w:tr>
      <w:tr w:rsidR="00D47774" w:rsidRPr="00B55044" w14:paraId="3BE8035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B5078F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409</w:t>
            </w:r>
          </w:p>
        </w:tc>
        <w:tc>
          <w:tcPr>
            <w:tcW w:w="1525" w:type="pct"/>
            <w:tcBorders>
              <w:top w:val="single" w:sz="4" w:space="0" w:color="auto"/>
              <w:left w:val="nil"/>
              <w:bottom w:val="single" w:sz="4" w:space="0" w:color="auto"/>
              <w:right w:val="nil"/>
            </w:tcBorders>
            <w:shd w:val="clear" w:color="auto" w:fill="auto"/>
            <w:noWrap/>
            <w:vAlign w:val="bottom"/>
            <w:hideMark/>
          </w:tcPr>
          <w:p w14:paraId="393C66B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D3CE73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PM6:PDHP-Ph:Y6</w:t>
            </w:r>
          </w:p>
        </w:tc>
        <w:tc>
          <w:tcPr>
            <w:tcW w:w="379" w:type="pct"/>
            <w:tcBorders>
              <w:top w:val="single" w:sz="4" w:space="0" w:color="auto"/>
              <w:left w:val="nil"/>
              <w:bottom w:val="single" w:sz="4" w:space="0" w:color="auto"/>
              <w:right w:val="nil"/>
            </w:tcBorders>
            <w:shd w:val="clear" w:color="auto" w:fill="auto"/>
            <w:noWrap/>
            <w:vAlign w:val="bottom"/>
            <w:hideMark/>
          </w:tcPr>
          <w:p w14:paraId="047F5BC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0.831</w:t>
            </w:r>
          </w:p>
        </w:tc>
        <w:tc>
          <w:tcPr>
            <w:tcW w:w="379" w:type="pct"/>
            <w:tcBorders>
              <w:top w:val="single" w:sz="4" w:space="0" w:color="auto"/>
              <w:left w:val="nil"/>
              <w:bottom w:val="single" w:sz="4" w:space="0" w:color="auto"/>
              <w:right w:val="nil"/>
            </w:tcBorders>
            <w:shd w:val="clear" w:color="auto" w:fill="auto"/>
            <w:noWrap/>
            <w:vAlign w:val="bottom"/>
            <w:hideMark/>
          </w:tcPr>
          <w:p w14:paraId="24F00A7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13.45</w:t>
            </w:r>
          </w:p>
        </w:tc>
        <w:tc>
          <w:tcPr>
            <w:tcW w:w="378" w:type="pct"/>
            <w:tcBorders>
              <w:top w:val="single" w:sz="4" w:space="0" w:color="auto"/>
              <w:left w:val="nil"/>
              <w:bottom w:val="single" w:sz="4" w:space="0" w:color="auto"/>
              <w:right w:val="nil"/>
            </w:tcBorders>
            <w:shd w:val="clear" w:color="auto" w:fill="auto"/>
            <w:noWrap/>
            <w:vAlign w:val="bottom"/>
            <w:hideMark/>
          </w:tcPr>
          <w:p w14:paraId="27CDC9F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54.5</w:t>
            </w:r>
          </w:p>
        </w:tc>
        <w:tc>
          <w:tcPr>
            <w:tcW w:w="381" w:type="pct"/>
            <w:tcBorders>
              <w:top w:val="single" w:sz="4" w:space="0" w:color="auto"/>
              <w:left w:val="nil"/>
              <w:bottom w:val="single" w:sz="4" w:space="0" w:color="auto"/>
              <w:right w:val="nil"/>
            </w:tcBorders>
            <w:shd w:val="clear" w:color="auto" w:fill="auto"/>
            <w:noWrap/>
            <w:vAlign w:val="bottom"/>
            <w:hideMark/>
          </w:tcPr>
          <w:p w14:paraId="1CCA3A6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6.1</w:t>
            </w:r>
          </w:p>
        </w:tc>
        <w:tc>
          <w:tcPr>
            <w:tcW w:w="378" w:type="pct"/>
            <w:tcBorders>
              <w:top w:val="single" w:sz="4" w:space="0" w:color="auto"/>
              <w:left w:val="nil"/>
              <w:bottom w:val="single" w:sz="4" w:space="0" w:color="auto"/>
              <w:right w:val="nil"/>
            </w:tcBorders>
            <w:shd w:val="clear" w:color="auto" w:fill="auto"/>
            <w:noWrap/>
            <w:vAlign w:val="bottom"/>
            <w:hideMark/>
          </w:tcPr>
          <w:p w14:paraId="152EB52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{"citationID":"ahumtjm5sn","properties":{"formattedCitation":"[212]","plainCitation":"[212]","noteIndex":0},"citationItems":[{"id":181,"uris":["http://zotero.org/users/12909065/items/MQDASLML"],"itemData":{"id":181,"type":"article-journal","abstract":"Ternary polymer solar cells (PSCs) with the third component as guest offer exceptional photovoltaic performance. Most guests in highly efficient ternary PSCs are small molecular acceptors. Utilizing polymer donor as an effective guest to improve power conversion efficiencies of PSCs remains difficult to anticipate. Herein, new asymmetrical electron-deficient thieno[3,4-d]pyridazin-1(2H)-one monomers polymerize with benzo[1,2-b:4,5-b′]dithiophene monomers, yielding two asymmetrical donor polymers, namely, PDHP-Th (with thiophene arm) and PDHP-Ph (with benzene arm). The asymmetrical thieno[3,4-d]pyridazin-1(2H)-one blocks twist the polymer backbones that induce blue-shift absorption spectra and regulate aggregations compared to that of the well-known symmetrical polymers PBDB-T and PM6. PBDB-T, PDHP-Th, and PDHP-Ph as polymer donor guests are introduced into PM6:Y6 to fabricate ternary PSC devices. The PDHP-Th polymer exhibits a similar energy level to PM6 and can mix well with the PM6:Y6 system and regulate overaggregation of the acceptor Y6, which helps to balance electron and hole mobilities in the ternary devices. All of these contributions result in a power conversion efficiency of 16.8% for the PM6:PDHP-Th:Y6 ternary PSCs. Compared to the widely reported small molecular acceptor guest approaches, our work provides a guideline and molecular design strategy for developing polymer donor guests in constructing high-performance ternary PSCs.","container-title":"Macromolecules","DOI":"10.1021/acs.macromol.0c00459","ISSN":"0024-9297","issue":"15","journalAbbreviation":"Macromolecules","note":"publisher: American Chemical Society","page":"6619-6629","source":"ACS Publications","title":"Employing Asymmetrical Thieno[3,4-d]pyridazin-1(2H)-one Block Enables Efficient Ternary Polymer Solar Cells with Improved Light-Harvesting and Morphological Properties","volume":"53","author":[{"family":"Han","given":"Jianhua"},{"family":"Wang","given":"Xunchang"},{"family":"Huang","given":"Da"},{"family":"Yang","given":"Chunming"},{"family":"Yang","given":"Renqiang"},{"family":"Bao","given":"Xichang"}],"issued":{"date-parts":[["2020",8,11]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[212]</w:t>
            </w:r>
            <w:r w:rsidRPr="00B55044">
              <w:rPr>
                <w:rFonts w:eastAsia="Times New Roman"/>
                <w:color w:val="0000FF"/>
                <w:sz w:val="16"/>
                <w:szCs w:val="16"/>
              </w:rPr>
              <w:fldChar w:fldCharType="end"/>
            </w:r>
          </w:p>
        </w:tc>
      </w:tr>
      <w:tr w:rsidR="00D47774" w:rsidRPr="00B55044" w14:paraId="72FE162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ED5E61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410</w:t>
            </w:r>
          </w:p>
        </w:tc>
        <w:tc>
          <w:tcPr>
            <w:tcW w:w="1525" w:type="pct"/>
            <w:tcBorders>
              <w:top w:val="single" w:sz="4" w:space="0" w:color="auto"/>
              <w:left w:val="nil"/>
              <w:bottom w:val="single" w:sz="4" w:space="0" w:color="auto"/>
              <w:right w:val="nil"/>
            </w:tcBorders>
            <w:shd w:val="clear" w:color="auto" w:fill="auto"/>
            <w:noWrap/>
            <w:vAlign w:val="bottom"/>
            <w:hideMark/>
          </w:tcPr>
          <w:p w14:paraId="7EE902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/Al</w:t>
            </w:r>
          </w:p>
        </w:tc>
        <w:tc>
          <w:tcPr>
            <w:tcW w:w="1288" w:type="pct"/>
            <w:tcBorders>
              <w:top w:val="single" w:sz="4" w:space="0" w:color="auto"/>
              <w:left w:val="nil"/>
              <w:bottom w:val="single" w:sz="4" w:space="0" w:color="auto"/>
              <w:right w:val="nil"/>
            </w:tcBorders>
            <w:shd w:val="clear" w:color="auto" w:fill="auto"/>
            <w:noWrap/>
            <w:vAlign w:val="bottom"/>
            <w:hideMark/>
          </w:tcPr>
          <w:p w14:paraId="4C0C3C8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61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0C7A7DA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0.845</w:t>
            </w:r>
          </w:p>
        </w:tc>
        <w:tc>
          <w:tcPr>
            <w:tcW w:w="379" w:type="pct"/>
            <w:tcBorders>
              <w:top w:val="single" w:sz="4" w:space="0" w:color="auto"/>
              <w:left w:val="nil"/>
              <w:bottom w:val="single" w:sz="4" w:space="0" w:color="auto"/>
              <w:right w:val="nil"/>
            </w:tcBorders>
            <w:shd w:val="clear" w:color="auto" w:fill="auto"/>
            <w:noWrap/>
            <w:vAlign w:val="bottom"/>
            <w:hideMark/>
          </w:tcPr>
          <w:p w14:paraId="52343B0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25.4</w:t>
            </w:r>
          </w:p>
        </w:tc>
        <w:tc>
          <w:tcPr>
            <w:tcW w:w="378" w:type="pct"/>
            <w:tcBorders>
              <w:top w:val="single" w:sz="4" w:space="0" w:color="auto"/>
              <w:left w:val="nil"/>
              <w:bottom w:val="single" w:sz="4" w:space="0" w:color="auto"/>
              <w:right w:val="nil"/>
            </w:tcBorders>
            <w:shd w:val="clear" w:color="auto" w:fill="auto"/>
            <w:noWrap/>
            <w:vAlign w:val="bottom"/>
            <w:hideMark/>
          </w:tcPr>
          <w:p w14:paraId="38C8511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w:t>
            </w:r>
          </w:p>
        </w:tc>
        <w:tc>
          <w:tcPr>
            <w:tcW w:w="381" w:type="pct"/>
            <w:tcBorders>
              <w:top w:val="single" w:sz="4" w:space="0" w:color="auto"/>
              <w:left w:val="nil"/>
              <w:bottom w:val="single" w:sz="4" w:space="0" w:color="auto"/>
              <w:right w:val="nil"/>
            </w:tcBorders>
            <w:shd w:val="clear" w:color="auto" w:fill="auto"/>
            <w:noWrap/>
            <w:vAlign w:val="bottom"/>
            <w:hideMark/>
          </w:tcPr>
          <w:p w14:paraId="77DB638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16.5</w:t>
            </w:r>
          </w:p>
        </w:tc>
        <w:tc>
          <w:tcPr>
            <w:tcW w:w="378" w:type="pct"/>
            <w:tcBorders>
              <w:top w:val="single" w:sz="4" w:space="0" w:color="auto"/>
              <w:left w:val="nil"/>
              <w:bottom w:val="single" w:sz="4" w:space="0" w:color="auto"/>
              <w:right w:val="nil"/>
            </w:tcBorders>
            <w:shd w:val="clear" w:color="auto" w:fill="auto"/>
            <w:noWrap/>
            <w:vAlign w:val="bottom"/>
            <w:hideMark/>
          </w:tcPr>
          <w:p w14:paraId="3686F8A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{"citationID":"a9jg39tj3j","properties":{"formattedCitation":"[213]","plainCitation":"[213]","noteIndex":0},"citationItems":[{"id":180,"uris":["http://zotero.org/users/12909065/items/FDXBHBYW"],"itemData":{"id":180,"type":"article-journal","abstract":"Recent advances in the material design and synthesis of nonfullerene acceptors (NFAs) have revealed a new landscape for polymer solar cells (PSCs) and have boosted the power conversion efficiencies (PCEs) to over 15%. Further improvements of the photovoltaic performance are a significant challenge in NFA-PSCs based on binary donor:acceptor blends. In this study, ternary PSCs are fabricated by incorporating a fullerene derivative, PC61BM, into a combination of a polymer donor (PBDB-TF) and a fused-ring NFA (Y6) and a very high PCE of 16.5% (certified as 16.2%) is recorded. Detailed studies suggest that the loading of PC61BM into the PBDB-TF:Y6 blend can not only enhance the electron mobility but also can increase the electroluminescence quantum efficiency, leading to balanced charge transport and reduced nonradiative energy losses simultaneously. This work suggests that utilizing the complementary advantages of fullerene and NFAs is a promising way to finely tune the detailed photovoltaic parameters and further improve the PCEs of PSCs.","container-title":"Advanced Materials","DOI":"10.1002/adma.201902302","ISSN":"1521-4095","issue":"36","language":"en","license":"© 2019 WILEY-VCH Verlag GmbH &amp; Co. KGaA, Weinheim","note":"_eprint: https://onlinelibrary.wiley.com/doi/pdf/10.1002/adma.201902302","page":"1902302","source":"Wiley Online Library","title":"Improved Charge Transport and Reduced Nonradiative Energy Loss Enable Over 16% Efficiency in Ternary Polymer Solar Cells","volume":"31","author":[{"family":"Yu","given":"Runnan"},{"family":"Yao","given":"Huifeng"},{"family":"Cui","given":"Yong"},{"family":"Hong","given":"Ling"},{"family":"He","given":"Chang"},{"family":"Hou","given":"Jianhui"}],"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[213]</w:t>
            </w:r>
            <w:r w:rsidRPr="00B55044">
              <w:rPr>
                <w:rFonts w:eastAsia="Times New Roman"/>
                <w:color w:val="0000FF"/>
                <w:sz w:val="16"/>
                <w:szCs w:val="16"/>
              </w:rPr>
              <w:fldChar w:fldCharType="end"/>
            </w:r>
          </w:p>
        </w:tc>
      </w:tr>
      <w:tr w:rsidR="00D47774" w:rsidRPr="00B55044" w14:paraId="2EE3824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8A5B1B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411</w:t>
            </w:r>
          </w:p>
        </w:tc>
        <w:tc>
          <w:tcPr>
            <w:tcW w:w="1525" w:type="pct"/>
            <w:tcBorders>
              <w:top w:val="single" w:sz="4" w:space="0" w:color="auto"/>
              <w:left w:val="nil"/>
              <w:bottom w:val="single" w:sz="4" w:space="0" w:color="auto"/>
              <w:right w:val="nil"/>
            </w:tcBorders>
            <w:shd w:val="clear" w:color="auto" w:fill="auto"/>
            <w:noWrap/>
            <w:vAlign w:val="bottom"/>
            <w:hideMark/>
          </w:tcPr>
          <w:p w14:paraId="279E71C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0480762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61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4F4278B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0.944</w:t>
            </w:r>
          </w:p>
        </w:tc>
        <w:tc>
          <w:tcPr>
            <w:tcW w:w="379" w:type="pct"/>
            <w:tcBorders>
              <w:top w:val="single" w:sz="4" w:space="0" w:color="auto"/>
              <w:left w:val="nil"/>
              <w:bottom w:val="single" w:sz="4" w:space="0" w:color="auto"/>
              <w:right w:val="nil"/>
            </w:tcBorders>
            <w:shd w:val="clear" w:color="auto" w:fill="auto"/>
            <w:noWrap/>
            <w:vAlign w:val="bottom"/>
            <w:hideMark/>
          </w:tcPr>
          <w:p w14:paraId="441E9CB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12.9</w:t>
            </w:r>
          </w:p>
        </w:tc>
        <w:tc>
          <w:tcPr>
            <w:tcW w:w="378" w:type="pct"/>
            <w:tcBorders>
              <w:top w:val="single" w:sz="4" w:space="0" w:color="auto"/>
              <w:left w:val="nil"/>
              <w:bottom w:val="single" w:sz="4" w:space="0" w:color="auto"/>
              <w:right w:val="nil"/>
            </w:tcBorders>
            <w:shd w:val="clear" w:color="auto" w:fill="auto"/>
            <w:noWrap/>
            <w:vAlign w:val="bottom"/>
            <w:hideMark/>
          </w:tcPr>
          <w:p w14:paraId="656ED8D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66.4</w:t>
            </w:r>
          </w:p>
        </w:tc>
        <w:tc>
          <w:tcPr>
            <w:tcW w:w="381" w:type="pct"/>
            <w:tcBorders>
              <w:top w:val="single" w:sz="4" w:space="0" w:color="auto"/>
              <w:left w:val="nil"/>
              <w:bottom w:val="single" w:sz="4" w:space="0" w:color="auto"/>
              <w:right w:val="nil"/>
            </w:tcBorders>
            <w:shd w:val="clear" w:color="auto" w:fill="auto"/>
            <w:noWrap/>
            <w:vAlign w:val="bottom"/>
            <w:hideMark/>
          </w:tcPr>
          <w:p w14:paraId="6881B16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8.1</w:t>
            </w:r>
          </w:p>
        </w:tc>
        <w:tc>
          <w:tcPr>
            <w:tcW w:w="378" w:type="pct"/>
            <w:tcBorders>
              <w:top w:val="single" w:sz="4" w:space="0" w:color="auto"/>
              <w:left w:val="nil"/>
              <w:bottom w:val="single" w:sz="4" w:space="0" w:color="auto"/>
              <w:right w:val="nil"/>
            </w:tcBorders>
            <w:shd w:val="clear" w:color="auto" w:fill="auto"/>
            <w:noWrap/>
            <w:vAlign w:val="bottom"/>
            <w:hideMark/>
          </w:tcPr>
          <w:p w14:paraId="5280B66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{"citationID":"a4ogc6i8f8","properties":{"formattedCitation":"[214]","plainCitation":"[214]","noteIndex":0},"citationItems":[{"id":177,"uris":["http://zotero.org/users/12909065/items/8UIARWU9"],"itemData":{"id":177,"type":"article-journal","abstract":"Ternary solar cells with an efficiency of 16.7% were enabled through the use of PCBM as a higher LUMO-level acceptor additive to concurrently increase\n              V\n              oc\n              ,\n              J\n              sc\n              and FF values.\n            \n          , \n            \n              The field of organic photovoltaics (OPVs) has seen rapid development in the past few years, particularly, with reports on the use of a high performance nonfullerene electron acceptor (named Y6) in binary devices. In this paper, we demonstrate a simple yet effective ternary approach that can simultaneously increase the open-circuit voltage, short-circuit current-density, and fill factor of a binary device based on Y6 and a donor polymer named PM6. By adding a small amount of PCBM into the PM6:Y6 system, we achieved a high efficiency of 16.7%, which is the best value reported for an OPV device to date. Importantly, this ternary material approach has wide-ranging applicability, as we demonstrated the same beneficial effects in multiple systems, including PM6:IT-4F, PM7:IT-4F, PM6:Y6, and PM7:Y6. The LUMO energy (−3.9 eV) of PCBM lies between the LUMO (−3.6 eV) of PM6/PM7 and the LUMO (−4.1 eV) of IT-4F/Y6, which is one reason for the increased\n              V\n              oc\n              . After blending with PCBM, the homogenous fine-film morphology and the π–π stacking patterns of the host binary structure are maintained, while the phase purity is increased, the hole and electron mobilities are increased, and monomolecular recombination is reduced, all of which, plus the visible absorption of PCBM, are the reasons for the concurrently improved fill-factor and increased short-circuit current density. This approach can be used in other OPV systems and should have wide applicability.","container-title":"Journal of Materials Chemistry A","DOI":"10.1039/C9TA06929A","ISSN":"2050-7488, 2050-7496","issue":"36","journalAbbreviation":"J. Mater. Chem. A","language":"en","page":"20713-20722","source":"DOI.org (Crossref)","title":"16.7%-efficiency ternary blended organic photovoltaic cells with PCBM as the acceptor additive to increase the open-circuit voltage and phase purity","volume":"7","author":[{"family":"Pan","given":"Ming-Ao"},{"family":"Lau","given":"Tsz-Ki"},{"family":"Tang","given":"Yabing"},{"family":"Wu","given":"Yi-Ching"},{"family":"Liu","given":"Tao"},{"family":"Li","given":"Kun"},{"family":"Chen","given":"Ming-Chou"},{"family":"Lu","given":"Xinhui"},{"family":"Ma","given":"Wei"},{"family":"Zhan","given":"Chuanlang"}],"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[214]</w:t>
            </w:r>
            <w:r w:rsidRPr="00B55044">
              <w:rPr>
                <w:rFonts w:eastAsia="Times New Roman"/>
                <w:color w:val="0000FF"/>
                <w:sz w:val="16"/>
                <w:szCs w:val="16"/>
              </w:rPr>
              <w:fldChar w:fldCharType="end"/>
            </w:r>
          </w:p>
        </w:tc>
      </w:tr>
      <w:tr w:rsidR="00D47774" w:rsidRPr="00B55044" w14:paraId="5FA4BBF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909182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412</w:t>
            </w:r>
          </w:p>
        </w:tc>
        <w:tc>
          <w:tcPr>
            <w:tcW w:w="1525" w:type="pct"/>
            <w:tcBorders>
              <w:top w:val="single" w:sz="4" w:space="0" w:color="auto"/>
              <w:left w:val="nil"/>
              <w:bottom w:val="single" w:sz="4" w:space="0" w:color="auto"/>
              <w:right w:val="nil"/>
            </w:tcBorders>
            <w:shd w:val="clear" w:color="auto" w:fill="auto"/>
            <w:noWrap/>
            <w:vAlign w:val="bottom"/>
            <w:hideMark/>
          </w:tcPr>
          <w:p w14:paraId="1CF1A6B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7D961DB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02FFB24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0.859</w:t>
            </w:r>
          </w:p>
        </w:tc>
        <w:tc>
          <w:tcPr>
            <w:tcW w:w="379" w:type="pct"/>
            <w:tcBorders>
              <w:top w:val="single" w:sz="4" w:space="0" w:color="auto"/>
              <w:left w:val="nil"/>
              <w:bottom w:val="single" w:sz="4" w:space="0" w:color="auto"/>
              <w:right w:val="nil"/>
            </w:tcBorders>
            <w:shd w:val="clear" w:color="auto" w:fill="auto"/>
            <w:noWrap/>
            <w:vAlign w:val="bottom"/>
            <w:hideMark/>
          </w:tcPr>
          <w:p w14:paraId="266726B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21.2</w:t>
            </w:r>
          </w:p>
        </w:tc>
        <w:tc>
          <w:tcPr>
            <w:tcW w:w="378" w:type="pct"/>
            <w:tcBorders>
              <w:top w:val="single" w:sz="4" w:space="0" w:color="auto"/>
              <w:left w:val="nil"/>
              <w:bottom w:val="single" w:sz="4" w:space="0" w:color="auto"/>
              <w:right w:val="nil"/>
            </w:tcBorders>
            <w:shd w:val="clear" w:color="auto" w:fill="auto"/>
            <w:noWrap/>
            <w:vAlign w:val="bottom"/>
            <w:hideMark/>
          </w:tcPr>
          <w:p w14:paraId="5E45C51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76.7</w:t>
            </w:r>
          </w:p>
        </w:tc>
        <w:tc>
          <w:tcPr>
            <w:tcW w:w="381" w:type="pct"/>
            <w:tcBorders>
              <w:top w:val="single" w:sz="4" w:space="0" w:color="auto"/>
              <w:left w:val="nil"/>
              <w:bottom w:val="single" w:sz="4" w:space="0" w:color="auto"/>
              <w:right w:val="nil"/>
            </w:tcBorders>
            <w:shd w:val="clear" w:color="auto" w:fill="auto"/>
            <w:noWrap/>
            <w:vAlign w:val="bottom"/>
            <w:hideMark/>
          </w:tcPr>
          <w:p w14:paraId="35A6656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w:t>
            </w:r>
          </w:p>
        </w:tc>
        <w:tc>
          <w:tcPr>
            <w:tcW w:w="378" w:type="pct"/>
            <w:tcBorders>
              <w:top w:val="single" w:sz="4" w:space="0" w:color="auto"/>
              <w:left w:val="nil"/>
              <w:bottom w:val="single" w:sz="4" w:space="0" w:color="auto"/>
              <w:right w:val="nil"/>
            </w:tcBorders>
            <w:shd w:val="clear" w:color="auto" w:fill="auto"/>
            <w:noWrap/>
            <w:vAlign w:val="bottom"/>
            <w:hideMark/>
          </w:tcPr>
          <w:p w14:paraId="4B8C47A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{"citationID":"a2766og41fi","properties":{"formattedCitation":"[214]","plainCitation":"[214]","noteIndex":0},"citationItems":[{"id":177,"uris":["http://zotero.org/users/12909065/items/8UIARWU9"],"itemData":{"id":177,"type":"article-journal","abstract":"Ternary solar cells with an efficiency of 16.7% were enabled through the use of PCBM as a higher LUMO-level acceptor additive to concurrently increase\n              V\n              oc\n              ,\n              J\n              sc\n              and FF values.\n            \n          , \n            \n              The field of organic photovoltaics (OPVs) has seen rapid development in the past few years, particularly, with reports on the use of a high performance nonfullerene electron acceptor (named Y6) in binary devices. In this paper, we demonstrate a simple yet effective ternary approach that can simultaneously increase the open-circuit voltage, short-circuit current-density, and fill factor of a binary device based on Y6 and a donor polymer named PM6. By adding a small amount of PCBM into the PM6:Y6 system, we achieved a high efficiency of 16.7%, which is the best value reported for an OPV device to date. Importantly, this ternary material approach has wide-ranging applicability, as we demonstrated the same beneficial effects in multiple systems, including PM6:IT-4F, PM7:IT-4F, PM6:Y6, and PM7:Y6. The LUMO energy (−3.9 eV) of PCBM lies between the LUMO (−3.6 eV) of PM6/PM7 and the LUMO (−4.1 eV) of IT-4F/Y6, which is one reason for the increased\n              V\n              oc\n              . After blending with PCBM, the homogenous fine-film morphology and the π–π stacking patterns of the host binary structure are maintained, while the phase purity is increased, the hole and electron mobilities are increased, and monomolecular recombination is reduced, all of which, plus the visible absorption of PCBM, are the reasons for the concurrently improved fill-factor and increased short-circuit current density. This approach can be used in other OPV systems and should have wide applicability.","container-title":"Journal of Materials Chemistry A","DOI":"10.1039/C9TA06929A","ISSN":"2050-7488, 2050-7496","issue":"36","journalAbbreviation":"J. Mater. Chem. A","language":"en","page":"20713-20722","source":"DOI.org (Crossref)","title":"16.7%-efficiency ternary blended organic photovoltaic cells with PCBM as the acceptor additive to increase the open-circuit voltage and phase purity","volume":"7","author":[{"family":"Pan","given":"Ming-Ao"},{"family":"Lau","given":"Tsz-Ki"},{"family":"Tang","given":"Yabing"},{"family":"Wu","given":"Yi-Ching"},{"family":"Liu","given":"Tao"},{"family":"Li","given":"Kun"},{"family":"Chen","given":"Ming-Chou"},{"family":"Lu","given":"Xinhui"},{"family":"Ma","given":"Wei"},{"family":"Zhan","given":"Chuanlang"}],"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[214]</w:t>
            </w:r>
            <w:r w:rsidRPr="00B55044">
              <w:rPr>
                <w:rFonts w:eastAsia="Times New Roman"/>
                <w:color w:val="0000FF"/>
                <w:sz w:val="16"/>
                <w:szCs w:val="16"/>
              </w:rPr>
              <w:fldChar w:fldCharType="end"/>
            </w:r>
          </w:p>
        </w:tc>
      </w:tr>
      <w:tr w:rsidR="00D47774" w:rsidRPr="00B55044" w14:paraId="68C47FC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DCBA95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lastRenderedPageBreak/>
              <w:t>413</w:t>
            </w:r>
          </w:p>
        </w:tc>
        <w:tc>
          <w:tcPr>
            <w:tcW w:w="1525" w:type="pct"/>
            <w:tcBorders>
              <w:top w:val="single" w:sz="4" w:space="0" w:color="auto"/>
              <w:left w:val="nil"/>
              <w:bottom w:val="single" w:sz="4" w:space="0" w:color="auto"/>
              <w:right w:val="nil"/>
            </w:tcBorders>
            <w:shd w:val="clear" w:color="auto" w:fill="auto"/>
            <w:noWrap/>
            <w:vAlign w:val="bottom"/>
            <w:hideMark/>
          </w:tcPr>
          <w:p w14:paraId="192CCB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66878CE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PM6:Y6:BTP-S2 (10%)</w:t>
            </w:r>
          </w:p>
        </w:tc>
        <w:tc>
          <w:tcPr>
            <w:tcW w:w="379" w:type="pct"/>
            <w:tcBorders>
              <w:top w:val="single" w:sz="4" w:space="0" w:color="auto"/>
              <w:left w:val="nil"/>
              <w:bottom w:val="single" w:sz="4" w:space="0" w:color="auto"/>
              <w:right w:val="nil"/>
            </w:tcBorders>
            <w:shd w:val="clear" w:color="auto" w:fill="auto"/>
            <w:noWrap/>
            <w:vAlign w:val="bottom"/>
            <w:hideMark/>
          </w:tcPr>
          <w:p w14:paraId="79350B2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0.861</w:t>
            </w:r>
          </w:p>
        </w:tc>
        <w:tc>
          <w:tcPr>
            <w:tcW w:w="379" w:type="pct"/>
            <w:tcBorders>
              <w:top w:val="single" w:sz="4" w:space="0" w:color="auto"/>
              <w:left w:val="nil"/>
              <w:bottom w:val="single" w:sz="4" w:space="0" w:color="auto"/>
              <w:right w:val="nil"/>
            </w:tcBorders>
            <w:shd w:val="clear" w:color="auto" w:fill="auto"/>
            <w:noWrap/>
            <w:vAlign w:val="bottom"/>
            <w:hideMark/>
          </w:tcPr>
          <w:p w14:paraId="02F9A87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26.94</w:t>
            </w:r>
          </w:p>
        </w:tc>
        <w:tc>
          <w:tcPr>
            <w:tcW w:w="378" w:type="pct"/>
            <w:tcBorders>
              <w:top w:val="single" w:sz="4" w:space="0" w:color="auto"/>
              <w:left w:val="nil"/>
              <w:bottom w:val="single" w:sz="4" w:space="0" w:color="auto"/>
              <w:right w:val="nil"/>
            </w:tcBorders>
            <w:shd w:val="clear" w:color="auto" w:fill="auto"/>
            <w:noWrap/>
            <w:vAlign w:val="bottom"/>
            <w:hideMark/>
          </w:tcPr>
          <w:p w14:paraId="3EC0BA3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74.44</w:t>
            </w:r>
          </w:p>
        </w:tc>
        <w:tc>
          <w:tcPr>
            <w:tcW w:w="381" w:type="pct"/>
            <w:tcBorders>
              <w:top w:val="single" w:sz="4" w:space="0" w:color="auto"/>
              <w:left w:val="nil"/>
              <w:bottom w:val="single" w:sz="4" w:space="0" w:color="auto"/>
              <w:right w:val="nil"/>
            </w:tcBorders>
            <w:shd w:val="clear" w:color="auto" w:fill="auto"/>
            <w:noWrap/>
            <w:vAlign w:val="bottom"/>
            <w:hideMark/>
          </w:tcPr>
          <w:p w14:paraId="02B4B9C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17.23</w:t>
            </w:r>
          </w:p>
        </w:tc>
        <w:tc>
          <w:tcPr>
            <w:tcW w:w="378" w:type="pct"/>
            <w:tcBorders>
              <w:top w:val="single" w:sz="4" w:space="0" w:color="auto"/>
              <w:left w:val="nil"/>
              <w:bottom w:val="single" w:sz="4" w:space="0" w:color="auto"/>
              <w:right w:val="nil"/>
            </w:tcBorders>
            <w:shd w:val="clear" w:color="auto" w:fill="auto"/>
            <w:noWrap/>
            <w:vAlign w:val="bottom"/>
            <w:hideMark/>
          </w:tcPr>
          <w:p w14:paraId="6A480A6A"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{"citationID":"a1h9lss64ud","properties":{"formattedCitation":"[215]","plainCitation":"[215]","noteIndex":0},"citationItems":[{"id":176,"uris":["http://zotero.org/users/12909065/items/6KSRHSKI"],"itemData":{"id":176,"type":"article-journal","abstract":"Low energy loss and efficient charge separation under small driving forces are the prerequisites for realizing high power conversion efficiency (PCE) in organic photovoltaics (OPVs). Here, a new molecular design of nonfullerene acceptors (NFAs) is proposed to address above two issues simultaneously by introducing asymmetric terminals. Two NFAs, BTP-S1 and BTP-S2, are constructed by introducing halogenated indandione (A1) and 3-dicyanomethylene-1-indanone (A2) as two different conjugated terminals on the central fused core (D), wherein they share the same backbone as well-known NFA Y6, but at different terminals. Such asymmetric NFAs with A1-D-A2 structure exhibit superior photovoltaic properties when blended with polymer donor PM6. Energy loss analysis reveals that asymmetric molecule BTP-S2 with six chlorine atoms attached at the terminals enables the corresponding devices to give an outstanding electroluminescence quantum efficiency of 2.3 × 10−2%, one order of magnitude higher than devices based on symmetric Y6 (4.4 × 10−3%), thus significantly lowering the nonradiative loss and energy loss of the corresponding devices. Besides, asymmetric BTP-S1 and BTP-S2 with multiple halogen atoms at the terminals exhibit fast hole transfer to the donor PM6. As a result, OPVs based on the PM6:BTP-S2 blend realize a PCE of 16.37%, higher than that (15.79%) of PM6:Y6-based OPVs. A further optimization of the ternary blend (PM6:Y6:BTP-S2) results in a best PCE of 17.43%, which is among the highest efficiencies for single-junction OPVs. This work provides an effective approach to simultaneously lower the energy loss and promote the charge separation of OPVs by molecular design strategy.","container-title":"Advanced Materials","DOI":"10.1002/adma.202001160","ISSN":"1521-4095","issue":"24","language":"en","license":"© 2020 WILEY-VCH Verlag GmbH &amp; Co. KGaA, Weinheim","note":"_eprint: https://onlinelibrary.wiley.com/doi/pdf/10.1002/adma.202001160","page":"2001160","source":"Wiley Online Library","title":"Asymmetric Electron Acceptors for High-Efficiency and Low-Energy-Loss Organic Photovoltaics","volume":"32","author":[{"family":"Li","given":"Shuixing"},{"family":"Zhan","given":"Lingling"},{"family":"Jin","given":"Yingzhi"},{"family":"Zhou","given":"Guanqing"},{"family":"Lau","given":"Tsz-Ki"},{"family":"Qin","given":"Ran"},{"family":"Shi","given":"Minmin"},{"family":"Li","given":"Chang-Zhi"},{"family":"Zhu","given":"Haiming"},{"family":"Lu","given":"Xinhui"},{"family":"Zhang","given":"Fengling"},{"family":"Chen","given":"Hongzheng"}],"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[215]</w:t>
            </w:r>
            <w:r w:rsidRPr="00B55044">
              <w:rPr>
                <w:rFonts w:eastAsia="Times New Roman"/>
                <w:color w:val="0000FF"/>
                <w:sz w:val="16"/>
                <w:szCs w:val="16"/>
              </w:rPr>
              <w:fldChar w:fldCharType="end"/>
            </w:r>
          </w:p>
        </w:tc>
      </w:tr>
      <w:tr w:rsidR="00D47774" w:rsidRPr="00B55044" w14:paraId="433A5E4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5666B5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414</w:t>
            </w:r>
          </w:p>
        </w:tc>
        <w:tc>
          <w:tcPr>
            <w:tcW w:w="1525" w:type="pct"/>
            <w:tcBorders>
              <w:top w:val="single" w:sz="4" w:space="0" w:color="auto"/>
              <w:left w:val="nil"/>
              <w:bottom w:val="single" w:sz="4" w:space="0" w:color="auto"/>
              <w:right w:val="nil"/>
            </w:tcBorders>
            <w:shd w:val="clear" w:color="auto" w:fill="auto"/>
            <w:noWrap/>
            <w:vAlign w:val="bottom"/>
            <w:hideMark/>
          </w:tcPr>
          <w:p w14:paraId="553049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3878523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PM6:Y6:BTP-S2 (20%)</w:t>
            </w:r>
          </w:p>
        </w:tc>
        <w:tc>
          <w:tcPr>
            <w:tcW w:w="379" w:type="pct"/>
            <w:tcBorders>
              <w:top w:val="single" w:sz="4" w:space="0" w:color="auto"/>
              <w:left w:val="nil"/>
              <w:bottom w:val="single" w:sz="4" w:space="0" w:color="auto"/>
              <w:right w:val="nil"/>
            </w:tcBorders>
            <w:shd w:val="clear" w:color="auto" w:fill="auto"/>
            <w:noWrap/>
            <w:vAlign w:val="bottom"/>
            <w:hideMark/>
          </w:tcPr>
          <w:p w14:paraId="7AF6892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w:t>
            </w:r>
          </w:p>
        </w:tc>
        <w:tc>
          <w:tcPr>
            <w:tcW w:w="379" w:type="pct"/>
            <w:tcBorders>
              <w:top w:val="single" w:sz="4" w:space="0" w:color="auto"/>
              <w:left w:val="nil"/>
              <w:bottom w:val="single" w:sz="4" w:space="0" w:color="auto"/>
              <w:right w:val="nil"/>
            </w:tcBorders>
            <w:shd w:val="clear" w:color="auto" w:fill="auto"/>
            <w:noWrap/>
            <w:vAlign w:val="bottom"/>
            <w:hideMark/>
          </w:tcPr>
          <w:p w14:paraId="5EF97FF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26.2</w:t>
            </w:r>
          </w:p>
        </w:tc>
        <w:tc>
          <w:tcPr>
            <w:tcW w:w="378" w:type="pct"/>
            <w:tcBorders>
              <w:top w:val="single" w:sz="4" w:space="0" w:color="auto"/>
              <w:left w:val="nil"/>
              <w:bottom w:val="single" w:sz="4" w:space="0" w:color="auto"/>
              <w:right w:val="nil"/>
            </w:tcBorders>
            <w:shd w:val="clear" w:color="auto" w:fill="auto"/>
            <w:noWrap/>
            <w:vAlign w:val="bottom"/>
            <w:hideMark/>
          </w:tcPr>
          <w:p w14:paraId="24AE902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75.8</w:t>
            </w:r>
          </w:p>
        </w:tc>
        <w:tc>
          <w:tcPr>
            <w:tcW w:w="381" w:type="pct"/>
            <w:tcBorders>
              <w:top w:val="single" w:sz="4" w:space="0" w:color="auto"/>
              <w:left w:val="nil"/>
              <w:bottom w:val="single" w:sz="4" w:space="0" w:color="auto"/>
              <w:right w:val="nil"/>
            </w:tcBorders>
            <w:shd w:val="clear" w:color="auto" w:fill="auto"/>
            <w:noWrap/>
            <w:vAlign w:val="bottom"/>
            <w:hideMark/>
          </w:tcPr>
          <w:p w14:paraId="57DDF4B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17.43</w:t>
            </w:r>
          </w:p>
        </w:tc>
        <w:tc>
          <w:tcPr>
            <w:tcW w:w="378" w:type="pct"/>
            <w:tcBorders>
              <w:top w:val="single" w:sz="4" w:space="0" w:color="auto"/>
              <w:left w:val="nil"/>
              <w:bottom w:val="single" w:sz="4" w:space="0" w:color="auto"/>
              <w:right w:val="nil"/>
            </w:tcBorders>
            <w:shd w:val="clear" w:color="auto" w:fill="auto"/>
            <w:noWrap/>
            <w:vAlign w:val="bottom"/>
            <w:hideMark/>
          </w:tcPr>
          <w:p w14:paraId="7901558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{"citationID":"a2jgjdqu14q","properties":{"formattedCitation":"[215]","plainCitation":"[215]","noteIndex":0},"citationItems":[{"id":176,"uris":["http://zotero.org/users/12909065/items/6KSRHSKI"],"itemData":{"id":176,"type":"article-journal","abstract":"Low energy loss and efficient charge separation under small driving forces are the prerequisites for realizing high power conversion efficiency (PCE) in organic photovoltaics (OPVs). Here, a new molecular design of nonfullerene acceptors (NFAs) is proposed to address above two issues simultaneously by introducing asymmetric terminals. Two NFAs, BTP-S1 and BTP-S2, are constructed by introducing halogenated indandione (A1) and 3-dicyanomethylene-1-indanone (A2) as two different conjugated terminals on the central fused core (D), wherein they share the same backbone as well-known NFA Y6, but at different terminals. Such asymmetric NFAs with A1-D-A2 structure exhibit superior photovoltaic properties when blended with polymer donor PM6. Energy loss analysis reveals that asymmetric molecule BTP-S2 with six chlorine atoms attached at the terminals enables the corresponding devices to give an outstanding electroluminescence quantum efficiency of 2.3 × 10−2%, one order of magnitude higher than devices based on symmetric Y6 (4.4 × 10−3%), thus significantly lowering the nonradiative loss and energy loss of the corresponding devices. Besides, asymmetric BTP-S1 and BTP-S2 with multiple halogen atoms at the terminals exhibit fast hole transfer to the donor PM6. As a result, OPVs based on the PM6:BTP-S2 blend realize a PCE of 16.37%, higher than that (15.79%) of PM6:Y6-based OPVs. A further optimization of the ternary blend (PM6:Y6:BTP-S2) results in a best PCE of 17.43%, which is among the highest efficiencies for single-junction OPVs. This work provides an effective approach to simultaneously lower the energy loss and promote the charge separation of OPVs by molecular design strategy.","container-title":"Advanced Materials","DOI":"10.1002/adma.202001160","ISSN":"1521-4095","issue":"24","language":"en","license":"© 2020 WILEY-VCH Verlag GmbH &amp; Co. KGaA, Weinheim","note":"_eprint: https://onlinelibrary.wiley.com/doi/pdf/10.1002/adma.202001160","page":"2001160","source":"Wiley Online Library","title":"Asymmetric Electron Acceptors for High-Efficiency and Low-Energy-Loss Organic Photovoltaics","volume":"32","author":[{"family":"Li","given":"Shuixing"},{"family":"Zhan","given":"Lingling"},{"family":"Jin","given":"Yingzhi"},{"family":"Zhou","given":"Guanqing"},{"family":"Lau","given":"Tsz-Ki"},{"family":"Qin","given":"Ran"},{"family":"Shi","given":"Minmin"},{"family":"Li","given":"Chang-Zhi"},{"family":"Zhu","given":"Haiming"},{"family":"Lu","given":"Xinhui"},{"family":"Zhang","given":"Fengling"},{"family":"Chen","given":"Hongzheng"}],"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[215]</w:t>
            </w:r>
            <w:r w:rsidRPr="00B55044">
              <w:rPr>
                <w:rFonts w:eastAsia="Times New Roman"/>
                <w:color w:val="0000FF"/>
                <w:sz w:val="16"/>
                <w:szCs w:val="16"/>
              </w:rPr>
              <w:fldChar w:fldCharType="end"/>
            </w:r>
          </w:p>
        </w:tc>
      </w:tr>
      <w:tr w:rsidR="00D47774" w:rsidRPr="00B55044" w14:paraId="722FBE4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140966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415</w:t>
            </w:r>
          </w:p>
        </w:tc>
        <w:tc>
          <w:tcPr>
            <w:tcW w:w="1525" w:type="pct"/>
            <w:tcBorders>
              <w:top w:val="single" w:sz="4" w:space="0" w:color="auto"/>
              <w:left w:val="nil"/>
              <w:bottom w:val="single" w:sz="4" w:space="0" w:color="auto"/>
              <w:right w:val="nil"/>
            </w:tcBorders>
            <w:shd w:val="clear" w:color="auto" w:fill="auto"/>
            <w:noWrap/>
            <w:vAlign w:val="bottom"/>
            <w:hideMark/>
          </w:tcPr>
          <w:p w14:paraId="15D6AC8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67A4CE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PM6:Y6:BTP-S2 (30%)</w:t>
            </w:r>
          </w:p>
        </w:tc>
        <w:tc>
          <w:tcPr>
            <w:tcW w:w="379" w:type="pct"/>
            <w:tcBorders>
              <w:top w:val="single" w:sz="4" w:space="0" w:color="auto"/>
              <w:left w:val="nil"/>
              <w:bottom w:val="single" w:sz="4" w:space="0" w:color="auto"/>
              <w:right w:val="nil"/>
            </w:tcBorders>
            <w:shd w:val="clear" w:color="auto" w:fill="auto"/>
            <w:noWrap/>
            <w:vAlign w:val="bottom"/>
            <w:hideMark/>
          </w:tcPr>
          <w:p w14:paraId="389F0EB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0.884</w:t>
            </w:r>
          </w:p>
        </w:tc>
        <w:tc>
          <w:tcPr>
            <w:tcW w:w="379" w:type="pct"/>
            <w:tcBorders>
              <w:top w:val="single" w:sz="4" w:space="0" w:color="auto"/>
              <w:left w:val="nil"/>
              <w:bottom w:val="single" w:sz="4" w:space="0" w:color="auto"/>
              <w:right w:val="nil"/>
            </w:tcBorders>
            <w:shd w:val="clear" w:color="auto" w:fill="auto"/>
            <w:noWrap/>
            <w:vAlign w:val="bottom"/>
            <w:hideMark/>
          </w:tcPr>
          <w:p w14:paraId="4904D78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26.07</w:t>
            </w:r>
          </w:p>
        </w:tc>
        <w:tc>
          <w:tcPr>
            <w:tcW w:w="378" w:type="pct"/>
            <w:tcBorders>
              <w:top w:val="single" w:sz="4" w:space="0" w:color="auto"/>
              <w:left w:val="nil"/>
              <w:bottom w:val="single" w:sz="4" w:space="0" w:color="auto"/>
              <w:right w:val="nil"/>
            </w:tcBorders>
            <w:shd w:val="clear" w:color="auto" w:fill="auto"/>
            <w:noWrap/>
            <w:vAlign w:val="bottom"/>
            <w:hideMark/>
          </w:tcPr>
          <w:p w14:paraId="59CC32D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74.67</w:t>
            </w:r>
          </w:p>
        </w:tc>
        <w:tc>
          <w:tcPr>
            <w:tcW w:w="381" w:type="pct"/>
            <w:tcBorders>
              <w:top w:val="single" w:sz="4" w:space="0" w:color="auto"/>
              <w:left w:val="nil"/>
              <w:bottom w:val="single" w:sz="4" w:space="0" w:color="auto"/>
              <w:right w:val="nil"/>
            </w:tcBorders>
            <w:shd w:val="clear" w:color="auto" w:fill="auto"/>
            <w:noWrap/>
            <w:vAlign w:val="bottom"/>
            <w:hideMark/>
          </w:tcPr>
          <w:p w14:paraId="09C7978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17.16</w:t>
            </w:r>
          </w:p>
        </w:tc>
        <w:tc>
          <w:tcPr>
            <w:tcW w:w="378" w:type="pct"/>
            <w:tcBorders>
              <w:top w:val="single" w:sz="4" w:space="0" w:color="auto"/>
              <w:left w:val="nil"/>
              <w:bottom w:val="single" w:sz="4" w:space="0" w:color="auto"/>
              <w:right w:val="nil"/>
            </w:tcBorders>
            <w:shd w:val="clear" w:color="auto" w:fill="auto"/>
            <w:noWrap/>
            <w:vAlign w:val="bottom"/>
            <w:hideMark/>
          </w:tcPr>
          <w:p w14:paraId="490C268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{"citationID":"a77nabt7s6","properties":{"formattedCitation":"[215]","plainCitation":"[215]","noteIndex":0},"citationItems":[{"id":176,"uris":["http://zotero.org/users/12909065/items/6KSRHSKI"],"itemData":{"id":176,"type":"article-journal","abstract":"Low energy loss and efficient charge separation under small driving forces are the prerequisites for realizing high power conversion efficiency (PCE) in organic photovoltaics (OPVs). Here, a new molecular design of nonfullerene acceptors (NFAs) is proposed to address above two issues simultaneously by introducing asymmetric terminals. Two NFAs, BTP-S1 and BTP-S2, are constructed by introducing halogenated indandione (A1) and 3-dicyanomethylene-1-indanone (A2) as two different conjugated terminals on the central fused core (D), wherein they share the same backbone as well-known NFA Y6, but at different terminals. Such asymmetric NFAs with A1-D-A2 structure exhibit superior photovoltaic properties when blended with polymer donor PM6. Energy loss analysis reveals that asymmetric molecule BTP-S2 with six chlorine atoms attached at the terminals enables the corresponding devices to give an outstanding electroluminescence quantum efficiency of 2.3 × 10−2%, one order of magnitude higher than devices based on symmetric Y6 (4.4 × 10−3%), thus significantly lowering the nonradiative loss and energy loss of the corresponding devices. Besides, asymmetric BTP-S1 and BTP-S2 with multiple halogen atoms at the terminals exhibit fast hole transfer to the donor PM6. As a result, OPVs based on the PM6:BTP-S2 blend realize a PCE of 16.37%, higher than that (15.79%) of PM6:Y6-based OPVs. A further optimization of the ternary blend (PM6:Y6:BTP-S2) results in a best PCE of 17.43%, which is among the highest efficiencies for single-junction OPVs. This work provides an effective approach to simultaneously lower the energy loss and promote the charge separation of OPVs by molecular design strategy.","container-title":"Advanced Materials","DOI":"10.1002/adma.202001160","ISSN":"1521-4095","issue":"24","language":"en","license":"© 2020 WILEY-VCH Verlag GmbH &amp; Co. KGaA, Weinheim","note":"_eprint: https://onlinelibrary.wiley.com/doi/pdf/10.1002/adma.202001160","page":"2001160","source":"Wiley Online Library","title":"Asymmetric Electron Acceptors for High-Efficiency and Low-Energy-Loss Organic Photovoltaics","volume":"32","author":[{"family":"Li","given":"Shuixing"},{"family":"Zhan","given":"Lingling"},{"family":"Jin","given":"Yingzhi"},{"family":"Zhou","given":"Guanqing"},{"family":"Lau","given":"Tsz-Ki"},{"family":"Qin","given":"Ran"},{"family":"Shi","given":"Minmin"},{"family":"Li","given":"Chang-Zhi"},{"family":"Zhu","given":"Haiming"},{"family":"Lu","given":"Xinhui"},{"family":"Zhang","given":"Fengling"},{"family":"Chen","given":"Hongzheng"}],"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[215]</w:t>
            </w:r>
            <w:r w:rsidRPr="00B55044">
              <w:rPr>
                <w:rFonts w:eastAsia="Times New Roman"/>
                <w:color w:val="0000FF"/>
                <w:sz w:val="16"/>
                <w:szCs w:val="16"/>
              </w:rPr>
              <w:fldChar w:fldCharType="end"/>
            </w:r>
          </w:p>
        </w:tc>
      </w:tr>
      <w:tr w:rsidR="00D47774" w:rsidRPr="00B55044" w14:paraId="390156E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CA34F1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416</w:t>
            </w:r>
          </w:p>
        </w:tc>
        <w:tc>
          <w:tcPr>
            <w:tcW w:w="1525" w:type="pct"/>
            <w:tcBorders>
              <w:top w:val="single" w:sz="4" w:space="0" w:color="auto"/>
              <w:left w:val="nil"/>
              <w:bottom w:val="single" w:sz="4" w:space="0" w:color="auto"/>
              <w:right w:val="nil"/>
            </w:tcBorders>
            <w:shd w:val="clear" w:color="auto" w:fill="auto"/>
            <w:noWrap/>
            <w:vAlign w:val="bottom"/>
            <w:hideMark/>
          </w:tcPr>
          <w:p w14:paraId="101EAA5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ITO/PEDOT:PSS/AL/PFN-Br/Ag</w:t>
            </w:r>
          </w:p>
        </w:tc>
        <w:tc>
          <w:tcPr>
            <w:tcW w:w="1288" w:type="pct"/>
            <w:tcBorders>
              <w:top w:val="single" w:sz="4" w:space="0" w:color="auto"/>
              <w:left w:val="nil"/>
              <w:bottom w:val="single" w:sz="4" w:space="0" w:color="auto"/>
              <w:right w:val="nil"/>
            </w:tcBorders>
            <w:shd w:val="clear" w:color="auto" w:fill="auto"/>
            <w:noWrap/>
            <w:vAlign w:val="bottom"/>
            <w:hideMark/>
          </w:tcPr>
          <w:p w14:paraId="03794B7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PM6:Y6:BTP-S2 (50%)</w:t>
            </w:r>
          </w:p>
        </w:tc>
        <w:tc>
          <w:tcPr>
            <w:tcW w:w="379" w:type="pct"/>
            <w:tcBorders>
              <w:top w:val="single" w:sz="4" w:space="0" w:color="auto"/>
              <w:left w:val="nil"/>
              <w:bottom w:val="single" w:sz="4" w:space="0" w:color="auto"/>
              <w:right w:val="nil"/>
            </w:tcBorders>
            <w:shd w:val="clear" w:color="auto" w:fill="auto"/>
            <w:noWrap/>
            <w:vAlign w:val="bottom"/>
            <w:hideMark/>
          </w:tcPr>
          <w:p w14:paraId="5F50936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0.897</w:t>
            </w:r>
          </w:p>
        </w:tc>
        <w:tc>
          <w:tcPr>
            <w:tcW w:w="379" w:type="pct"/>
            <w:tcBorders>
              <w:top w:val="single" w:sz="4" w:space="0" w:color="auto"/>
              <w:left w:val="nil"/>
              <w:bottom w:val="single" w:sz="4" w:space="0" w:color="auto"/>
              <w:right w:val="nil"/>
            </w:tcBorders>
            <w:shd w:val="clear" w:color="auto" w:fill="auto"/>
            <w:noWrap/>
            <w:vAlign w:val="bottom"/>
            <w:hideMark/>
          </w:tcPr>
          <w:p w14:paraId="3133D6B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26.11</w:t>
            </w:r>
          </w:p>
        </w:tc>
        <w:tc>
          <w:tcPr>
            <w:tcW w:w="378" w:type="pct"/>
            <w:tcBorders>
              <w:top w:val="single" w:sz="4" w:space="0" w:color="auto"/>
              <w:left w:val="nil"/>
              <w:bottom w:val="single" w:sz="4" w:space="0" w:color="auto"/>
              <w:right w:val="nil"/>
            </w:tcBorders>
            <w:shd w:val="clear" w:color="auto" w:fill="auto"/>
            <w:noWrap/>
            <w:vAlign w:val="bottom"/>
            <w:hideMark/>
          </w:tcPr>
          <w:p w14:paraId="2CC0434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73.02</w:t>
            </w:r>
          </w:p>
        </w:tc>
        <w:tc>
          <w:tcPr>
            <w:tcW w:w="381" w:type="pct"/>
            <w:tcBorders>
              <w:top w:val="single" w:sz="4" w:space="0" w:color="auto"/>
              <w:left w:val="nil"/>
              <w:bottom w:val="single" w:sz="4" w:space="0" w:color="auto"/>
              <w:right w:val="nil"/>
            </w:tcBorders>
            <w:shd w:val="clear" w:color="auto" w:fill="auto"/>
            <w:noWrap/>
            <w:vAlign w:val="bottom"/>
            <w:hideMark/>
          </w:tcPr>
          <w:p w14:paraId="66E2DC9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17.06</w:t>
            </w:r>
          </w:p>
        </w:tc>
        <w:tc>
          <w:tcPr>
            <w:tcW w:w="378" w:type="pct"/>
            <w:tcBorders>
              <w:top w:val="single" w:sz="4" w:space="0" w:color="auto"/>
              <w:left w:val="nil"/>
              <w:bottom w:val="single" w:sz="4" w:space="0" w:color="auto"/>
              <w:right w:val="nil"/>
            </w:tcBorders>
            <w:shd w:val="clear" w:color="auto" w:fill="auto"/>
            <w:noWrap/>
            <w:vAlign w:val="bottom"/>
            <w:hideMark/>
          </w:tcPr>
          <w:p w14:paraId="2835F4E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{"citationID":"a85lbu93vt","properties":{"formattedCitation":"[215]","plainCitation":"[215]","noteIndex":0},"citationItems":[{"id":176,"uris":["http://zotero.org/users/12909065/items/6KSRHSKI"],"itemData":{"id":176,"type":"article-journal","abstract":"Low energy loss and efficient charge separation under small driving forces are the prerequisites for realizing high power conversion efficiency (PCE) in organic photovoltaics (OPVs). Here, a new molecular design of nonfullerene acceptors (NFAs) is proposed to address above two issues simultaneously by introducing asymmetric terminals. Two NFAs, BTP-S1 and BTP-S2, are constructed by introducing halogenated indandione (A1) and 3-dicyanomethylene-1-indanone (A2) as two different conjugated terminals on the central fused core (D), wherein they share the same backbone as well-known NFA Y6, but at different terminals. Such asymmetric NFAs with A1-D-A2 structure exhibit superior photovoltaic properties when blended with polymer donor PM6. Energy loss analysis reveals that asymmetric molecule BTP-S2 with six chlorine atoms attached at the terminals enables the corresponding devices to give an outstanding electroluminescence quantum efficiency of 2.3 × 10−2%, one order of magnitude higher than devices based on symmetric Y6 (4.4 × 10−3%), thus significantly lowering the nonradiative loss and energy loss of the corresponding devices. Besides, asymmetric BTP-S1 and BTP-S2 with multiple halogen atoms at the terminals exhibit fast hole transfer to the donor PM6. As a result, OPVs based on the PM6:BTP-S2 blend realize a PCE of 16.37%, higher than that (15.79%) of PM6:Y6-based OPVs. A further optimization of the ternary blend (PM6:Y6:BTP-S2) results in a best PCE of 17.43%, which is among the highest efficiencies for single-junction OPVs. This work provides an effective approach to simultaneously lower the energy loss and promote the charge separation of OPVs by molecular design strategy.","container-title":"Advanced Materials","DOI":"10.1002/adma.202001160","ISSN":"1521-4095","issue":"24","language":"en","license":"© 2020 WILEY-VCH Verlag GmbH &amp; Co. KGaA, Weinheim","note":"_eprint: https://onlinelibrary.wiley.com/doi/pdf/10.1002/adma.202001160","page":"2001160","source":"Wiley Online Library","title":"Asymmetric Electron Acceptors for High-Efficiency and Low-Energy-Loss Organic Photovoltaics","volume":"32","author":[{"family":"Li","given":"Shuixing"},{"family":"Zhan","given":"Lingling"},{"family":"Jin","given":"Yingzhi"},{"family":"Zhou","given":"Guanqing"},{"family":"Lau","given":"Tsz-Ki"},{"family":"Qin","given":"Ran"},{"family":"Shi","given":"Minmin"},{"family":"Li","given":"Chang-Zhi"},{"family":"Zhu","given":"Haiming"},{"family":"Lu","given":"Xinhui"},{"family":"Zhang","given":"Fengling"},{"family":"Chen","given":"Hongzheng"}],"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[215]</w:t>
            </w:r>
            <w:r w:rsidRPr="00B55044">
              <w:rPr>
                <w:rFonts w:eastAsia="Times New Roman"/>
                <w:color w:val="0000FF"/>
                <w:sz w:val="16"/>
                <w:szCs w:val="16"/>
              </w:rPr>
              <w:fldChar w:fldCharType="end"/>
            </w:r>
          </w:p>
        </w:tc>
      </w:tr>
      <w:tr w:rsidR="00D47774" w:rsidRPr="00B55044" w14:paraId="656A255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36EAD1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417</w:t>
            </w:r>
          </w:p>
        </w:tc>
        <w:tc>
          <w:tcPr>
            <w:tcW w:w="1525" w:type="pct"/>
            <w:tcBorders>
              <w:top w:val="single" w:sz="4" w:space="0" w:color="auto"/>
              <w:left w:val="nil"/>
              <w:bottom w:val="single" w:sz="4" w:space="0" w:color="auto"/>
              <w:right w:val="nil"/>
            </w:tcBorders>
            <w:shd w:val="clear" w:color="auto" w:fill="auto"/>
            <w:noWrap/>
            <w:vAlign w:val="bottom"/>
            <w:hideMark/>
          </w:tcPr>
          <w:p w14:paraId="47F3EDE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73FB865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PM6:IN-4F:IT-4F</w:t>
            </w:r>
          </w:p>
        </w:tc>
        <w:tc>
          <w:tcPr>
            <w:tcW w:w="379" w:type="pct"/>
            <w:tcBorders>
              <w:top w:val="single" w:sz="4" w:space="0" w:color="auto"/>
              <w:left w:val="nil"/>
              <w:bottom w:val="single" w:sz="4" w:space="0" w:color="auto"/>
              <w:right w:val="nil"/>
            </w:tcBorders>
            <w:shd w:val="clear" w:color="auto" w:fill="auto"/>
            <w:noWrap/>
            <w:vAlign w:val="bottom"/>
            <w:hideMark/>
          </w:tcPr>
          <w:p w14:paraId="135ECC3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0.859</w:t>
            </w:r>
          </w:p>
        </w:tc>
        <w:tc>
          <w:tcPr>
            <w:tcW w:w="379" w:type="pct"/>
            <w:tcBorders>
              <w:top w:val="single" w:sz="4" w:space="0" w:color="auto"/>
              <w:left w:val="nil"/>
              <w:bottom w:val="single" w:sz="4" w:space="0" w:color="auto"/>
              <w:right w:val="nil"/>
            </w:tcBorders>
            <w:shd w:val="clear" w:color="auto" w:fill="auto"/>
            <w:noWrap/>
            <w:vAlign w:val="bottom"/>
            <w:hideMark/>
          </w:tcPr>
          <w:p w14:paraId="36CD54C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22.8</w:t>
            </w:r>
          </w:p>
        </w:tc>
        <w:tc>
          <w:tcPr>
            <w:tcW w:w="378" w:type="pct"/>
            <w:tcBorders>
              <w:top w:val="single" w:sz="4" w:space="0" w:color="auto"/>
              <w:left w:val="nil"/>
              <w:bottom w:val="single" w:sz="4" w:space="0" w:color="auto"/>
              <w:right w:val="nil"/>
            </w:tcBorders>
            <w:shd w:val="clear" w:color="auto" w:fill="auto"/>
            <w:noWrap/>
            <w:vAlign w:val="bottom"/>
            <w:hideMark/>
          </w:tcPr>
          <w:p w14:paraId="7E3A980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76.2</w:t>
            </w:r>
          </w:p>
        </w:tc>
        <w:tc>
          <w:tcPr>
            <w:tcW w:w="381" w:type="pct"/>
            <w:tcBorders>
              <w:top w:val="single" w:sz="4" w:space="0" w:color="auto"/>
              <w:left w:val="nil"/>
              <w:bottom w:val="single" w:sz="4" w:space="0" w:color="auto"/>
              <w:right w:val="nil"/>
            </w:tcBorders>
            <w:shd w:val="clear" w:color="auto" w:fill="auto"/>
            <w:noWrap/>
            <w:vAlign w:val="bottom"/>
            <w:hideMark/>
          </w:tcPr>
          <w:p w14:paraId="28E846A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14.9</w:t>
            </w:r>
          </w:p>
        </w:tc>
        <w:tc>
          <w:tcPr>
            <w:tcW w:w="378" w:type="pct"/>
            <w:tcBorders>
              <w:top w:val="single" w:sz="4" w:space="0" w:color="auto"/>
              <w:left w:val="nil"/>
              <w:bottom w:val="single" w:sz="4" w:space="0" w:color="auto"/>
              <w:right w:val="nil"/>
            </w:tcBorders>
            <w:shd w:val="clear" w:color="auto" w:fill="auto"/>
            <w:noWrap/>
            <w:vAlign w:val="bottom"/>
            <w:hideMark/>
          </w:tcPr>
          <w:p w14:paraId="71EB27F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{"citationID":"a1lu6s4spfq","properties":{"formattedCitation":"[216]","plainCitation":"[216]","noteIndex":0},"citationItems":[{"id":175,"uris":["http://zotero.org/users/12909065/items/3N683M5V"],"itemData":{"id":175,"type":"article-journal","abstract":"The ternary approach using a smaller band gap acceptor as the near-infrared (NIR) absorber to increase the short-circuit current density (Jsc) usually decreases the open-circuit voltage (Voc). In this contribution, we report a small-molecule acceptor, IN-4F, which has a reduced band gap and a higher LUMO level than IT-4F, hence enabling the concurrent increase in the Jsc and Voc when using IT-4F as the acceptor guest of the host binary of PM6:IT-4F. IN-4F was judiciously designed by fusing benzodithiophene (BDT) and thieno[2′,3′:4,5]thieno to make a larger π-system so as to upshift the LUMO level and reduce the optical band gap and, meanwhile, by substituting the BDT-4,8 positions with trialkylsilylthiophene chains to downshift the HOMO level to match the deep HOMO of PM6. Again, the structural similarity between IN-4F and IT-4F makes the nanoscaled homogeneous fine film morphology and the π–π stacking patterns both well kept; hence, the fill factor (FF) is well maintained. The IN-4F-based binary solar cell shows 13.1% efficiency, and its ternary solar cell blended with IT-4F supplies 14.9% efficiency. Again, the use of IN-4F as the guest acceptor of the PM6:Y6 system enables the increase in Voc due to its higher LUMO level, the increase in Jsc because of the increase in charge mobilities, and the maintenance of FF, affording 16.3% efficiency. This work demonstrates that the π-system extending and the trialkylsilylthiophene chain substitution can be an effective strategy to synthesize a nonfullerene acceptor guest to realize a ternary material system, which enables to increase Voc from its entanglement with Jsc (an issue of the current material approach).","container-title":"Chemistry of Materials","DOI":"10.1021/acs.chemmater.9b02943","ISSN":"0897-4756","issue":"21","journalAbbreviation":"Chem. Mater.","note":"publisher: American Chemical Society","page":"8908-8917","source":"ACS Publications","title":"A Trialkylsilylthienyl Chain-Substituted Small-Molecule Acceptor with Higher LUMO Level and Reduced Band Gap for Over 16% Efficiency Fullerene-Free Ternary Solar Cells","volume":"31","author":[{"family":"Su","given":"Dan"},{"family":"Pan","given":"Ming-Ao"},{"family":"Liu","given":"Zhongfei"},{"family":"Lau","given":"Tsz-Ki"},{"family":"Li","given":"Xiaofang"},{"family":"Shen","given":"Fugang"},{"family":"Huo","given":"Shuying"},{"family":"Lu","given":"Xinhui"},{"family":"Xu","given":"Aiju"},{"family":"Yan","given":"He"},{"family":"Zhan","given":"Chuanlang"}],"issued":{"date-parts":[["2019",11,12]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[216]</w:t>
            </w:r>
            <w:r w:rsidRPr="00B55044">
              <w:rPr>
                <w:rFonts w:eastAsia="Times New Roman"/>
                <w:color w:val="0000FF"/>
                <w:sz w:val="16"/>
                <w:szCs w:val="16"/>
              </w:rPr>
              <w:fldChar w:fldCharType="end"/>
            </w:r>
          </w:p>
        </w:tc>
      </w:tr>
      <w:tr w:rsidR="00D47774" w:rsidRPr="00B55044" w14:paraId="47C32F0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4288F2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418</w:t>
            </w:r>
          </w:p>
        </w:tc>
        <w:tc>
          <w:tcPr>
            <w:tcW w:w="1525" w:type="pct"/>
            <w:tcBorders>
              <w:top w:val="single" w:sz="4" w:space="0" w:color="auto"/>
              <w:left w:val="nil"/>
              <w:bottom w:val="single" w:sz="4" w:space="0" w:color="auto"/>
              <w:right w:val="nil"/>
            </w:tcBorders>
            <w:shd w:val="clear" w:color="auto" w:fill="auto"/>
            <w:noWrap/>
            <w:vAlign w:val="bottom"/>
            <w:hideMark/>
          </w:tcPr>
          <w:p w14:paraId="13084BE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4055492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PM6:Y6:IN-4F</w:t>
            </w:r>
          </w:p>
        </w:tc>
        <w:tc>
          <w:tcPr>
            <w:tcW w:w="379" w:type="pct"/>
            <w:tcBorders>
              <w:top w:val="single" w:sz="4" w:space="0" w:color="auto"/>
              <w:left w:val="nil"/>
              <w:bottom w:val="single" w:sz="4" w:space="0" w:color="auto"/>
              <w:right w:val="nil"/>
            </w:tcBorders>
            <w:shd w:val="clear" w:color="auto" w:fill="auto"/>
            <w:noWrap/>
            <w:vAlign w:val="bottom"/>
            <w:hideMark/>
          </w:tcPr>
          <w:p w14:paraId="22E4C57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3D77838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24.7</w:t>
            </w:r>
          </w:p>
        </w:tc>
        <w:tc>
          <w:tcPr>
            <w:tcW w:w="378" w:type="pct"/>
            <w:tcBorders>
              <w:top w:val="single" w:sz="4" w:space="0" w:color="auto"/>
              <w:left w:val="nil"/>
              <w:bottom w:val="single" w:sz="4" w:space="0" w:color="auto"/>
              <w:right w:val="nil"/>
            </w:tcBorders>
            <w:shd w:val="clear" w:color="auto" w:fill="auto"/>
            <w:noWrap/>
            <w:vAlign w:val="bottom"/>
            <w:hideMark/>
          </w:tcPr>
          <w:p w14:paraId="2CFE899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74.5</w:t>
            </w:r>
          </w:p>
        </w:tc>
        <w:tc>
          <w:tcPr>
            <w:tcW w:w="381" w:type="pct"/>
            <w:tcBorders>
              <w:top w:val="single" w:sz="4" w:space="0" w:color="auto"/>
              <w:left w:val="nil"/>
              <w:bottom w:val="single" w:sz="4" w:space="0" w:color="auto"/>
              <w:right w:val="nil"/>
            </w:tcBorders>
            <w:shd w:val="clear" w:color="auto" w:fill="auto"/>
            <w:noWrap/>
            <w:vAlign w:val="bottom"/>
            <w:hideMark/>
          </w:tcPr>
          <w:p w14:paraId="3BF170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16.3</w:t>
            </w:r>
          </w:p>
        </w:tc>
        <w:tc>
          <w:tcPr>
            <w:tcW w:w="378" w:type="pct"/>
            <w:tcBorders>
              <w:top w:val="single" w:sz="4" w:space="0" w:color="auto"/>
              <w:left w:val="nil"/>
              <w:bottom w:val="single" w:sz="4" w:space="0" w:color="auto"/>
              <w:right w:val="nil"/>
            </w:tcBorders>
            <w:shd w:val="clear" w:color="auto" w:fill="auto"/>
            <w:noWrap/>
            <w:vAlign w:val="bottom"/>
            <w:hideMark/>
          </w:tcPr>
          <w:p w14:paraId="38664DC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{"citationID":"a28c8p77flt","properties":{"formattedCitation":"[216]","plainCitation":"[216]","noteIndex":0},"citationItems":[{"id":175,"uris":["http://zotero.org/users/12909065/items/3N683M5V"],"itemData":{"id":175,"type":"article-journal","abstract":"The ternary approach using a smaller band gap acceptor as the near-infrared (NIR) absorber to increase the short-circuit current density (Jsc) usually decreases the open-circuit voltage (Voc). In this contribution, we report a small-molecule acceptor, IN-4F, which has a reduced band gap and a higher LUMO level than IT-4F, hence enabling the concurrent increase in the Jsc and Voc when using IT-4F as the acceptor guest of the host binary of PM6:IT-4F. IN-4F was judiciously designed by fusing benzodithiophene (BDT) and thieno[2′,3′:4,5]thieno to make a larger π-system so as to upshift the LUMO level and reduce the optical band gap and, meanwhile, by substituting the BDT-4,8 positions with trialkylsilylthiophene chains to downshift the HOMO level to match the deep HOMO of PM6. Again, the structural similarity between IN-4F and IT-4F makes the nanoscaled homogeneous fine film morphology and the π–π stacking patterns both well kept; hence, the fill factor (FF) is well maintained. The IN-4F-based binary solar cell shows 13.1% efficiency, and its ternary solar cell blended with IT-4F supplies 14.9% efficiency. Again, the use of IN-4F as the guest acceptor of the PM6:Y6 system enables the increase in Voc due to its higher LUMO level, the increase in Jsc because of the increase in charge mobilities, and the maintenance of FF, affording 16.3% efficiency. This work demonstrates that the π-system extending and the trialkylsilylthiophene chain substitution can be an effective strategy to synthesize a nonfullerene acceptor guest to realize a ternary material system, which enables to increase Voc from its entanglement with Jsc (an issue of the current material approach).","container-title":"Chemistry of Materials","DOI":"10.1021/acs.chemmater.9b02943","ISSN":"0897-4756","issue":"21","journalAbbreviation":"Chem. Mater.","note":"publisher: American Chemical Society","page":"8908-8917","source":"ACS Publications","title":"A Trialkylsilylthienyl Chain-Substituted Small-Molecule Acceptor with Higher LUMO Level and Reduced Band Gap for Over 16% Efficiency Fullerene-Free Ternary Solar Cells","volume":"31","author":[{"family":"Su","given":"Dan"},{"family":"Pan","given":"Ming-Ao"},{"family":"Liu","given":"Zhongfei"},{"family":"Lau","given":"Tsz-Ki"},{"family":"Li","given":"Xiaofang"},{"family":"Shen","given":"Fugang"},{"family":"Huo","given":"Shuying"},{"family":"Lu","given":"Xinhui"},{"family":"Xu","given":"Aiju"},{"family":"Yan","given":"He"},{"family":"Zhan","given":"Chuanlang"}],"issued":{"date-parts":[["2019",11,12]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[216]</w:t>
            </w:r>
            <w:r w:rsidRPr="00B55044">
              <w:rPr>
                <w:rFonts w:eastAsia="Times New Roman"/>
                <w:color w:val="0000FF"/>
                <w:sz w:val="16"/>
                <w:szCs w:val="16"/>
              </w:rPr>
              <w:fldChar w:fldCharType="end"/>
            </w:r>
          </w:p>
        </w:tc>
      </w:tr>
      <w:tr w:rsidR="00D47774" w:rsidRPr="00B55044" w14:paraId="783F3AE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5EEED1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419</w:t>
            </w:r>
          </w:p>
        </w:tc>
        <w:tc>
          <w:tcPr>
            <w:tcW w:w="1525" w:type="pct"/>
            <w:tcBorders>
              <w:top w:val="single" w:sz="4" w:space="0" w:color="auto"/>
              <w:left w:val="nil"/>
              <w:bottom w:val="single" w:sz="4" w:space="0" w:color="auto"/>
              <w:right w:val="nil"/>
            </w:tcBorders>
            <w:shd w:val="clear" w:color="auto" w:fill="auto"/>
            <w:noWrap/>
            <w:vAlign w:val="bottom"/>
            <w:hideMark/>
          </w:tcPr>
          <w:p w14:paraId="5A09656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35837A5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PM6:Y6:MF1(10%)</w:t>
            </w:r>
          </w:p>
        </w:tc>
        <w:tc>
          <w:tcPr>
            <w:tcW w:w="379" w:type="pct"/>
            <w:tcBorders>
              <w:top w:val="single" w:sz="4" w:space="0" w:color="auto"/>
              <w:left w:val="nil"/>
              <w:bottom w:val="single" w:sz="4" w:space="0" w:color="auto"/>
              <w:right w:val="nil"/>
            </w:tcBorders>
            <w:shd w:val="clear" w:color="auto" w:fill="auto"/>
            <w:noWrap/>
            <w:vAlign w:val="bottom"/>
            <w:hideMark/>
          </w:tcPr>
          <w:p w14:paraId="0FF9C46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0.853</w:t>
            </w:r>
          </w:p>
        </w:tc>
        <w:tc>
          <w:tcPr>
            <w:tcW w:w="379" w:type="pct"/>
            <w:tcBorders>
              <w:top w:val="single" w:sz="4" w:space="0" w:color="auto"/>
              <w:left w:val="nil"/>
              <w:bottom w:val="single" w:sz="4" w:space="0" w:color="auto"/>
              <w:right w:val="nil"/>
            </w:tcBorders>
            <w:shd w:val="clear" w:color="auto" w:fill="auto"/>
            <w:noWrap/>
            <w:vAlign w:val="bottom"/>
            <w:hideMark/>
          </w:tcPr>
          <w:p w14:paraId="7BF0B15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25.68</w:t>
            </w:r>
          </w:p>
        </w:tc>
        <w:tc>
          <w:tcPr>
            <w:tcW w:w="378" w:type="pct"/>
            <w:tcBorders>
              <w:top w:val="single" w:sz="4" w:space="0" w:color="auto"/>
              <w:left w:val="nil"/>
              <w:bottom w:val="single" w:sz="4" w:space="0" w:color="auto"/>
              <w:right w:val="nil"/>
            </w:tcBorders>
            <w:shd w:val="clear" w:color="auto" w:fill="auto"/>
            <w:noWrap/>
            <w:vAlign w:val="bottom"/>
            <w:hideMark/>
          </w:tcPr>
          <w:p w14:paraId="5BCFE4C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78.61</w:t>
            </w:r>
          </w:p>
        </w:tc>
        <w:tc>
          <w:tcPr>
            <w:tcW w:w="381" w:type="pct"/>
            <w:tcBorders>
              <w:top w:val="single" w:sz="4" w:space="0" w:color="auto"/>
              <w:left w:val="nil"/>
              <w:bottom w:val="single" w:sz="4" w:space="0" w:color="auto"/>
              <w:right w:val="nil"/>
            </w:tcBorders>
            <w:shd w:val="clear" w:color="auto" w:fill="auto"/>
            <w:noWrap/>
            <w:vAlign w:val="bottom"/>
            <w:hideMark/>
          </w:tcPr>
          <w:p w14:paraId="518819C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17.22</w:t>
            </w:r>
          </w:p>
        </w:tc>
        <w:tc>
          <w:tcPr>
            <w:tcW w:w="378" w:type="pct"/>
            <w:tcBorders>
              <w:top w:val="single" w:sz="4" w:space="0" w:color="auto"/>
              <w:left w:val="nil"/>
              <w:bottom w:val="single" w:sz="4" w:space="0" w:color="auto"/>
              <w:right w:val="nil"/>
            </w:tcBorders>
            <w:shd w:val="clear" w:color="auto" w:fill="auto"/>
            <w:noWrap/>
            <w:vAlign w:val="bottom"/>
            <w:hideMark/>
          </w:tcPr>
          <w:p w14:paraId="6D51DAA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{"citationID":"a1jas7nbbvu","properties":{"formattedCitation":"[217]","plainCitation":"[217]","noteIndex":0},"citationItems":[{"id":174,"uris":["http://zotero.org/users/12909065/items/5WB3CZ2V"],"itemData":{"id":174,"type":"article-journal","abstract":"Ternary strategy has been considered as an efficient method to achieve high performance polymer solar cells (PSCs). A power conversion efficiency (PCE) of 17.22% is achieved in the optimized ternary PSCs with 10 wt% MF1 in acceptors. The over 8% PCE improvement by employing ternary strategy is attributed to the simultaneously increased JSC of 25.68 mA cm−2, VOC of 0.853 V and FF of 78.61% compared with Y6 based binary PSCs. The good compatibility of MF1 and Y6 can be confirmed from Raman mapping, contact angle, cyclic voltammetry and morphology, which is the prerequisite to form alloy-like state. Electron mobility in ternary active layers strongly depends on MF1 content in acceptors due to the different lowest unoccupied molecular orbital (LUMO) levels of Y6 and MF1, which can well explain the wave-like varied FF of ternary PSCs. The third-party certified PCE of 16.8% should be one of the highest values for single bulk heterojunction PSCs. This work provides sufficient references for selecting materials to achieve efficient ternary PSCs.","container-title":"Science Bulletin","DOI":"10.1016/j.scib.2020.01.012","ISSN":"2095-9273","issue":"7","journalAbbreviation":"Science Bulletin","page":"538-545","source":"ScienceDirect","title":"Alloy-like ternary polymer solar cells with over 17.2% efficiency","volume":"65","author":[{"family":"An","given":"Qiaoshi"},{"family":"Wang","given":"Jian"},{"family":"Gao","given":"Wei"},{"family":"Ma","given":"Xiaoling"},{"family":"Hu","given":"Zhenghao"},{"family":"Gao","given":"Jinhua"},{"family":"Xu","given":"Chunyu"},{"family":"Hao","given":"Minghui"},{"family":"Zhang","given":"Xiaoli"},{"family":"Yang","given":"Chuluo"},{"family":"Zhang","given":"Fujun"}],"issued":{"date-parts":[["2020",4,15]]}}}],"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[217]</w:t>
            </w:r>
            <w:r w:rsidRPr="00B55044">
              <w:rPr>
                <w:rFonts w:eastAsia="Times New Roman"/>
                <w:color w:val="0000FF"/>
                <w:sz w:val="16"/>
                <w:szCs w:val="16"/>
              </w:rPr>
              <w:fldChar w:fldCharType="end"/>
            </w:r>
          </w:p>
        </w:tc>
      </w:tr>
      <w:tr w:rsidR="00D47774" w:rsidRPr="00B55044" w14:paraId="6921C0F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CC4575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420</w:t>
            </w:r>
          </w:p>
        </w:tc>
        <w:tc>
          <w:tcPr>
            <w:tcW w:w="1525" w:type="pct"/>
            <w:tcBorders>
              <w:top w:val="single" w:sz="4" w:space="0" w:color="auto"/>
              <w:left w:val="nil"/>
              <w:bottom w:val="single" w:sz="4" w:space="0" w:color="auto"/>
              <w:right w:val="nil"/>
            </w:tcBorders>
            <w:shd w:val="clear" w:color="auto" w:fill="auto"/>
            <w:noWrap/>
            <w:vAlign w:val="bottom"/>
            <w:hideMark/>
          </w:tcPr>
          <w:p w14:paraId="0358465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6C8FD40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PM6:Y6:MF1 (50%)</w:t>
            </w:r>
          </w:p>
        </w:tc>
        <w:tc>
          <w:tcPr>
            <w:tcW w:w="379" w:type="pct"/>
            <w:tcBorders>
              <w:top w:val="single" w:sz="4" w:space="0" w:color="auto"/>
              <w:left w:val="nil"/>
              <w:bottom w:val="single" w:sz="4" w:space="0" w:color="auto"/>
              <w:right w:val="nil"/>
            </w:tcBorders>
            <w:shd w:val="clear" w:color="auto" w:fill="auto"/>
            <w:noWrap/>
            <w:vAlign w:val="bottom"/>
            <w:hideMark/>
          </w:tcPr>
          <w:p w14:paraId="64C692A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0.867</w:t>
            </w:r>
          </w:p>
        </w:tc>
        <w:tc>
          <w:tcPr>
            <w:tcW w:w="379" w:type="pct"/>
            <w:tcBorders>
              <w:top w:val="single" w:sz="4" w:space="0" w:color="auto"/>
              <w:left w:val="nil"/>
              <w:bottom w:val="single" w:sz="4" w:space="0" w:color="auto"/>
              <w:right w:val="nil"/>
            </w:tcBorders>
            <w:shd w:val="clear" w:color="auto" w:fill="auto"/>
            <w:noWrap/>
            <w:vAlign w:val="bottom"/>
            <w:hideMark/>
          </w:tcPr>
          <w:p w14:paraId="30F5A0E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23.53</w:t>
            </w:r>
          </w:p>
        </w:tc>
        <w:tc>
          <w:tcPr>
            <w:tcW w:w="378" w:type="pct"/>
            <w:tcBorders>
              <w:top w:val="single" w:sz="4" w:space="0" w:color="auto"/>
              <w:left w:val="nil"/>
              <w:bottom w:val="single" w:sz="4" w:space="0" w:color="auto"/>
              <w:right w:val="nil"/>
            </w:tcBorders>
            <w:shd w:val="clear" w:color="auto" w:fill="auto"/>
            <w:noWrap/>
            <w:vAlign w:val="bottom"/>
            <w:hideMark/>
          </w:tcPr>
          <w:p w14:paraId="5A29D41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70.57</w:t>
            </w:r>
          </w:p>
        </w:tc>
        <w:tc>
          <w:tcPr>
            <w:tcW w:w="381" w:type="pct"/>
            <w:tcBorders>
              <w:top w:val="single" w:sz="4" w:space="0" w:color="auto"/>
              <w:left w:val="nil"/>
              <w:bottom w:val="single" w:sz="4" w:space="0" w:color="auto"/>
              <w:right w:val="nil"/>
            </w:tcBorders>
            <w:shd w:val="clear" w:color="auto" w:fill="auto"/>
            <w:noWrap/>
            <w:vAlign w:val="bottom"/>
            <w:hideMark/>
          </w:tcPr>
          <w:p w14:paraId="11BB70D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14.4</w:t>
            </w:r>
          </w:p>
        </w:tc>
        <w:tc>
          <w:tcPr>
            <w:tcW w:w="378" w:type="pct"/>
            <w:tcBorders>
              <w:top w:val="single" w:sz="4" w:space="0" w:color="auto"/>
              <w:left w:val="nil"/>
              <w:bottom w:val="single" w:sz="4" w:space="0" w:color="auto"/>
              <w:right w:val="nil"/>
            </w:tcBorders>
            <w:shd w:val="clear" w:color="auto" w:fill="auto"/>
            <w:noWrap/>
            <w:vAlign w:val="bottom"/>
            <w:hideMark/>
          </w:tcPr>
          <w:p w14:paraId="5EE3EDA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{"citationID":"a1rc07s178m","properties":{"formattedCitation":"[217]","plainCitation":"[217]","noteIndex":0},"citationItems":[{"id":174,"uris":["http://zotero.org/users/12909065/items/5WB3CZ2V"],"itemData":{"id":174,"type":"article-journal","abstract":"Ternary strategy has been considered as an efficient method to achieve high performance polymer solar cells (PSCs). A power conversion efficiency (PCE) of 17.22% is achieved in the optimized ternary PSCs with 10 wt% MF1 in acceptors. The over 8% PCE improvement by employing ternary strategy is attributed to the simultaneously increased JSC of 25.68 mA cm−2, VOC of 0.853 V and FF of 78.61% compared with Y6 based binary PSCs. The good compatibility of MF1 and Y6 can be confirmed from Raman mapping, contact angle, cyclic voltammetry and morphology, which is the prerequisite to form alloy-like state. Electron mobility in ternary active layers strongly depends on MF1 content in acceptors due to the different lowest unoccupied molecular orbital (LUMO) levels of Y6 and MF1, which can well explain the wave-like varied FF of ternary PSCs. The third-party certified PCE of 16.8% should be one of the highest values for single bulk heterojunction PSCs. This work provides sufficient references for selecting materials to achieve efficient ternary PSCs.","container-title":"Science Bulletin","DOI":"10.1016/j.scib.2020.01.012","ISSN":"2095-9273","issue":"7","journalAbbreviation":"Science Bulletin","page":"538-545","source":"ScienceDirect","title":"Alloy-like ternary polymer solar cells with over 17.2% efficiency","volume":"65","author":[{"family":"An","given":"Qiaoshi"},{"family":"Wang","given":"Jian"},{"family":"Gao","given":"Wei"},{"family":"Ma","given":"Xiaoling"},{"family":"Hu","given":"Zhenghao"},{"family":"Gao","given":"Jinhua"},{"family":"Xu","given":"Chunyu"},{"family":"Hao","given":"Minghui"},{"family":"Zhang","given":"Xiaoli"},{"family":"Yang","given":"Chuluo"},{"family":"Zhang","given":"Fujun"}],"issued":{"date-parts":[["2020",4,15]]}}}],"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[217]</w:t>
            </w:r>
            <w:r w:rsidRPr="00B55044">
              <w:rPr>
                <w:rFonts w:eastAsia="Times New Roman"/>
                <w:color w:val="0000FF"/>
                <w:sz w:val="16"/>
                <w:szCs w:val="16"/>
              </w:rPr>
              <w:fldChar w:fldCharType="end"/>
            </w:r>
          </w:p>
        </w:tc>
      </w:tr>
      <w:tr w:rsidR="00D47774" w:rsidRPr="00B55044" w14:paraId="430392B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EF4A9A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421</w:t>
            </w:r>
          </w:p>
        </w:tc>
        <w:tc>
          <w:tcPr>
            <w:tcW w:w="1525" w:type="pct"/>
            <w:tcBorders>
              <w:top w:val="single" w:sz="4" w:space="0" w:color="auto"/>
              <w:left w:val="nil"/>
              <w:bottom w:val="single" w:sz="4" w:space="0" w:color="auto"/>
              <w:right w:val="nil"/>
            </w:tcBorders>
            <w:shd w:val="clear" w:color="auto" w:fill="auto"/>
            <w:noWrap/>
            <w:vAlign w:val="bottom"/>
            <w:hideMark/>
          </w:tcPr>
          <w:p w14:paraId="1B1C86E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306FA6E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PM6:IT-4F:N2200</w:t>
            </w:r>
          </w:p>
        </w:tc>
        <w:tc>
          <w:tcPr>
            <w:tcW w:w="379" w:type="pct"/>
            <w:tcBorders>
              <w:top w:val="single" w:sz="4" w:space="0" w:color="auto"/>
              <w:left w:val="nil"/>
              <w:bottom w:val="single" w:sz="4" w:space="0" w:color="auto"/>
              <w:right w:val="nil"/>
            </w:tcBorders>
            <w:shd w:val="clear" w:color="auto" w:fill="auto"/>
            <w:noWrap/>
            <w:vAlign w:val="bottom"/>
            <w:hideMark/>
          </w:tcPr>
          <w:p w14:paraId="4662D01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57D6234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21.1</w:t>
            </w:r>
          </w:p>
        </w:tc>
        <w:tc>
          <w:tcPr>
            <w:tcW w:w="378" w:type="pct"/>
            <w:tcBorders>
              <w:top w:val="single" w:sz="4" w:space="0" w:color="auto"/>
              <w:left w:val="nil"/>
              <w:bottom w:val="single" w:sz="4" w:space="0" w:color="auto"/>
              <w:right w:val="nil"/>
            </w:tcBorders>
            <w:shd w:val="clear" w:color="auto" w:fill="auto"/>
            <w:noWrap/>
            <w:vAlign w:val="bottom"/>
            <w:hideMark/>
          </w:tcPr>
          <w:p w14:paraId="4D15211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w:t>
            </w:r>
          </w:p>
        </w:tc>
        <w:tc>
          <w:tcPr>
            <w:tcW w:w="381" w:type="pct"/>
            <w:tcBorders>
              <w:top w:val="single" w:sz="4" w:space="0" w:color="auto"/>
              <w:left w:val="nil"/>
              <w:bottom w:val="single" w:sz="4" w:space="0" w:color="auto"/>
              <w:right w:val="nil"/>
            </w:tcBorders>
            <w:shd w:val="clear" w:color="auto" w:fill="auto"/>
            <w:noWrap/>
            <w:vAlign w:val="bottom"/>
            <w:hideMark/>
          </w:tcPr>
          <w:p w14:paraId="3EA3E45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13.3</w:t>
            </w:r>
          </w:p>
        </w:tc>
        <w:tc>
          <w:tcPr>
            <w:tcW w:w="378" w:type="pct"/>
            <w:tcBorders>
              <w:top w:val="single" w:sz="4" w:space="0" w:color="auto"/>
              <w:left w:val="nil"/>
              <w:bottom w:val="single" w:sz="4" w:space="0" w:color="auto"/>
              <w:right w:val="nil"/>
            </w:tcBorders>
            <w:shd w:val="clear" w:color="auto" w:fill="auto"/>
            <w:noWrap/>
            <w:vAlign w:val="bottom"/>
            <w:hideMark/>
          </w:tcPr>
          <w:p w14:paraId="307CE90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{"citationID":"a14oa946gbt","properties":{"formattedCitation":"[218]","plainCitation":"[218]","noteIndex":0},"citationItems":[{"id":173,"uris":["http://zotero.org/users/12909065/items/7DW2SEQT"],"itemData":{"id":173,"type":"article-journal","abstract":"In this study, we demonstrate that high-efficiency blade-coated organic solar cells (OSCs) can be obtained by using polymer additive N2200 to suppress the excessive aggregation of nonfullerene acceptor. When using the blade-coating method, OSCs based on the blends of PM6:IT-4F and PM6:Y6 show moderate efficiencies of 9.9% and 13.2%, respectively. However, when a small amount of N2200 is added into the binary active layers, the resulting blade-coated OSCs show much higher efficiencies of 13.0% and 16.0%. Careful investigation reveals that the polymer additive suppresses the excessive aggregation of nonfullerene acceptors in the blade-coated active layer. This enhances the device performance by ensuring a more favorable morphology with appropriate domain size, improving charge extraction, and suppressing charge recombination. Based on this understanding, large-area OSC devices (1.0 cm2) are successfully obtained by blade coating, which display encouraging efficiencies of 12.3% and 15.1%. Abstract","container-title":"EcoMat","DOI":"10.1002/eom2.12006","ISSN":"2567-3173","issue":"1","language":"en","license":"© 2019 The Authors. EcoMat published by John Wiley &amp; Sons Australia, Ltd on behalf of The Hong Kong Polytechnic University","note":"_eprint: https://onlinelibrary.wiley.com/doi/pdf/10.1002/eom2.12006","page":"e12006","source":"Wiley Online Library","title":"Suppressing the excessive aggregation of nonfullerene acceptor in blade-coated active layer by using n-type polymer additive to achieve large-area printed organic solar cells with efficiency over 15%","volume":"1","author":[{"family":"Dong","given":"Sheng"},{"family":"Zhang","given":"Kai"},{"family":"Jia","given":"Tao"},{"family":"Zhong","given":"Wenkai"},{"family":"Wang","given":"Xiaohui"},{"family":"Huang","given":"Fei"},{"family":"Cao","given":"Yong"}],"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[218]</w:t>
            </w:r>
            <w:r w:rsidRPr="00B55044">
              <w:rPr>
                <w:rFonts w:eastAsia="Times New Roman"/>
                <w:color w:val="0000FF"/>
                <w:sz w:val="16"/>
                <w:szCs w:val="16"/>
              </w:rPr>
              <w:fldChar w:fldCharType="end"/>
            </w:r>
          </w:p>
        </w:tc>
      </w:tr>
      <w:tr w:rsidR="00D47774" w:rsidRPr="00B55044" w14:paraId="025015F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B1F8D8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422</w:t>
            </w:r>
          </w:p>
        </w:tc>
        <w:tc>
          <w:tcPr>
            <w:tcW w:w="1525" w:type="pct"/>
            <w:tcBorders>
              <w:top w:val="single" w:sz="4" w:space="0" w:color="auto"/>
              <w:left w:val="nil"/>
              <w:bottom w:val="single" w:sz="4" w:space="0" w:color="auto"/>
              <w:right w:val="nil"/>
            </w:tcBorders>
            <w:shd w:val="clear" w:color="auto" w:fill="auto"/>
            <w:noWrap/>
            <w:vAlign w:val="bottom"/>
            <w:hideMark/>
          </w:tcPr>
          <w:p w14:paraId="04847BB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698AB3A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PM6:Y6:DIBC</w:t>
            </w:r>
          </w:p>
        </w:tc>
        <w:tc>
          <w:tcPr>
            <w:tcW w:w="379" w:type="pct"/>
            <w:tcBorders>
              <w:top w:val="single" w:sz="4" w:space="0" w:color="auto"/>
              <w:left w:val="nil"/>
              <w:bottom w:val="single" w:sz="4" w:space="0" w:color="auto"/>
              <w:right w:val="nil"/>
            </w:tcBorders>
            <w:shd w:val="clear" w:color="auto" w:fill="auto"/>
            <w:noWrap/>
            <w:vAlign w:val="bottom"/>
            <w:hideMark/>
          </w:tcPr>
          <w:p w14:paraId="091C0DC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w:t>
            </w:r>
          </w:p>
        </w:tc>
        <w:tc>
          <w:tcPr>
            <w:tcW w:w="379" w:type="pct"/>
            <w:tcBorders>
              <w:top w:val="single" w:sz="4" w:space="0" w:color="auto"/>
              <w:left w:val="nil"/>
              <w:bottom w:val="single" w:sz="4" w:space="0" w:color="auto"/>
              <w:right w:val="nil"/>
            </w:tcBorders>
            <w:shd w:val="clear" w:color="auto" w:fill="auto"/>
            <w:noWrap/>
            <w:vAlign w:val="bottom"/>
            <w:hideMark/>
          </w:tcPr>
          <w:p w14:paraId="14485C0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25.61</w:t>
            </w:r>
          </w:p>
        </w:tc>
        <w:tc>
          <w:tcPr>
            <w:tcW w:w="378" w:type="pct"/>
            <w:tcBorders>
              <w:top w:val="single" w:sz="4" w:space="0" w:color="auto"/>
              <w:left w:val="nil"/>
              <w:bottom w:val="single" w:sz="4" w:space="0" w:color="auto"/>
              <w:right w:val="nil"/>
            </w:tcBorders>
            <w:shd w:val="clear" w:color="auto" w:fill="auto"/>
            <w:noWrap/>
            <w:vAlign w:val="bottom"/>
            <w:hideMark/>
          </w:tcPr>
          <w:p w14:paraId="36FFA49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77.12</w:t>
            </w:r>
          </w:p>
        </w:tc>
        <w:tc>
          <w:tcPr>
            <w:tcW w:w="381" w:type="pct"/>
            <w:tcBorders>
              <w:top w:val="single" w:sz="4" w:space="0" w:color="auto"/>
              <w:left w:val="nil"/>
              <w:bottom w:val="single" w:sz="4" w:space="0" w:color="auto"/>
              <w:right w:val="nil"/>
            </w:tcBorders>
            <w:shd w:val="clear" w:color="auto" w:fill="auto"/>
            <w:noWrap/>
            <w:vAlign w:val="bottom"/>
            <w:hideMark/>
          </w:tcPr>
          <w:p w14:paraId="08599D6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16.41</w:t>
            </w:r>
          </w:p>
        </w:tc>
        <w:tc>
          <w:tcPr>
            <w:tcW w:w="378" w:type="pct"/>
            <w:tcBorders>
              <w:top w:val="single" w:sz="4" w:space="0" w:color="auto"/>
              <w:left w:val="nil"/>
              <w:bottom w:val="single" w:sz="4" w:space="0" w:color="auto"/>
              <w:right w:val="nil"/>
            </w:tcBorders>
            <w:shd w:val="clear" w:color="auto" w:fill="auto"/>
            <w:noWrap/>
            <w:vAlign w:val="bottom"/>
            <w:hideMark/>
          </w:tcPr>
          <w:p w14:paraId="70F857E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{"citationID":"a1esotgdoho","properties":{"formattedCitation":"[219]","plainCitation":"[219]","noteIndex":0},"citationItems":[{"id":172,"uris":["http://zotero.org/users/12909065/items/MT7WBNEI"],"itemData":{"id":172,"type":"article-journal","abstract":"Novel hydrogen-bond based ternary strategy endows organic solar cells with high efficiency and excellent shelf-life\n              via\n              modulating the crystallization and aggregation of nonfullerene acceptors.\n            \n          , \n            The main-chain planar configuration is a popular design principle for nonfullerene acceptors (NFAs), while the too flat backbones enable NFAs suffer from intense aggregations and form large crystalline domains, which will result in poor device efficiency and inferior stability. This effect is reflected particularly serious in near-infrared NFAs. To relieve the negative impact of the inherent nature, an efficient ternary strategy, which introducing hydrogen-bond between the third component and NFA, is utilized to modulate the crystallization and packing properties of the acceptors. Here, IEICO-4F is chosen as a typical NFA for its nearly planar main-chain structure. A high efficiency of 13.53% with a decent fill factor (FF) of 71.36% are recorded in PTB7-Th:IEICO-4F:DIBC containing ternary organic solar cells (OSCs), which is superior to the binary OSC (efficiency of 11.71%, FF of 65.29%). It is noteworthy that after 90 days of storage in ambient condition, the efficiency also maintains at 85.02% of the primitive state, while that of the binary device falls to 44.38%. Film morphology and charge dynamics analysises demonstrate that the high performance of the ternary OSC originates from the hydrogen-bond optimized molecular crystallization, stacking and distribution. Furthermore, similar conclusions can be obtained in another NFA system PBDB-TF:Y6 to yield a champion efficiency of 16.41%. These results prove that intermolecular hydrogen-bond strategy is an effective and convenient approach to optimize the micromorphology of NFAs and fabricate high performance NFA OSCs.","container-title":"Journal of Materials Chemistry A","DOI":"10.1039/C9TA07542A","ISSN":"2050-7488, 2050-7496","issue":"35","journalAbbreviation":"J. Mater. Chem. A","language":"en","page":"20139-20150","source":"DOI.org (Crossref)","title":"Modulating the molecular packing and distribution enables fullerene-free ternary organic solar cells with high efficiency and long shelf-life","volume":"7","author":[{"family":"Du","given":"Xiaoyang"},{"family":"Zhao","given":"Juewen"},{"family":"Zhang","given":"Hao"},{"family":"Lu","given":"Xi"},{"family":"Zhou","given":"Lei"},{"family":"Chen","given":"Zhenhua"},{"family":"Lin","given":"Hui"},{"family":"Zheng","given":"Caijun"},{"family":"Tao","given":"Silu"}],"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[219]</w:t>
            </w:r>
            <w:r w:rsidRPr="00B55044">
              <w:rPr>
                <w:rFonts w:eastAsia="Times New Roman"/>
                <w:color w:val="0000FF"/>
                <w:sz w:val="16"/>
                <w:szCs w:val="16"/>
              </w:rPr>
              <w:fldChar w:fldCharType="end"/>
            </w:r>
          </w:p>
        </w:tc>
      </w:tr>
      <w:tr w:rsidR="00D47774" w:rsidRPr="00B55044" w14:paraId="1C0C1696"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566E29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423</w:t>
            </w:r>
          </w:p>
        </w:tc>
        <w:tc>
          <w:tcPr>
            <w:tcW w:w="1525" w:type="pct"/>
            <w:tcBorders>
              <w:top w:val="single" w:sz="4" w:space="0" w:color="auto"/>
              <w:left w:val="nil"/>
              <w:bottom w:val="single" w:sz="4" w:space="0" w:color="auto"/>
              <w:right w:val="nil"/>
            </w:tcBorders>
            <w:shd w:val="clear" w:color="auto" w:fill="auto"/>
            <w:noWrap/>
            <w:vAlign w:val="bottom"/>
            <w:hideMark/>
          </w:tcPr>
          <w:p w14:paraId="670EC5F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3CCD9E2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PM6:Y6:APDC-TPDA</w:t>
            </w:r>
          </w:p>
        </w:tc>
        <w:tc>
          <w:tcPr>
            <w:tcW w:w="379" w:type="pct"/>
            <w:tcBorders>
              <w:top w:val="single" w:sz="4" w:space="0" w:color="auto"/>
              <w:left w:val="nil"/>
              <w:bottom w:val="single" w:sz="4" w:space="0" w:color="auto"/>
              <w:right w:val="nil"/>
            </w:tcBorders>
            <w:shd w:val="clear" w:color="auto" w:fill="auto"/>
            <w:noWrap/>
            <w:vAlign w:val="bottom"/>
            <w:hideMark/>
          </w:tcPr>
          <w:p w14:paraId="3738F69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1F58D0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25.98</w:t>
            </w:r>
          </w:p>
        </w:tc>
        <w:tc>
          <w:tcPr>
            <w:tcW w:w="378" w:type="pct"/>
            <w:tcBorders>
              <w:top w:val="single" w:sz="4" w:space="0" w:color="auto"/>
              <w:left w:val="nil"/>
              <w:bottom w:val="single" w:sz="4" w:space="0" w:color="auto"/>
              <w:right w:val="nil"/>
            </w:tcBorders>
            <w:shd w:val="clear" w:color="auto" w:fill="auto"/>
            <w:noWrap/>
            <w:vAlign w:val="bottom"/>
            <w:hideMark/>
          </w:tcPr>
          <w:p w14:paraId="2D33653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77.5</w:t>
            </w:r>
          </w:p>
        </w:tc>
        <w:tc>
          <w:tcPr>
            <w:tcW w:w="381" w:type="pct"/>
            <w:tcBorders>
              <w:top w:val="single" w:sz="4" w:space="0" w:color="auto"/>
              <w:left w:val="nil"/>
              <w:bottom w:val="single" w:sz="4" w:space="0" w:color="auto"/>
              <w:right w:val="nil"/>
            </w:tcBorders>
            <w:shd w:val="clear" w:color="auto" w:fill="auto"/>
            <w:noWrap/>
            <w:vAlign w:val="bottom"/>
            <w:hideMark/>
          </w:tcPr>
          <w:p w14:paraId="27BE893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16.96</w:t>
            </w:r>
          </w:p>
        </w:tc>
        <w:tc>
          <w:tcPr>
            <w:tcW w:w="378" w:type="pct"/>
            <w:tcBorders>
              <w:top w:val="single" w:sz="4" w:space="0" w:color="auto"/>
              <w:left w:val="nil"/>
              <w:bottom w:val="single" w:sz="4" w:space="0" w:color="auto"/>
              <w:right w:val="nil"/>
            </w:tcBorders>
            <w:shd w:val="clear" w:color="auto" w:fill="auto"/>
            <w:noWrap/>
            <w:vAlign w:val="bottom"/>
            <w:hideMark/>
          </w:tcPr>
          <w:p w14:paraId="53A27FC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{"citationID":"a2n057ditdd","properties":{"formattedCitation":"[220]","plainCitation":"[220]","noteIndex":0},"citationItems":[{"id":170,"uris":["http://zotero.org/users/12909065/items/RHWEXLIU"],"itemData":{"id":170,"type":"article-journal","abstract":"Charge transfer state (CT) plays an important role in exciton diffusion, dissociation, and charge recombination mechanisms. Enhancing the utilization and suppressing the recombination process of CT excitons is a promising way to improve the performance of organic solar cells (OSCs). Here, an effective method is presented via introducing a delayed fluorescence (DF) emitter 3,4-bis(4-(diphenylamino)phenyl)acenaphtho[1,2-b]pyrazine-8,9-dicarbonitrile (APDC-TPDA) in OSCs. The long-lifetime singlet excitons on APDC-TPDA can transfer to polymer donors to prolong exciton lifetime, which ensures sufficient time for diffusion and dissociation. Concurrently, the high triplet energy level (T1) of the DF material can also prevent the reverse energy transfer from CT to T1. APDC-TPDA-containing ternary OSCs shows a high PCE of 16.96% with a reduced recombination energy loss of 0.46 eV. It is noteworthy that the ternary OSC also exhibits superior storage stability. After 55 days of storage, the PCE of the ternary OSC still retains about 96% of its primitive state. Furthermore, this ternary strategy is efficient and universally applicable to OSCs, and positive results can be obtained in different systems with different DF emitters. These results indicate that the ternary strategy provides a new design idea to realize high performance OSCs.","container-title":"Advanced Functional Materials","DOI":"10.1002/adfm.201909837","ISSN":"1616-3028","issue":"15","language":"en","note":"_eprint: https://onlinelibrary.wiley.com/doi/pdf/10.1002/adfm.201909837","page":"1909837","source":"Wiley Online Library","title":"Delayed Fluorescence Emitter Enables Near 17% Efficiency Ternary Organic Solar Cells with Enhanced Storage Stability and Reduced Recombination Energy Loss","volume":"30","author":[{"family":"Du","given":"Xiaoyang"},{"family":"Yuan","given":"Yi"},{"family":"Zhou","given":"Lei"},{"family":"Lin","given":"Hui"},{"family":"Zheng","given":"Caijun"},{"family":"Luo","given":"Junyi"},{"family":"Chen","given":"Zhenhua"},{"family":"Tao","given":"Silu"},{"family":"Liao","given":"Liang-Sheng"}],"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[220]</w:t>
            </w:r>
            <w:r w:rsidRPr="00B55044">
              <w:rPr>
                <w:rFonts w:eastAsia="Times New Roman"/>
                <w:color w:val="0000FF"/>
                <w:sz w:val="16"/>
                <w:szCs w:val="16"/>
              </w:rPr>
              <w:fldChar w:fldCharType="end"/>
            </w:r>
          </w:p>
        </w:tc>
      </w:tr>
      <w:tr w:rsidR="00D47774" w:rsidRPr="00B55044" w14:paraId="4D9D615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6CB3B8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424</w:t>
            </w:r>
          </w:p>
        </w:tc>
        <w:tc>
          <w:tcPr>
            <w:tcW w:w="1525" w:type="pct"/>
            <w:tcBorders>
              <w:top w:val="single" w:sz="4" w:space="0" w:color="auto"/>
              <w:left w:val="nil"/>
              <w:bottom w:val="single" w:sz="4" w:space="0" w:color="auto"/>
              <w:right w:val="nil"/>
            </w:tcBorders>
            <w:shd w:val="clear" w:color="auto" w:fill="auto"/>
            <w:noWrap/>
            <w:vAlign w:val="bottom"/>
            <w:hideMark/>
          </w:tcPr>
          <w:p w14:paraId="0DB87FD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ITO/PEDOT:PSS/AL/PFN-Br/Al</w:t>
            </w:r>
          </w:p>
        </w:tc>
        <w:tc>
          <w:tcPr>
            <w:tcW w:w="1288" w:type="pct"/>
            <w:tcBorders>
              <w:top w:val="single" w:sz="4" w:space="0" w:color="auto"/>
              <w:left w:val="nil"/>
              <w:bottom w:val="single" w:sz="4" w:space="0" w:color="auto"/>
              <w:right w:val="nil"/>
            </w:tcBorders>
            <w:shd w:val="clear" w:color="auto" w:fill="auto"/>
            <w:noWrap/>
            <w:vAlign w:val="bottom"/>
            <w:hideMark/>
          </w:tcPr>
          <w:p w14:paraId="7A0E33D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PM6:N3:PC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0DE8019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1892F8E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26.76</w:t>
            </w:r>
          </w:p>
        </w:tc>
        <w:tc>
          <w:tcPr>
            <w:tcW w:w="378" w:type="pct"/>
            <w:tcBorders>
              <w:top w:val="single" w:sz="4" w:space="0" w:color="auto"/>
              <w:left w:val="nil"/>
              <w:bottom w:val="single" w:sz="4" w:space="0" w:color="auto"/>
              <w:right w:val="nil"/>
            </w:tcBorders>
            <w:shd w:val="clear" w:color="auto" w:fill="auto"/>
            <w:noWrap/>
            <w:vAlign w:val="bottom"/>
            <w:hideMark/>
          </w:tcPr>
          <w:p w14:paraId="596426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w:t>
            </w:r>
          </w:p>
        </w:tc>
        <w:tc>
          <w:tcPr>
            <w:tcW w:w="381" w:type="pct"/>
            <w:tcBorders>
              <w:top w:val="single" w:sz="4" w:space="0" w:color="auto"/>
              <w:left w:val="nil"/>
              <w:bottom w:val="single" w:sz="4" w:space="0" w:color="auto"/>
              <w:right w:val="nil"/>
            </w:tcBorders>
            <w:shd w:val="clear" w:color="auto" w:fill="auto"/>
            <w:noWrap/>
            <w:vAlign w:val="bottom"/>
            <w:hideMark/>
          </w:tcPr>
          <w:p w14:paraId="7217F39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17.6</w:t>
            </w:r>
          </w:p>
        </w:tc>
        <w:tc>
          <w:tcPr>
            <w:tcW w:w="378" w:type="pct"/>
            <w:tcBorders>
              <w:top w:val="single" w:sz="4" w:space="0" w:color="auto"/>
              <w:left w:val="nil"/>
              <w:bottom w:val="single" w:sz="4" w:space="0" w:color="auto"/>
              <w:right w:val="nil"/>
            </w:tcBorders>
            <w:shd w:val="clear" w:color="auto" w:fill="auto"/>
            <w:noWrap/>
            <w:vAlign w:val="bottom"/>
            <w:hideMark/>
          </w:tcPr>
          <w:p w14:paraId="1BE8D0C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{"citationID":"a1acotoi3ql","properties":{"formattedCitation":"[221]","plainCitation":"[221]","noteIndex":0},"citationItems":[{"id":169,"uris":["http://zotero.org/users/12909065/items/QJRW3LNR"],"itemData":{"id":169,"type":"article-journal","abstract":"Thermal transition of organic solar cells (OSCs) constituent materials are often insufficiently researched, resulting in trial-and-error rather than rational approaches to annealing strategies to improve domain purity to enhance the power conversion efficiency. Despite the potential utility, little is known about the thermal transitions of the modern high-performance acceptors Y6 and N3. Here, by using an optical method, it is discovered that the acceptor N3 has a clear solid-state aggregation transition at 82 °C. This unusually low transition not only explains prior optimization protocols, but the transition informs and enables a double-annealing method that can fine-tune aggregation and the device morphology. Compared with 16.6% efficiency for PM6:N3:PC71BM control devices, higher efficiency of 17.6% is obtained through the improved protocol. Morphology characterization with x-ray scattering methods reveals the formation of a multilength scale morphology. Moreover, the double-annealing method is illustrated and easily transferred and validated with Y6-based devices, using the transition of Y6 at 102 °C. As a result, the PCE improved from 16.0% to 16.8%. Design of high-performance acceptors with yet lower aggregation transitions might be required for OSCs to successfully transition to low thermal budget industrial processing methods where annealing temperatures on plastic substrates have to be kept low.","container-title":"Advanced Functional Materials","DOI":"10.1002/adfm.202005011","ISSN":"1616-3028","issue":"46","language":"en","license":"© 2020 Wiley-VCH GmbH","note":"_eprint: https://onlinelibrary.wiley.com/doi/pdf/10.1002/adfm.202005011","page":"2005011","source":"Wiley Online Library","title":"Low Temperature Aggregation Transitions in N3 and Y6 Acceptors Enable Double-Annealing Method That Yields Hierarchical Morphology and Superior Efficiency in Nonfullerene Organic Solar Cells","volume":"30","author":[{"family":"Qin","given":"Yunpeng"},{"family":"Xu","given":"Ye"},{"family":"Peng","given":"Zhengxing"},{"family":"Hou","given":"Jianhui"},{"family":"Ade","given":"Harald"}],"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[221]</w:t>
            </w:r>
            <w:r w:rsidRPr="00B55044">
              <w:rPr>
                <w:rFonts w:eastAsia="Times New Roman"/>
                <w:color w:val="0000FF"/>
                <w:sz w:val="16"/>
                <w:szCs w:val="16"/>
              </w:rPr>
              <w:fldChar w:fldCharType="end"/>
            </w:r>
          </w:p>
        </w:tc>
      </w:tr>
      <w:tr w:rsidR="00D47774" w:rsidRPr="00B55044" w14:paraId="3A7BC35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9AC2FA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425</w:t>
            </w:r>
          </w:p>
        </w:tc>
        <w:tc>
          <w:tcPr>
            <w:tcW w:w="1525" w:type="pct"/>
            <w:tcBorders>
              <w:top w:val="single" w:sz="4" w:space="0" w:color="auto"/>
              <w:left w:val="nil"/>
              <w:bottom w:val="single" w:sz="4" w:space="0" w:color="auto"/>
              <w:right w:val="nil"/>
            </w:tcBorders>
            <w:shd w:val="clear" w:color="auto" w:fill="auto"/>
            <w:noWrap/>
            <w:vAlign w:val="bottom"/>
            <w:hideMark/>
          </w:tcPr>
          <w:p w14:paraId="4DAD0CD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ITO/WS2/AL/PFN-Br/Al</w:t>
            </w:r>
          </w:p>
        </w:tc>
        <w:tc>
          <w:tcPr>
            <w:tcW w:w="1288" w:type="pct"/>
            <w:tcBorders>
              <w:top w:val="single" w:sz="4" w:space="0" w:color="auto"/>
              <w:left w:val="nil"/>
              <w:bottom w:val="single" w:sz="4" w:space="0" w:color="auto"/>
              <w:right w:val="nil"/>
            </w:tcBorders>
            <w:shd w:val="clear" w:color="auto" w:fill="auto"/>
            <w:noWrap/>
            <w:vAlign w:val="bottom"/>
            <w:hideMark/>
          </w:tcPr>
          <w:p w14:paraId="02D2283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535C86F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w:t>
            </w:r>
          </w:p>
        </w:tc>
        <w:tc>
          <w:tcPr>
            <w:tcW w:w="379" w:type="pct"/>
            <w:tcBorders>
              <w:top w:val="single" w:sz="4" w:space="0" w:color="auto"/>
              <w:left w:val="nil"/>
              <w:bottom w:val="single" w:sz="4" w:space="0" w:color="auto"/>
              <w:right w:val="nil"/>
            </w:tcBorders>
            <w:shd w:val="clear" w:color="auto" w:fill="auto"/>
            <w:noWrap/>
            <w:vAlign w:val="bottom"/>
            <w:hideMark/>
          </w:tcPr>
          <w:p w14:paraId="1FB371A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w:t>
            </w:r>
          </w:p>
        </w:tc>
        <w:tc>
          <w:tcPr>
            <w:tcW w:w="378" w:type="pct"/>
            <w:tcBorders>
              <w:top w:val="single" w:sz="4" w:space="0" w:color="auto"/>
              <w:left w:val="nil"/>
              <w:bottom w:val="single" w:sz="4" w:space="0" w:color="auto"/>
              <w:right w:val="nil"/>
            </w:tcBorders>
            <w:shd w:val="clear" w:color="auto" w:fill="auto"/>
            <w:noWrap/>
            <w:vAlign w:val="bottom"/>
            <w:hideMark/>
          </w:tcPr>
          <w:p w14:paraId="421CDB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w:t>
            </w:r>
          </w:p>
        </w:tc>
        <w:tc>
          <w:tcPr>
            <w:tcW w:w="381" w:type="pct"/>
            <w:tcBorders>
              <w:top w:val="single" w:sz="4" w:space="0" w:color="auto"/>
              <w:left w:val="nil"/>
              <w:bottom w:val="single" w:sz="4" w:space="0" w:color="auto"/>
              <w:right w:val="nil"/>
            </w:tcBorders>
            <w:shd w:val="clear" w:color="auto" w:fill="auto"/>
            <w:noWrap/>
            <w:vAlign w:val="bottom"/>
            <w:hideMark/>
          </w:tcPr>
          <w:p w14:paraId="681FAB0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w:t>
            </w:r>
          </w:p>
        </w:tc>
        <w:tc>
          <w:tcPr>
            <w:tcW w:w="378" w:type="pct"/>
            <w:tcBorders>
              <w:top w:val="single" w:sz="4" w:space="0" w:color="auto"/>
              <w:left w:val="nil"/>
              <w:bottom w:val="single" w:sz="4" w:space="0" w:color="auto"/>
              <w:right w:val="nil"/>
            </w:tcBorders>
            <w:shd w:val="clear" w:color="auto" w:fill="auto"/>
            <w:noWrap/>
            <w:vAlign w:val="bottom"/>
            <w:hideMark/>
          </w:tcPr>
          <w:p w14:paraId="21F1209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{"citationID":"aqib49fv21","properties":{"formattedCitation":"[222]","plainCitation":"[222]","noteIndex":0},"citationItems":[{"id":168,"uris":["http://zotero.org/users/12909065/items/4XITMLVC"],"itemData":{"id":168,"type":"article-journal","abstract":"The application of liquid-exfoliated 2D transition metal disulfides (TMDs) as the hole transport layers (HTLs) in nonfullerene-based organic solar cells is reported. It is shown that solution processing of few-layer WS2 or MoS2 suspensions directly onto transparent indium tin oxide (ITO) electrodes changes their work function without the need for any further treatment. HTLs comprising WS2 are found to exhibit higher uniformity on ITO than those of MoS2 and consistently yield solar cells with superior power conversion efficiency (PCE), improved fill factor (FF), enhanced short-circuit current (JSC), and lower series resistance than devices based on poly(3,4-ethylenedioxythiophene):poly(styrenesulfonate) and MoS2. Cells based on the ternary bulk-heterojunction PBDB-T-2F:Y6:PC71BM with WS2 as the HTL exhibit the highest PCE of 17%, with an FF of 78%, open-circuit voltage of 0.84 V, and a JSC of 26 mA cm−2. Analysis of the cells' optical and carrier recombination characteristics indicates that the enhanced performance is most likely attributed to a combination of favorable photonic structure and reduced bimolecular recombination losses in WS2-based cells. The achieved PCE is the highest reported to date for organic solar cells comprised of 2D charge transport interlayers and highlights the potential of TMDs as inexpensive HTLs for high-efficiency organic photovoltaics.","container-title":"Advanced Materials","DOI":"10.1002/adma.201902965","ISSN":"1521-4095","issue":"46","language":"en","license":"© 2019 WILEY-VCH Verlag GmbH &amp; Co. KGaA, Weinheim","note":"_eprint: https://onlinelibrary.wiley.com/doi/pdf/10.1002/adma.201902965","page":"1902965","source":"Wiley Online Library","title":"17% Efficient Organic Solar Cells Based on Liquid Exfoliated WS2 as a Replacement for PEDOT:PSS","title-short":"17% Efficient Organic Solar Cells Based on Liquid Exfoliated WS2 as a Replacement for PEDOT","volume":"31","author":[{"family":"Lin","given":"Yuanbao"},{"family":"Adilbekova","given":"Begimai"},{"family":"Firdaus","given":"Yuliar"},{"family":"Yengel","given":"Emre"},{"family":"Faber","given":"Hendrik"},{"family":"Sajjad","given":"Muhammad"},{"family":"Zheng","given":"Xiaopeng"},{"family":"Yarali","given":"Emre"},{"family":"Seitkhan","given":"Akmaral"},{"family":"Bakr","given":"Osman M."},{"family":"El-Labban","given":"Abdulrahman"},{"family":"Schwingenschlögl","given":"Udo"},{"family":"Tung","given":"Vincent"},{"family":"McCulloch","given":"Iain"},{"family":"Laquai","given":"Frédéric"},{"family":"Anthopoulos","given":"Thomas D."}],"issued":{"date-parts":[["2019"]]}}}],"schema":"https://github.com/citation-style-language/schema/raw/master/csl-citation.json"}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[222]</w:t>
            </w:r>
            <w:r w:rsidRPr="00B55044">
              <w:rPr>
                <w:rFonts w:eastAsia="Times New Roman"/>
                <w:color w:val="0000FF"/>
                <w:sz w:val="16"/>
                <w:szCs w:val="16"/>
              </w:rPr>
              <w:fldChar w:fldCharType="end"/>
            </w:r>
          </w:p>
        </w:tc>
      </w:tr>
      <w:tr w:rsidR="00D47774" w:rsidRPr="00B55044" w14:paraId="6006C2E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901472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426</w:t>
            </w:r>
          </w:p>
        </w:tc>
        <w:tc>
          <w:tcPr>
            <w:tcW w:w="1525" w:type="pct"/>
            <w:tcBorders>
              <w:top w:val="single" w:sz="4" w:space="0" w:color="auto"/>
              <w:left w:val="nil"/>
              <w:bottom w:val="single" w:sz="4" w:space="0" w:color="auto"/>
              <w:right w:val="nil"/>
            </w:tcBorders>
            <w:shd w:val="clear" w:color="auto" w:fill="auto"/>
            <w:noWrap/>
            <w:vAlign w:val="bottom"/>
            <w:hideMark/>
          </w:tcPr>
          <w:p w14:paraId="0112A01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ITO/PEDOT:PSS/AL/PFN-Br/Al</w:t>
            </w:r>
          </w:p>
        </w:tc>
        <w:tc>
          <w:tcPr>
            <w:tcW w:w="1288" w:type="pct"/>
            <w:tcBorders>
              <w:top w:val="single" w:sz="4" w:space="0" w:color="auto"/>
              <w:left w:val="nil"/>
              <w:bottom w:val="single" w:sz="4" w:space="0" w:color="auto"/>
              <w:right w:val="nil"/>
            </w:tcBorders>
            <w:shd w:val="clear" w:color="auto" w:fill="auto"/>
            <w:noWrap/>
            <w:vAlign w:val="bottom"/>
            <w:hideMark/>
          </w:tcPr>
          <w:p w14:paraId="429584A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7D0EC7C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3B12B25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25.5</w:t>
            </w:r>
          </w:p>
        </w:tc>
        <w:tc>
          <w:tcPr>
            <w:tcW w:w="378" w:type="pct"/>
            <w:tcBorders>
              <w:top w:val="single" w:sz="4" w:space="0" w:color="auto"/>
              <w:left w:val="nil"/>
              <w:bottom w:val="single" w:sz="4" w:space="0" w:color="auto"/>
              <w:right w:val="nil"/>
            </w:tcBorders>
            <w:shd w:val="clear" w:color="auto" w:fill="auto"/>
            <w:noWrap/>
            <w:vAlign w:val="bottom"/>
            <w:hideMark/>
          </w:tcPr>
          <w:p w14:paraId="5750DBD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w:t>
            </w:r>
          </w:p>
        </w:tc>
        <w:tc>
          <w:tcPr>
            <w:tcW w:w="381" w:type="pct"/>
            <w:tcBorders>
              <w:top w:val="single" w:sz="4" w:space="0" w:color="auto"/>
              <w:left w:val="nil"/>
              <w:bottom w:val="single" w:sz="4" w:space="0" w:color="auto"/>
              <w:right w:val="nil"/>
            </w:tcBorders>
            <w:shd w:val="clear" w:color="auto" w:fill="auto"/>
            <w:noWrap/>
            <w:vAlign w:val="bottom"/>
            <w:hideMark/>
          </w:tcPr>
          <w:p w14:paraId="540DD8C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w:t>
            </w:r>
          </w:p>
        </w:tc>
        <w:tc>
          <w:tcPr>
            <w:tcW w:w="378" w:type="pct"/>
            <w:tcBorders>
              <w:top w:val="single" w:sz="4" w:space="0" w:color="auto"/>
              <w:left w:val="nil"/>
              <w:bottom w:val="single" w:sz="4" w:space="0" w:color="auto"/>
              <w:right w:val="nil"/>
            </w:tcBorders>
            <w:shd w:val="clear" w:color="auto" w:fill="auto"/>
            <w:noWrap/>
            <w:vAlign w:val="bottom"/>
            <w:hideMark/>
          </w:tcPr>
          <w:p w14:paraId="32436F0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{"citationID":"a24dlf4ne6c","properties":{"formattedCitation":"[222]","plainCitation":"[222]","noteIndex":0},"citationItems":[{"id":168,"uris":["http://zotero.org/users/12909065/items/4XITMLVC"],"itemData":{"id":168,"type":"article-journal","abstract":"The application of liquid-exfoliated 2D transition metal disulfides (TMDs) as the hole transport layers (HTLs) in nonfullerene-based organic solar cells is reported. It is shown that solution processing of few-layer WS2 or MoS2 suspensions directly onto transparent indium tin oxide (ITO) electrodes changes their work function without the need for any further treatment. HTLs comprising WS2 are found to exhibit higher uniformity on ITO than those of MoS2 and consistently yield solar cells with superior power conversion efficiency (PCE), improved fill factor (FF), enhanced short-circuit current (JSC), and lower series resistance than devices based on poly(3,4-ethylenedioxythiophene):poly(styrenesulfonate) and MoS2. Cells based on the ternary bulk-heterojunction PBDB-T-2F:Y6:PC71BM with WS2 as the HTL exhibit the highest PCE of 17%, with an FF of 78%, open-circuit voltage of 0.84 V, and a JSC of 26 mA cm−2. Analysis of the cells' optical and carrier recombination characteristics indicates that the enhanced performance is most likely attributed to a combination of favorable photonic structure and reduced bimolecular recombination losses in WS2-based cells. The achieved PCE is the highest reported to date for organic solar cells comprised of 2D charge transport interlayers and highlights the potential of TMDs as inexpensive HTLs for high-efficiency organic photovoltaics.","container-title":"Advanced Materials","DOI":"10.1002/adma.201902965","ISSN":"1521-4095","issue":"46","language":"en","license":"© 2019 WILEY-VCH Verlag GmbH &amp; Co. KGaA, Weinheim","note":"_eprint: https://onlinelibrary.wiley.com/doi/pdf/10.1002/adma.201902965","page":"1902965","source":"Wiley Online Library","title":"17% Efficient Organic Solar Cells Based on Liquid Exfoliated WS2 as a Replacement for PEDOT:PSS","title-short":"17% Efficient Organic Solar Cells Based on Liquid Exfoliated WS2 as a Replacement for PEDOT","volume":"31","author":[{"family":"Lin","given":"Yuanbao"},{"family":"Adilbekova","given":"Begimai"},{"family":"Firdaus","given":"Yuliar"},{"family":"Yengel","given":"Emre"},{"family":"Faber","given":"Hendrik"},{"family":"Sajjad","given":"Muhammad"},{"family":"Zheng","given":"Xiaopeng"},{"family":"Yarali","given":"Emre"},{"family":"Seitkhan","given":"Akmaral"},{"family":"Bakr","given":"Osman M."},{"family":"El-Labban","given":"Abdulrahman"},{"family":"Schwingenschlögl","given":"Udo"},{"family":"Tung","given":"Vincent"},{"family":"McCulloch","given":"Iain"},{"family":"Laquai","given":"Frédéric"},{"family":"Anthopoulos","given":"Thomas D."}],"issued":{"date-parts":[["2019"]]}}}],"schema":"https://github.com/citation-style-language/schema/raw/master/csl-citation.json"}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[222]</w:t>
            </w:r>
            <w:r w:rsidRPr="00B55044">
              <w:rPr>
                <w:rFonts w:eastAsia="Times New Roman"/>
                <w:color w:val="0000FF"/>
                <w:sz w:val="16"/>
                <w:szCs w:val="16"/>
              </w:rPr>
              <w:fldChar w:fldCharType="end"/>
            </w:r>
          </w:p>
        </w:tc>
      </w:tr>
      <w:tr w:rsidR="00D47774" w:rsidRPr="00B55044" w14:paraId="39FFBDE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E70A2B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427</w:t>
            </w:r>
          </w:p>
        </w:tc>
        <w:tc>
          <w:tcPr>
            <w:tcW w:w="1525" w:type="pct"/>
            <w:tcBorders>
              <w:top w:val="single" w:sz="4" w:space="0" w:color="auto"/>
              <w:left w:val="nil"/>
              <w:bottom w:val="single" w:sz="4" w:space="0" w:color="auto"/>
              <w:right w:val="nil"/>
            </w:tcBorders>
            <w:shd w:val="clear" w:color="auto" w:fill="auto"/>
            <w:noWrap/>
            <w:vAlign w:val="bottom"/>
            <w:hideMark/>
          </w:tcPr>
          <w:p w14:paraId="421FFFA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ITO/PCPDTK0.50H0.50-TT/AL/PFN/Al</w:t>
            </w:r>
          </w:p>
        </w:tc>
        <w:tc>
          <w:tcPr>
            <w:tcW w:w="1288" w:type="pct"/>
            <w:tcBorders>
              <w:top w:val="single" w:sz="4" w:space="0" w:color="auto"/>
              <w:left w:val="nil"/>
              <w:bottom w:val="single" w:sz="4" w:space="0" w:color="auto"/>
              <w:right w:val="nil"/>
            </w:tcBorders>
            <w:shd w:val="clear" w:color="auto" w:fill="auto"/>
            <w:noWrap/>
            <w:vAlign w:val="bottom"/>
            <w:hideMark/>
          </w:tcPr>
          <w:p w14:paraId="60A099F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0C3E835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0.854</w:t>
            </w:r>
          </w:p>
        </w:tc>
        <w:tc>
          <w:tcPr>
            <w:tcW w:w="379" w:type="pct"/>
            <w:tcBorders>
              <w:top w:val="single" w:sz="4" w:space="0" w:color="auto"/>
              <w:left w:val="nil"/>
              <w:bottom w:val="single" w:sz="4" w:space="0" w:color="auto"/>
              <w:right w:val="nil"/>
            </w:tcBorders>
            <w:shd w:val="clear" w:color="auto" w:fill="auto"/>
            <w:noWrap/>
            <w:vAlign w:val="bottom"/>
            <w:hideMark/>
          </w:tcPr>
          <w:p w14:paraId="5540D9A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25.1</w:t>
            </w:r>
          </w:p>
        </w:tc>
        <w:tc>
          <w:tcPr>
            <w:tcW w:w="378" w:type="pct"/>
            <w:tcBorders>
              <w:top w:val="single" w:sz="4" w:space="0" w:color="auto"/>
              <w:left w:val="nil"/>
              <w:bottom w:val="single" w:sz="4" w:space="0" w:color="auto"/>
              <w:right w:val="nil"/>
            </w:tcBorders>
            <w:shd w:val="clear" w:color="auto" w:fill="auto"/>
            <w:noWrap/>
            <w:vAlign w:val="bottom"/>
            <w:hideMark/>
          </w:tcPr>
          <w:p w14:paraId="33EA8E9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75.9</w:t>
            </w:r>
          </w:p>
        </w:tc>
        <w:tc>
          <w:tcPr>
            <w:tcW w:w="381" w:type="pct"/>
            <w:tcBorders>
              <w:top w:val="single" w:sz="4" w:space="0" w:color="auto"/>
              <w:left w:val="nil"/>
              <w:bottom w:val="single" w:sz="4" w:space="0" w:color="auto"/>
              <w:right w:val="nil"/>
            </w:tcBorders>
            <w:shd w:val="clear" w:color="auto" w:fill="auto"/>
            <w:noWrap/>
            <w:vAlign w:val="bottom"/>
            <w:hideMark/>
          </w:tcPr>
          <w:p w14:paraId="486E310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16.3</w:t>
            </w:r>
          </w:p>
        </w:tc>
        <w:tc>
          <w:tcPr>
            <w:tcW w:w="378" w:type="pct"/>
            <w:tcBorders>
              <w:top w:val="single" w:sz="4" w:space="0" w:color="auto"/>
              <w:left w:val="nil"/>
              <w:bottom w:val="single" w:sz="4" w:space="0" w:color="auto"/>
              <w:right w:val="nil"/>
            </w:tcBorders>
            <w:shd w:val="clear" w:color="auto" w:fill="auto"/>
            <w:noWrap/>
            <w:vAlign w:val="bottom"/>
            <w:hideMark/>
          </w:tcPr>
          <w:p w14:paraId="465B5CB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{"citationID":"asjsofqqqe","properties":{"formattedCitation":"[223]","plainCitation":"[223]","noteIndex":0},"citationItems":[{"id":167,"uris":["http://zotero.org/users/12909065/items/GUGSS2FD"],"itemData":{"id":167,"type":"article-journal","abstract":"Currently, most of the hole transport layers (HTLs) of organic solar cells (OSCs) are unable to meet the requirements of printing preparation, which imposes restrictions on the commercial process of the OSCs severely. Here, we report a printable HTL, PCPDTK0.50H0.50-TT. The PM6:Y6:PC71BM device with PCPDTK0.50H0.50-TT as an HTL exhibits a power conversion efficiency (PCE) of 16.3% (with an area of 0.04 cm2). More importantly, the PCE of the device is up to 10.2%, with an area of 1.0 cm2 prepared by the wire-bar coating PCPDTK0.50H0.50-TT HTL, which is in favor of the printing fabrication of the OSCs. In view of the superiorities of the large-area printing and the impressive PCE, we believe that PCPDTK0.50H0.50-TT should be a potential HTL for industrial production of OSCs.","container-title":"ACS Applied Materials &amp; Interfaces","DOI":"10.1021/acsami.0c16124","ISSN":"1944-8244","issue":"46","journalAbbreviation":"ACS Appl. Mater. Interfaces","note":"publisher: American Chemical Society","page":"52028-52037","source":"ACS Publications","title":"Printable Hole Transport Layer for 1.0 cm2 Organic Solar Cells","volume":"12","author":[{"family":"Xu","given":"Haitao"},{"family":"Zou","given":"Helong"},{"family":"Zhou","given":"Dan"},{"family":"Zeng","given":"Guang"},{"family":"Chen","given":"Lie"},{"family":"Liao","given":"Xunfan"},{"family":"Chen","given":"Yiwang"}],"issued":{"date-parts":[["2020",11,18]]}}}],"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[223]</w:t>
            </w:r>
            <w:r w:rsidRPr="00B55044">
              <w:rPr>
                <w:rFonts w:eastAsia="Times New Roman"/>
                <w:color w:val="0000FF"/>
                <w:sz w:val="16"/>
                <w:szCs w:val="16"/>
              </w:rPr>
              <w:fldChar w:fldCharType="end"/>
            </w:r>
          </w:p>
        </w:tc>
      </w:tr>
      <w:tr w:rsidR="00D47774" w:rsidRPr="00B55044" w14:paraId="28A49FED"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3252B5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428</w:t>
            </w:r>
          </w:p>
        </w:tc>
        <w:tc>
          <w:tcPr>
            <w:tcW w:w="1525" w:type="pct"/>
            <w:tcBorders>
              <w:top w:val="single" w:sz="4" w:space="0" w:color="auto"/>
              <w:left w:val="nil"/>
              <w:bottom w:val="single" w:sz="4" w:space="0" w:color="auto"/>
              <w:right w:val="nil"/>
            </w:tcBorders>
            <w:shd w:val="clear" w:color="auto" w:fill="auto"/>
            <w:noWrap/>
            <w:vAlign w:val="bottom"/>
            <w:hideMark/>
          </w:tcPr>
          <w:p w14:paraId="63FBD1E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ITO/PEDOT:PSS/AL/PFN/Al</w:t>
            </w:r>
          </w:p>
        </w:tc>
        <w:tc>
          <w:tcPr>
            <w:tcW w:w="1288" w:type="pct"/>
            <w:tcBorders>
              <w:top w:val="single" w:sz="4" w:space="0" w:color="auto"/>
              <w:left w:val="nil"/>
              <w:bottom w:val="single" w:sz="4" w:space="0" w:color="auto"/>
              <w:right w:val="nil"/>
            </w:tcBorders>
            <w:shd w:val="clear" w:color="auto" w:fill="auto"/>
            <w:noWrap/>
            <w:vAlign w:val="bottom"/>
            <w:hideMark/>
          </w:tcPr>
          <w:p w14:paraId="4EB0D1C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706C9BF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0.842</w:t>
            </w:r>
          </w:p>
        </w:tc>
        <w:tc>
          <w:tcPr>
            <w:tcW w:w="379" w:type="pct"/>
            <w:tcBorders>
              <w:top w:val="single" w:sz="4" w:space="0" w:color="auto"/>
              <w:left w:val="nil"/>
              <w:bottom w:val="single" w:sz="4" w:space="0" w:color="auto"/>
              <w:right w:val="nil"/>
            </w:tcBorders>
            <w:shd w:val="clear" w:color="auto" w:fill="auto"/>
            <w:noWrap/>
            <w:vAlign w:val="bottom"/>
            <w:hideMark/>
          </w:tcPr>
          <w:p w14:paraId="11A8BA1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24.56</w:t>
            </w:r>
          </w:p>
        </w:tc>
        <w:tc>
          <w:tcPr>
            <w:tcW w:w="378" w:type="pct"/>
            <w:tcBorders>
              <w:top w:val="single" w:sz="4" w:space="0" w:color="auto"/>
              <w:left w:val="nil"/>
              <w:bottom w:val="single" w:sz="4" w:space="0" w:color="auto"/>
              <w:right w:val="nil"/>
            </w:tcBorders>
            <w:shd w:val="clear" w:color="auto" w:fill="auto"/>
            <w:noWrap/>
            <w:vAlign w:val="bottom"/>
            <w:hideMark/>
          </w:tcPr>
          <w:p w14:paraId="10F89A6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74.8</w:t>
            </w:r>
          </w:p>
        </w:tc>
        <w:tc>
          <w:tcPr>
            <w:tcW w:w="381" w:type="pct"/>
            <w:tcBorders>
              <w:top w:val="single" w:sz="4" w:space="0" w:color="auto"/>
              <w:left w:val="nil"/>
              <w:bottom w:val="single" w:sz="4" w:space="0" w:color="auto"/>
              <w:right w:val="nil"/>
            </w:tcBorders>
            <w:shd w:val="clear" w:color="auto" w:fill="auto"/>
            <w:noWrap/>
            <w:vAlign w:val="bottom"/>
            <w:hideMark/>
          </w:tcPr>
          <w:p w14:paraId="2C48B0F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15.4</w:t>
            </w:r>
          </w:p>
        </w:tc>
        <w:tc>
          <w:tcPr>
            <w:tcW w:w="378" w:type="pct"/>
            <w:tcBorders>
              <w:top w:val="single" w:sz="4" w:space="0" w:color="auto"/>
              <w:left w:val="nil"/>
              <w:bottom w:val="single" w:sz="4" w:space="0" w:color="auto"/>
              <w:right w:val="nil"/>
            </w:tcBorders>
            <w:shd w:val="clear" w:color="auto" w:fill="auto"/>
            <w:noWrap/>
            <w:vAlign w:val="bottom"/>
            <w:hideMark/>
          </w:tcPr>
          <w:p w14:paraId="7BB9F97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{"citationID":"a1uv223o6po","properties":{"formattedCitation":"[223]","plainCitation":"[223]","noteIndex":0},"citationItems":[{"id":167,"uris":["http://zotero.org/users/12909065/items/GUGSS2FD"],"itemData":{"id":167,"type":"article-journal","abstract":"Currently, most of the hole transport layers (HTLs) of organic solar cells (OSCs) are unable to meet the requirements of printing preparation, which imposes restrictions on the commercial process of the OSCs severely. Here, we report a printable HTL, PCPDTK0.50H0.50-TT. The PM6:Y6:PC71BM device with PCPDTK0.50H0.50-TT as an HTL exhibits a power conversion efficiency (PCE) of 16.3% (with an area of 0.04 cm2). More importantly, the PCE of the device is up to 10.2%, with an area of 1.0 cm2 prepared by the wire-bar coating PCPDTK0.50H0.50-TT HTL, which is in favor of the printing fabrication of the OSCs. In view of the superiorities of the large-area printing and the impressive PCE, we believe that PCPDTK0.50H0.50-TT should be a potential HTL for industrial production of OSCs.","container-title":"ACS Applied Materials &amp; Interfaces","DOI":"10.1021/acsami.0c16124","ISSN":"1944-8244","issue":"46","journalAbbreviation":"ACS Appl. Mater. Interfaces","note":"publisher: American Chemical Society","page":"52028-52037","source":"ACS Publications","title":"Printable Hole Transport Layer for 1.0 cm2 Organic Solar Cells","volume":"12","author":[{"family":"Xu","given":"Haitao"},{"family":"Zou","given":"Helong"},{"family":"Zhou","given":"Dan"},{"family":"Zeng","given":"Guang"},{"family":"Chen","given":"Lie"},{"family":"Liao","given":"Xunfan"},{"family":"Chen","given":"Yiwang"}],"issued":{"date-parts":[["2020",11,18]]}}}],"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[223]</w:t>
            </w:r>
            <w:r w:rsidRPr="00B55044">
              <w:rPr>
                <w:rFonts w:eastAsia="Times New Roman"/>
                <w:color w:val="0000FF"/>
                <w:sz w:val="16"/>
                <w:szCs w:val="16"/>
              </w:rPr>
              <w:fldChar w:fldCharType="end"/>
            </w:r>
          </w:p>
        </w:tc>
      </w:tr>
      <w:tr w:rsidR="00D47774" w:rsidRPr="00B55044" w14:paraId="2233EF5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E98226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429</w:t>
            </w:r>
          </w:p>
        </w:tc>
        <w:tc>
          <w:tcPr>
            <w:tcW w:w="1525" w:type="pct"/>
            <w:tcBorders>
              <w:top w:val="single" w:sz="4" w:space="0" w:color="auto"/>
              <w:left w:val="nil"/>
              <w:bottom w:val="single" w:sz="4" w:space="0" w:color="auto"/>
              <w:right w:val="nil"/>
            </w:tcBorders>
            <w:shd w:val="clear" w:color="auto" w:fill="auto"/>
            <w:noWrap/>
            <w:vAlign w:val="bottom"/>
            <w:hideMark/>
          </w:tcPr>
          <w:p w14:paraId="3D6DE6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/Ag/ITO</w:t>
            </w:r>
          </w:p>
        </w:tc>
        <w:tc>
          <w:tcPr>
            <w:tcW w:w="1288" w:type="pct"/>
            <w:tcBorders>
              <w:top w:val="single" w:sz="4" w:space="0" w:color="auto"/>
              <w:left w:val="nil"/>
              <w:bottom w:val="single" w:sz="4" w:space="0" w:color="auto"/>
              <w:right w:val="nil"/>
            </w:tcBorders>
            <w:shd w:val="clear" w:color="auto" w:fill="auto"/>
            <w:noWrap/>
            <w:vAlign w:val="bottom"/>
            <w:hideMark/>
          </w:tcPr>
          <w:p w14:paraId="3C27DF2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60A7A45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w:t>
            </w:r>
          </w:p>
        </w:tc>
        <w:tc>
          <w:tcPr>
            <w:tcW w:w="379" w:type="pct"/>
            <w:tcBorders>
              <w:top w:val="single" w:sz="4" w:space="0" w:color="auto"/>
              <w:left w:val="nil"/>
              <w:bottom w:val="single" w:sz="4" w:space="0" w:color="auto"/>
              <w:right w:val="nil"/>
            </w:tcBorders>
            <w:shd w:val="clear" w:color="auto" w:fill="auto"/>
            <w:noWrap/>
            <w:vAlign w:val="bottom"/>
            <w:hideMark/>
          </w:tcPr>
          <w:p w14:paraId="1A58960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17.9</w:t>
            </w:r>
          </w:p>
        </w:tc>
        <w:tc>
          <w:tcPr>
            <w:tcW w:w="378" w:type="pct"/>
            <w:tcBorders>
              <w:top w:val="single" w:sz="4" w:space="0" w:color="auto"/>
              <w:left w:val="nil"/>
              <w:bottom w:val="single" w:sz="4" w:space="0" w:color="auto"/>
              <w:right w:val="nil"/>
            </w:tcBorders>
            <w:shd w:val="clear" w:color="auto" w:fill="auto"/>
            <w:noWrap/>
            <w:vAlign w:val="bottom"/>
            <w:hideMark/>
          </w:tcPr>
          <w:p w14:paraId="537FED5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65.2</w:t>
            </w:r>
          </w:p>
        </w:tc>
        <w:tc>
          <w:tcPr>
            <w:tcW w:w="381" w:type="pct"/>
            <w:tcBorders>
              <w:top w:val="single" w:sz="4" w:space="0" w:color="auto"/>
              <w:left w:val="nil"/>
              <w:bottom w:val="single" w:sz="4" w:space="0" w:color="auto"/>
              <w:right w:val="nil"/>
            </w:tcBorders>
            <w:shd w:val="clear" w:color="auto" w:fill="auto"/>
            <w:noWrap/>
            <w:vAlign w:val="bottom"/>
            <w:hideMark/>
          </w:tcPr>
          <w:p w14:paraId="6DC042C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10.2</w:t>
            </w:r>
          </w:p>
        </w:tc>
        <w:tc>
          <w:tcPr>
            <w:tcW w:w="378" w:type="pct"/>
            <w:tcBorders>
              <w:top w:val="single" w:sz="4" w:space="0" w:color="auto"/>
              <w:left w:val="nil"/>
              <w:bottom w:val="single" w:sz="4" w:space="0" w:color="auto"/>
              <w:right w:val="nil"/>
            </w:tcBorders>
            <w:shd w:val="clear" w:color="auto" w:fill="auto"/>
            <w:noWrap/>
            <w:vAlign w:val="bottom"/>
            <w:hideMark/>
          </w:tcPr>
          <w:p w14:paraId="03CE738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{"citationID":"a26thtvoutp","properties":{"formattedCitation":"[224]","plainCitation":"[224]","noteIndex":0},"citationItems":[{"id":166,"uris":["http://zotero.org/users/12909065/items/7PGV9DN9"],"itemData":{"id":166,"type":"article-journal","abstract":"In this study, we designed a surface phase-matched transmission enhancement top electrode–Ag/indium tin oxide (ITO) structure for highly efficient and aesthetic semitransparent organic photovoltaics (ST-OPVs). The purposed highly transparent back electrodes (Ag/ITO) could selectively decrease visible reflection and increase transparency accordingly. By altering the thicknesses of the Ag and ITO layers, we could control the transmittance curve and increase the transparency of the ST-OPV devices. Devices based on PTB7-Th:IEICO-4F and PM6:Y6:PC71BM displayed outstanding performance (8.1 and 10.2%, respectively) with high photopic-weighted visible light transmittance (36.2 and 28.6%, respectively). The outstanding visible and near-infrared light harvesting of PM6:Y6:PC71BM further allowed a new application: double-sided energy harvesting from solar and indoor illumination. The simple optical design of a top electrode displaying high transparency/conductivity has a wide range of potential applications in, for example, greenhouse photovoltaics, tandem cells, and portable devices.","container-title":"ACS Applied Materials &amp; Interfaces","DOI":"10.1021/acsami.0c10906","ISSN":"1944-8244","issue":"35","journalAbbreviation":"ACS Appl. Mater. Interfaces","note":"publisher: American Chemical Society","page":"39496-39504","source":"ACS Publications","title":"High-Performance Semitransparent Organic Photovoltaics Featuring a Surface Phase-Matched Transmission-Enhancing Ag/ITO Electrode","volume":"12","author":[{"family":"Jiang","given":"Bing-Huang"},{"family":"Lee","given":"He-En"},{"family":"Lu","given":"Jong-Hong"},{"family":"Tsai","given":"Tsung-Han"},{"family":"Shieh","given":"Tien-Shou"},{"family":"Jeng","given":"Ru-Jong"},{"family":"Chen","given":"Chih-Ping"}],"issued":{"date-parts":[["2020",9,2]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[224]</w:t>
            </w:r>
            <w:r w:rsidRPr="00B55044">
              <w:rPr>
                <w:rFonts w:eastAsia="Times New Roman"/>
                <w:color w:val="0000FF"/>
                <w:sz w:val="16"/>
                <w:szCs w:val="16"/>
              </w:rPr>
              <w:fldChar w:fldCharType="end"/>
            </w:r>
          </w:p>
        </w:tc>
      </w:tr>
      <w:tr w:rsidR="00D47774" w:rsidRPr="00B55044" w14:paraId="3084DD0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D70E35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430</w:t>
            </w:r>
          </w:p>
        </w:tc>
        <w:tc>
          <w:tcPr>
            <w:tcW w:w="1525" w:type="pct"/>
            <w:tcBorders>
              <w:top w:val="single" w:sz="4" w:space="0" w:color="auto"/>
              <w:left w:val="nil"/>
              <w:bottom w:val="single" w:sz="4" w:space="0" w:color="auto"/>
              <w:right w:val="nil"/>
            </w:tcBorders>
            <w:shd w:val="clear" w:color="auto" w:fill="auto"/>
            <w:noWrap/>
            <w:vAlign w:val="bottom"/>
            <w:hideMark/>
          </w:tcPr>
          <w:p w14:paraId="2ECF916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6C09C06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PM6:N3:PC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4D2650A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51F0396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25.71</w:t>
            </w:r>
          </w:p>
        </w:tc>
        <w:tc>
          <w:tcPr>
            <w:tcW w:w="378" w:type="pct"/>
            <w:tcBorders>
              <w:top w:val="single" w:sz="4" w:space="0" w:color="auto"/>
              <w:left w:val="nil"/>
              <w:bottom w:val="single" w:sz="4" w:space="0" w:color="auto"/>
              <w:right w:val="nil"/>
            </w:tcBorders>
            <w:shd w:val="clear" w:color="auto" w:fill="auto"/>
            <w:noWrap/>
            <w:vAlign w:val="bottom"/>
            <w:hideMark/>
          </w:tcPr>
          <w:p w14:paraId="07D638F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76.6</w:t>
            </w:r>
          </w:p>
        </w:tc>
        <w:tc>
          <w:tcPr>
            <w:tcW w:w="381" w:type="pct"/>
            <w:tcBorders>
              <w:top w:val="single" w:sz="4" w:space="0" w:color="auto"/>
              <w:left w:val="nil"/>
              <w:bottom w:val="single" w:sz="4" w:space="0" w:color="auto"/>
              <w:right w:val="nil"/>
            </w:tcBorders>
            <w:shd w:val="clear" w:color="auto" w:fill="auto"/>
            <w:noWrap/>
            <w:vAlign w:val="bottom"/>
            <w:hideMark/>
          </w:tcPr>
          <w:p w14:paraId="4054702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16.74</w:t>
            </w:r>
          </w:p>
        </w:tc>
        <w:tc>
          <w:tcPr>
            <w:tcW w:w="378" w:type="pct"/>
            <w:tcBorders>
              <w:top w:val="single" w:sz="4" w:space="0" w:color="auto"/>
              <w:left w:val="nil"/>
              <w:bottom w:val="single" w:sz="4" w:space="0" w:color="auto"/>
              <w:right w:val="nil"/>
            </w:tcBorders>
            <w:shd w:val="clear" w:color="auto" w:fill="auto"/>
            <w:noWrap/>
            <w:vAlign w:val="bottom"/>
            <w:hideMark/>
          </w:tcPr>
          <w:p w14:paraId="025FCE9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{"citationID":"a1mqov2v8q3","properties":{"formattedCitation":"[225]","plainCitation":"[225]","noteIndex":0},"citationItems":[{"id":165,"uris":["http://zotero.org/users/12909065/items/EANWQ96K"],"itemData":{"id":165,"type":"article-journal","abstract":"The ﬁeld of organic solar cells has seen rapid developments after the report of a high-efﬁciency (15.7%) small molecule acceptor (SMA) named Y6. In this paper, we design and synthesize a family of SMAs with an aromatic backbone identical to that of Y6 but with different alkyl chains to investigate the inﬂuence of alkyl chains on the properties and performance of the SMAs. First, we show that it is beneﬁcial to use branched alkyl chains on the nitrogen atoms of the pyrrole motif of the Y6. In addition, the branching position of the alkyl chains also has a major inﬂuence on material and device properties. The SMA with 3rd-position branched alkyl chains (named N3) exhibits optimal solubility and electronic and morphological properties, thus yielding the best performance. Further device optimization using a ternary strategy allows us to achieve a high efﬁciency of 16.74% (and a certiﬁed efﬁciency of 16.42%).","container-title":"Joule","DOI":"10.1016/j.joule.2019.09.010","ISSN":"25424351","issue":"12","journalAbbreviation":"Joule","language":"en","page":"3020-3033","source":"DOI.org (Crossref)","title":"Alkyl Chain Tuning of Small Molecule Acceptors for Efficient Organic Solar Cells","volume":"3","author":[{"family":"Jiang","given":"Kui"},{"family":"Wei","given":"Qingya"},{"family":"Lai","given":"Joshua Yuk Lin"},{"family":"Peng","given":"Zhengxing"},{"family":"Kim","given":"Ha Kyung"},{"family":"Yuan","given":"Jun"},{"family":"Ye","given":"Long"},{"family":"Ade","given":"Harald"},{"family":"Zou","given":"Yingping"},{"family":"Yan","given":"He"}],"issued":{"date-parts":[["2019",12]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[225]</w:t>
            </w:r>
            <w:r w:rsidRPr="00B55044">
              <w:rPr>
                <w:rFonts w:eastAsia="Times New Roman"/>
                <w:color w:val="0000FF"/>
                <w:sz w:val="16"/>
                <w:szCs w:val="16"/>
              </w:rPr>
              <w:fldChar w:fldCharType="end"/>
            </w:r>
          </w:p>
        </w:tc>
      </w:tr>
      <w:tr w:rsidR="00D47774" w:rsidRPr="00B55044" w14:paraId="2CCFCFE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41F560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431</w:t>
            </w:r>
          </w:p>
        </w:tc>
        <w:tc>
          <w:tcPr>
            <w:tcW w:w="1525" w:type="pct"/>
            <w:tcBorders>
              <w:top w:val="single" w:sz="4" w:space="0" w:color="auto"/>
              <w:left w:val="nil"/>
              <w:bottom w:val="single" w:sz="4" w:space="0" w:color="auto"/>
              <w:right w:val="nil"/>
            </w:tcBorders>
            <w:shd w:val="clear" w:color="auto" w:fill="auto"/>
            <w:noWrap/>
            <w:vAlign w:val="bottom"/>
            <w:hideMark/>
          </w:tcPr>
          <w:p w14:paraId="7133C27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/Al</w:t>
            </w:r>
          </w:p>
        </w:tc>
        <w:tc>
          <w:tcPr>
            <w:tcW w:w="1288" w:type="pct"/>
            <w:tcBorders>
              <w:top w:val="single" w:sz="4" w:space="0" w:color="auto"/>
              <w:left w:val="nil"/>
              <w:bottom w:val="single" w:sz="4" w:space="0" w:color="auto"/>
              <w:right w:val="nil"/>
            </w:tcBorders>
            <w:shd w:val="clear" w:color="auto" w:fill="auto"/>
            <w:noWrap/>
            <w:vAlign w:val="bottom"/>
            <w:hideMark/>
          </w:tcPr>
          <w:p w14:paraId="69B79E4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4440D8C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06C9E85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25.67</w:t>
            </w:r>
          </w:p>
        </w:tc>
        <w:tc>
          <w:tcPr>
            <w:tcW w:w="378" w:type="pct"/>
            <w:tcBorders>
              <w:top w:val="single" w:sz="4" w:space="0" w:color="auto"/>
              <w:left w:val="nil"/>
              <w:bottom w:val="single" w:sz="4" w:space="0" w:color="auto"/>
              <w:right w:val="nil"/>
            </w:tcBorders>
            <w:shd w:val="clear" w:color="auto" w:fill="auto"/>
            <w:noWrap/>
            <w:vAlign w:val="bottom"/>
            <w:hideMark/>
          </w:tcPr>
          <w:p w14:paraId="0AE44B5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76.22</w:t>
            </w:r>
          </w:p>
        </w:tc>
        <w:tc>
          <w:tcPr>
            <w:tcW w:w="381" w:type="pct"/>
            <w:tcBorders>
              <w:top w:val="single" w:sz="4" w:space="0" w:color="auto"/>
              <w:left w:val="nil"/>
              <w:bottom w:val="single" w:sz="4" w:space="0" w:color="auto"/>
              <w:right w:val="nil"/>
            </w:tcBorders>
            <w:shd w:val="clear" w:color="auto" w:fill="auto"/>
            <w:noWrap/>
            <w:vAlign w:val="bottom"/>
            <w:hideMark/>
          </w:tcPr>
          <w:p w14:paraId="732A553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16.63</w:t>
            </w:r>
          </w:p>
        </w:tc>
        <w:tc>
          <w:tcPr>
            <w:tcW w:w="378" w:type="pct"/>
            <w:tcBorders>
              <w:top w:val="single" w:sz="4" w:space="0" w:color="auto"/>
              <w:left w:val="nil"/>
              <w:bottom w:val="single" w:sz="4" w:space="0" w:color="auto"/>
              <w:right w:val="nil"/>
            </w:tcBorders>
            <w:shd w:val="clear" w:color="auto" w:fill="auto"/>
            <w:noWrap/>
            <w:vAlign w:val="bottom"/>
            <w:hideMark/>
          </w:tcPr>
          <w:p w14:paraId="3A14034F"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{"citationID":"a2odh61ll48","properties":{"formattedCitation":"[226]","plainCitation":"[226]","noteIndex":0},"citationItems":[{"id":164,"uris":["http://zotero.org/users/12909065/items/PRPEIEBG"],"itemData":{"id":164,"type":"article-journal","abstract":"The performance and industrial viability of organic photovoltaics are strongly influenced by the functionality and stability of interface layers. Many of the interface materials most commonly used in the lab are limited in their operational stability or their materials cost and are frequently not transferred toward large-scale production and industrial applications. In this work, an advanced aqueous-solution-processed cathode interface layer is demonstrated based on cost-effective organosilica nanodots (OSiNDs) synthesized via a simple one-step hydrothermal reaction. Compared to the interface layers optimized for inverted organic solar cells (i-OSCs), the OSiNDs cathode interlayer shows improved charge carrier extraction and excellent operational stability for various model photoactive systems, achieving a remarkably high power conversion efficiency up to 17.15%. More importantly, the OSiNDs’ interlayer is extremely stable under thermal stress or photoillumination (UV and AM 1.5G) and undergoes no photochemical reaction with the photoactive materials used. As a result, the operational stability of inverted OSCs under continuous 1 sun illumination (AM 1.5G, 100 mW cm−2) is significantly improved by replacing the commonly used ZnO interlayer with OSiND-based interfaces.","container-title":"Advanced Materials","DOI":"10.1002/adma.202002973","ISSN":"1521-4095","issue":"38","language":"en","license":"© 2020 The Authors. Published by Wiley-VCH GmbH","note":"_eprint: https://onlinelibrary.wiley.com/doi/pdf/10.1002/adma.202002973","page":"2002973","source":"Wiley Online Library","title":"A Cost-Effective, Aqueous-Solution-Processed Cathode Interlayer Based on Organosilica Nanodots for Highly Efficient and Stable Organic Solar Cells","volume":"32","author":[{"family":"Cui","given":"Mengqi"},{"family":"Li","given":"Dan"},{"family":"Du","given":"Xiaoyan"},{"family":"Li","given":"Na"},{"family":"Rong","given":"Qikun"},{"family":"Li","given":"Ning"},{"family":"Shui","given":"Lingling"},{"family":"Zhou","given":"Guofu"},{"family":"Wang","given":"Xinghua"},{"family":"Brabec","given":"Christoph J."},{"family":"Nian","given":"Li"}],"issued":{"date-parts":[["2020"]]}}}],"schema":"https://github.com/citation-style-language/schema/raw/master/csl-citation.json"}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[226]</w:t>
            </w:r>
            <w:r w:rsidRPr="00B55044">
              <w:rPr>
                <w:rFonts w:eastAsia="Times New Roman"/>
                <w:color w:val="0000FF"/>
                <w:sz w:val="16"/>
                <w:szCs w:val="16"/>
              </w:rPr>
              <w:fldChar w:fldCharType="end"/>
            </w:r>
          </w:p>
        </w:tc>
      </w:tr>
      <w:tr w:rsidR="00D47774" w:rsidRPr="00B55044" w14:paraId="12A4284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B68BC5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432</w:t>
            </w:r>
          </w:p>
        </w:tc>
        <w:tc>
          <w:tcPr>
            <w:tcW w:w="1525" w:type="pct"/>
            <w:tcBorders>
              <w:top w:val="single" w:sz="4" w:space="0" w:color="auto"/>
              <w:left w:val="nil"/>
              <w:bottom w:val="single" w:sz="4" w:space="0" w:color="auto"/>
              <w:right w:val="nil"/>
            </w:tcBorders>
            <w:shd w:val="clear" w:color="auto" w:fill="auto"/>
            <w:noWrap/>
            <w:vAlign w:val="bottom"/>
            <w:hideMark/>
          </w:tcPr>
          <w:p w14:paraId="3C0D6DF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/Al</w:t>
            </w:r>
          </w:p>
        </w:tc>
        <w:tc>
          <w:tcPr>
            <w:tcW w:w="1288" w:type="pct"/>
            <w:tcBorders>
              <w:top w:val="single" w:sz="4" w:space="0" w:color="auto"/>
              <w:left w:val="nil"/>
              <w:bottom w:val="single" w:sz="4" w:space="0" w:color="auto"/>
              <w:right w:val="nil"/>
            </w:tcBorders>
            <w:shd w:val="clear" w:color="auto" w:fill="auto"/>
            <w:noWrap/>
            <w:vAlign w:val="bottom"/>
            <w:hideMark/>
          </w:tcPr>
          <w:p w14:paraId="6A41080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5BDCF5B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46CA4D4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26.01</w:t>
            </w:r>
          </w:p>
        </w:tc>
        <w:tc>
          <w:tcPr>
            <w:tcW w:w="378" w:type="pct"/>
            <w:tcBorders>
              <w:top w:val="single" w:sz="4" w:space="0" w:color="auto"/>
              <w:left w:val="nil"/>
              <w:bottom w:val="single" w:sz="4" w:space="0" w:color="auto"/>
              <w:right w:val="nil"/>
            </w:tcBorders>
            <w:shd w:val="clear" w:color="auto" w:fill="auto"/>
            <w:noWrap/>
            <w:vAlign w:val="bottom"/>
            <w:hideMark/>
          </w:tcPr>
          <w:p w14:paraId="5A03B60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77.54</w:t>
            </w:r>
          </w:p>
        </w:tc>
        <w:tc>
          <w:tcPr>
            <w:tcW w:w="381" w:type="pct"/>
            <w:tcBorders>
              <w:top w:val="single" w:sz="4" w:space="0" w:color="auto"/>
              <w:left w:val="nil"/>
              <w:bottom w:val="single" w:sz="4" w:space="0" w:color="auto"/>
              <w:right w:val="nil"/>
            </w:tcBorders>
            <w:shd w:val="clear" w:color="auto" w:fill="auto"/>
            <w:noWrap/>
            <w:vAlign w:val="bottom"/>
            <w:hideMark/>
          </w:tcPr>
          <w:p w14:paraId="5B6AC91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17.15</w:t>
            </w:r>
          </w:p>
        </w:tc>
        <w:tc>
          <w:tcPr>
            <w:tcW w:w="378" w:type="pct"/>
            <w:tcBorders>
              <w:top w:val="single" w:sz="4" w:space="0" w:color="auto"/>
              <w:left w:val="nil"/>
              <w:bottom w:val="single" w:sz="4" w:space="0" w:color="auto"/>
              <w:right w:val="nil"/>
            </w:tcBorders>
            <w:shd w:val="clear" w:color="auto" w:fill="auto"/>
            <w:noWrap/>
            <w:vAlign w:val="bottom"/>
            <w:hideMark/>
          </w:tcPr>
          <w:p w14:paraId="2AB23B9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{"citationID":"a2p0jjroe11","properties":{"formattedCitation":"[226]","plainCitation":"[226]","noteIndex":0},"citationItems":[{"id":164,"uris":["http://zotero.org/users/12909065/items/PRPEIEBG"],"itemData":{"id":164,"type":"article-journal","abstract":"The performance and industrial viability of organic photovoltaics are strongly influenced by the functionality and stability of interface layers. Many of the interface materials most commonly used in the lab are limited in their operational stability or their materials cost and are frequently not transferred toward large-scale production and industrial applications. In this work, an advanced aqueous-solution-processed cathode interface layer is demonstrated based on cost-effective organosilica nanodots (OSiNDs) synthesized via a simple one-step hydrothermal reaction. Compared to the interface layers optimized for inverted organic solar cells (i-OSCs), the OSiNDs cathode interlayer shows improved charge carrier extraction and excellent operational stability for various model photoactive systems, achieving a remarkably high power conversion efficiency up to 17.15%. More importantly, the OSiNDs’ interlayer is extremely stable under thermal stress or photoillumination (UV and AM 1.5G) and undergoes no photochemical reaction with the photoactive materials used. As a result, the operational stability of inverted OSCs under continuous 1 sun illumination (AM 1.5G, 100 mW cm−2) is significantly improved by replacing the commonly used ZnO interlayer with OSiND-based interfaces.","container-title":"Advanced Materials","DOI":"10.1002/adma.202002973","ISSN":"1521-4095","issue":"38","language":"en","license":"© 2020 The Authors. Published by Wiley-VCH GmbH","note":"_eprint: https://onlinelibrary.wiley.com/doi/pdf/10.1002/adma.202002973","page":"2002973","source":"Wiley Online Library","title":"A Cost-Effective, Aqueous-Solution-Processed Cathode Interlayer Based on Organosilica Nanodots for Highly Efficient and Stable Organic Solar Cells","volume":"32","author":[{"family":"Cui","given":"Mengqi"},{"family":"Li","given":"Dan"},{"family":"Du","given":"Xiaoyan"},{"family":"Li","given":"Na"},{"family":"Rong","given":"Qikun"},{"family":"Li","given":"Ning"},{"family":"Shui","given":"Lingling"},{"family":"Zhou","given":"Guofu"},{"family":"Wang","given":"Xinghua"},{"family":"Brabec","given":"Christoph J."},{"family":"Nian","given":"Li"}],"issued":{"date-parts":[["2020"]]}}}],"schema":"https://github.com/citation-style-language/schema/raw/master/csl-citation.json"}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[226]</w:t>
            </w:r>
            <w:r w:rsidRPr="00B55044">
              <w:rPr>
                <w:rFonts w:eastAsia="Times New Roman"/>
                <w:color w:val="0000FF"/>
                <w:sz w:val="16"/>
                <w:szCs w:val="16"/>
              </w:rPr>
              <w:fldChar w:fldCharType="end"/>
            </w:r>
          </w:p>
        </w:tc>
      </w:tr>
      <w:tr w:rsidR="00D47774" w:rsidRPr="00B55044" w14:paraId="1E87998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EAB112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433</w:t>
            </w:r>
          </w:p>
        </w:tc>
        <w:tc>
          <w:tcPr>
            <w:tcW w:w="1525" w:type="pct"/>
            <w:tcBorders>
              <w:top w:val="single" w:sz="4" w:space="0" w:color="auto"/>
              <w:left w:val="nil"/>
              <w:bottom w:val="single" w:sz="4" w:space="0" w:color="auto"/>
              <w:right w:val="nil"/>
            </w:tcBorders>
            <w:shd w:val="clear" w:color="auto" w:fill="auto"/>
            <w:noWrap/>
            <w:vAlign w:val="bottom"/>
            <w:hideMark/>
          </w:tcPr>
          <w:p w14:paraId="43BCDBD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3F4A40B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PM6:Y6:IDMIC-4F (5%)</w:t>
            </w:r>
          </w:p>
        </w:tc>
        <w:tc>
          <w:tcPr>
            <w:tcW w:w="379" w:type="pct"/>
            <w:tcBorders>
              <w:top w:val="single" w:sz="4" w:space="0" w:color="auto"/>
              <w:left w:val="nil"/>
              <w:bottom w:val="single" w:sz="4" w:space="0" w:color="auto"/>
              <w:right w:val="nil"/>
            </w:tcBorders>
            <w:shd w:val="clear" w:color="auto" w:fill="auto"/>
            <w:noWrap/>
            <w:vAlign w:val="bottom"/>
            <w:hideMark/>
          </w:tcPr>
          <w:p w14:paraId="1EA25BA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0.858</w:t>
            </w:r>
          </w:p>
        </w:tc>
        <w:tc>
          <w:tcPr>
            <w:tcW w:w="379" w:type="pct"/>
            <w:tcBorders>
              <w:top w:val="single" w:sz="4" w:space="0" w:color="auto"/>
              <w:left w:val="nil"/>
              <w:bottom w:val="single" w:sz="4" w:space="0" w:color="auto"/>
              <w:right w:val="nil"/>
            </w:tcBorders>
            <w:shd w:val="clear" w:color="auto" w:fill="auto"/>
            <w:noWrap/>
            <w:vAlign w:val="bottom"/>
            <w:hideMark/>
          </w:tcPr>
          <w:p w14:paraId="55A2794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25.4</w:t>
            </w:r>
          </w:p>
        </w:tc>
        <w:tc>
          <w:tcPr>
            <w:tcW w:w="378" w:type="pct"/>
            <w:tcBorders>
              <w:top w:val="single" w:sz="4" w:space="0" w:color="auto"/>
              <w:left w:val="nil"/>
              <w:bottom w:val="single" w:sz="4" w:space="0" w:color="auto"/>
              <w:right w:val="nil"/>
            </w:tcBorders>
            <w:shd w:val="clear" w:color="auto" w:fill="auto"/>
            <w:noWrap/>
            <w:vAlign w:val="bottom"/>
            <w:hideMark/>
          </w:tcPr>
          <w:p w14:paraId="55132BF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73.1</w:t>
            </w:r>
          </w:p>
        </w:tc>
        <w:tc>
          <w:tcPr>
            <w:tcW w:w="381" w:type="pct"/>
            <w:tcBorders>
              <w:top w:val="single" w:sz="4" w:space="0" w:color="auto"/>
              <w:left w:val="nil"/>
              <w:bottom w:val="single" w:sz="4" w:space="0" w:color="auto"/>
              <w:right w:val="nil"/>
            </w:tcBorders>
            <w:shd w:val="clear" w:color="auto" w:fill="auto"/>
            <w:noWrap/>
            <w:vAlign w:val="bottom"/>
            <w:hideMark/>
          </w:tcPr>
          <w:p w14:paraId="5B8ADC7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15.9</w:t>
            </w:r>
          </w:p>
        </w:tc>
        <w:tc>
          <w:tcPr>
            <w:tcW w:w="378" w:type="pct"/>
            <w:tcBorders>
              <w:top w:val="single" w:sz="4" w:space="0" w:color="auto"/>
              <w:left w:val="nil"/>
              <w:bottom w:val="single" w:sz="4" w:space="0" w:color="auto"/>
              <w:right w:val="nil"/>
            </w:tcBorders>
            <w:shd w:val="clear" w:color="auto" w:fill="auto"/>
            <w:noWrap/>
            <w:vAlign w:val="bottom"/>
            <w:hideMark/>
          </w:tcPr>
          <w:p w14:paraId="7939192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{"citationID":"a23kdivv6b2","properties":{"formattedCitation":"[227]","plainCitation":"[227]","noteIndex":0},"citationItems":[{"id":163,"uris":["http://zotero.org/users/12909065/items/IYKGV96E"],"itemData":{"id":163,"type":"article-journal","container-title":"Science China Chemistry","DOI":"10.1007/s11426-019-9681-8","ISSN":"1674-7291, 1869-1870","issue":"10","journalAbbreviation":"Sci. China Chem.","language":"en","page":"1461-1468","source":"DOI.org (Crossref)","title":"Non-fullerene acceptor fibrils enable efficient ternary organic solar cells with 16.6% efficiency","volume":"63","author":[{"family":"Li","given":"Donghui"},{"family":"Chen","given":"Xiaolong"},{"family":"Cai","given":"Jinglong"},{"family":"Li","given":"Wei"},{"family":"Chen","given":"Mengxue"},{"family":"Mao","given":"Yuchao"},{"family":"Du","given":"Baocai"},{"family":"Smith","given":"Joel A."},{"family":"Kilbride","given":"Rachel C."},{"family":"O’Kane","given":"Mary E."},{"family":"Zhang","given":"Xue"},{"family":"Zhuang","given":"Yuan"},{"family":"Wang","given":"Pang"},{"family":"Wang","given":"Hui"},{"family":"Liu","given":"Dan"},{"family":"Jones","given":"Richard A. L."},{"family":"Lidzey","given":"David G."},{"family":"Wang","given":"Tao"}],"issued":{"date-parts":[["2020",10]]}}}],"schema":"https://github.com/citation-style-language/schema/raw/master/csl-citation.json"}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[227]</w:t>
            </w:r>
            <w:r w:rsidRPr="00B55044">
              <w:rPr>
                <w:rFonts w:eastAsia="Times New Roman"/>
                <w:color w:val="0000FF"/>
                <w:sz w:val="16"/>
                <w:szCs w:val="16"/>
              </w:rPr>
              <w:fldChar w:fldCharType="end"/>
            </w:r>
          </w:p>
        </w:tc>
      </w:tr>
      <w:tr w:rsidR="00D47774" w:rsidRPr="00B55044" w14:paraId="1CF094F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31ABE1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434</w:t>
            </w:r>
          </w:p>
        </w:tc>
        <w:tc>
          <w:tcPr>
            <w:tcW w:w="1525" w:type="pct"/>
            <w:tcBorders>
              <w:top w:val="single" w:sz="4" w:space="0" w:color="auto"/>
              <w:left w:val="nil"/>
              <w:bottom w:val="single" w:sz="4" w:space="0" w:color="auto"/>
              <w:right w:val="nil"/>
            </w:tcBorders>
            <w:shd w:val="clear" w:color="auto" w:fill="auto"/>
            <w:noWrap/>
            <w:vAlign w:val="bottom"/>
            <w:hideMark/>
          </w:tcPr>
          <w:p w14:paraId="43FA781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7ADD724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PM6:Y6:IDMIC-4F (10%)</w:t>
            </w:r>
          </w:p>
        </w:tc>
        <w:tc>
          <w:tcPr>
            <w:tcW w:w="379" w:type="pct"/>
            <w:tcBorders>
              <w:top w:val="single" w:sz="4" w:space="0" w:color="auto"/>
              <w:left w:val="nil"/>
              <w:bottom w:val="single" w:sz="4" w:space="0" w:color="auto"/>
              <w:right w:val="nil"/>
            </w:tcBorders>
            <w:shd w:val="clear" w:color="auto" w:fill="auto"/>
            <w:noWrap/>
            <w:vAlign w:val="bottom"/>
            <w:hideMark/>
          </w:tcPr>
          <w:p w14:paraId="1C76E8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0.864</w:t>
            </w:r>
          </w:p>
        </w:tc>
        <w:tc>
          <w:tcPr>
            <w:tcW w:w="379" w:type="pct"/>
            <w:tcBorders>
              <w:top w:val="single" w:sz="4" w:space="0" w:color="auto"/>
              <w:left w:val="nil"/>
              <w:bottom w:val="single" w:sz="4" w:space="0" w:color="auto"/>
              <w:right w:val="nil"/>
            </w:tcBorders>
            <w:shd w:val="clear" w:color="auto" w:fill="auto"/>
            <w:noWrap/>
            <w:vAlign w:val="bottom"/>
            <w:hideMark/>
          </w:tcPr>
          <w:p w14:paraId="18BEE87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25.6</w:t>
            </w:r>
          </w:p>
        </w:tc>
        <w:tc>
          <w:tcPr>
            <w:tcW w:w="378" w:type="pct"/>
            <w:tcBorders>
              <w:top w:val="single" w:sz="4" w:space="0" w:color="auto"/>
              <w:left w:val="nil"/>
              <w:bottom w:val="single" w:sz="4" w:space="0" w:color="auto"/>
              <w:right w:val="nil"/>
            </w:tcBorders>
            <w:shd w:val="clear" w:color="auto" w:fill="auto"/>
            <w:noWrap/>
            <w:vAlign w:val="bottom"/>
            <w:hideMark/>
          </w:tcPr>
          <w:p w14:paraId="6EE94C1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74.2</w:t>
            </w:r>
          </w:p>
        </w:tc>
        <w:tc>
          <w:tcPr>
            <w:tcW w:w="381" w:type="pct"/>
            <w:tcBorders>
              <w:top w:val="single" w:sz="4" w:space="0" w:color="auto"/>
              <w:left w:val="nil"/>
              <w:bottom w:val="single" w:sz="4" w:space="0" w:color="auto"/>
              <w:right w:val="nil"/>
            </w:tcBorders>
            <w:shd w:val="clear" w:color="auto" w:fill="auto"/>
            <w:noWrap/>
            <w:vAlign w:val="bottom"/>
            <w:hideMark/>
          </w:tcPr>
          <w:p w14:paraId="0719CC6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w:t>
            </w:r>
          </w:p>
        </w:tc>
        <w:tc>
          <w:tcPr>
            <w:tcW w:w="378" w:type="pct"/>
            <w:tcBorders>
              <w:top w:val="single" w:sz="4" w:space="0" w:color="auto"/>
              <w:left w:val="nil"/>
              <w:bottom w:val="single" w:sz="4" w:space="0" w:color="auto"/>
              <w:right w:val="nil"/>
            </w:tcBorders>
            <w:shd w:val="clear" w:color="auto" w:fill="auto"/>
            <w:noWrap/>
            <w:vAlign w:val="bottom"/>
            <w:hideMark/>
          </w:tcPr>
          <w:p w14:paraId="03C44DF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{"citationID":"a13pht4ocks","properties":{"formattedCitation":"[227]","plainCitation":"[227]","noteIndex":0},"citationItems":[{"id":163,"uris":["http://zotero.org/users/12909065/items/IYKGV96E"],"itemData":{"id":163,"type":"article-journal","container-title":"Science China Chemistry","DOI":"10.1007/s11426-019-9681-8","ISSN":"1674-7291, 1869-1870","issue":"10","journalAbbreviation":"Sci. China Chem.","language":"en","page":"1461-1468","source":"DOI.org (Crossref)","title":"Non-fullerene acceptor fibrils enable efficient ternary organic solar cells with 16.6% efficiency","volume":"63","author":[{"family":"Li","given":"Donghui"},{"family":"Chen","given":"Xiaolong"},{"family":"Cai","given":"Jinglong"},{"family":"Li","given":"Wei"},{"family":"Chen","given":"Mengxue"},{"family":"Mao","given":"Yuchao"},{"family":"Du","given":"Baocai"},{"family":"Smith","given":"Joel A."},{"family":"Kilbride","given":"Rachel C."},{"family":"O’Kane","given":"Mary E."},{"family":"Zhang","given":"Xue"},{"family":"Zhuang","given":"Yuan"},{"family":"Wang","given":"Pang"},{"family":"Wang","given":"Hui"},{"family":"Liu","given":"Dan"},{"family":"Jones","given":"Richard A. L."},{"family":"Lidzey","given":"David G."},{"family":"Wang","given":"Tao"}],"issued":{"date-parts":[["2020",10]]}}}],"schema":"https://github.com/citation-style-language/schema/raw/master/csl-citation.json"}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[227]</w:t>
            </w:r>
            <w:r w:rsidRPr="00B55044">
              <w:rPr>
                <w:rFonts w:eastAsia="Times New Roman"/>
                <w:color w:val="0000FF"/>
                <w:sz w:val="16"/>
                <w:szCs w:val="16"/>
              </w:rPr>
              <w:fldChar w:fldCharType="end"/>
            </w:r>
          </w:p>
        </w:tc>
      </w:tr>
      <w:tr w:rsidR="00D47774" w:rsidRPr="00B55044" w14:paraId="4B135DF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48F881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435</w:t>
            </w:r>
          </w:p>
        </w:tc>
        <w:tc>
          <w:tcPr>
            <w:tcW w:w="1525" w:type="pct"/>
            <w:tcBorders>
              <w:top w:val="single" w:sz="4" w:space="0" w:color="auto"/>
              <w:left w:val="nil"/>
              <w:bottom w:val="single" w:sz="4" w:space="0" w:color="auto"/>
              <w:right w:val="nil"/>
            </w:tcBorders>
            <w:shd w:val="clear" w:color="auto" w:fill="auto"/>
            <w:noWrap/>
            <w:vAlign w:val="bottom"/>
            <w:hideMark/>
          </w:tcPr>
          <w:p w14:paraId="2164DBA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354C8FA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PM6:Y6:IDMIC-4F (15%)</w:t>
            </w:r>
          </w:p>
        </w:tc>
        <w:tc>
          <w:tcPr>
            <w:tcW w:w="379" w:type="pct"/>
            <w:tcBorders>
              <w:top w:val="single" w:sz="4" w:space="0" w:color="auto"/>
              <w:left w:val="nil"/>
              <w:bottom w:val="single" w:sz="4" w:space="0" w:color="auto"/>
              <w:right w:val="nil"/>
            </w:tcBorders>
            <w:shd w:val="clear" w:color="auto" w:fill="auto"/>
            <w:noWrap/>
            <w:vAlign w:val="bottom"/>
            <w:hideMark/>
          </w:tcPr>
          <w:p w14:paraId="5530EE8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0.867</w:t>
            </w:r>
          </w:p>
        </w:tc>
        <w:tc>
          <w:tcPr>
            <w:tcW w:w="379" w:type="pct"/>
            <w:tcBorders>
              <w:top w:val="single" w:sz="4" w:space="0" w:color="auto"/>
              <w:left w:val="nil"/>
              <w:bottom w:val="single" w:sz="4" w:space="0" w:color="auto"/>
              <w:right w:val="nil"/>
            </w:tcBorders>
            <w:shd w:val="clear" w:color="auto" w:fill="auto"/>
            <w:noWrap/>
            <w:vAlign w:val="bottom"/>
            <w:hideMark/>
          </w:tcPr>
          <w:p w14:paraId="513AEB6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24.8</w:t>
            </w:r>
          </w:p>
        </w:tc>
        <w:tc>
          <w:tcPr>
            <w:tcW w:w="378" w:type="pct"/>
            <w:tcBorders>
              <w:top w:val="single" w:sz="4" w:space="0" w:color="auto"/>
              <w:left w:val="nil"/>
              <w:bottom w:val="single" w:sz="4" w:space="0" w:color="auto"/>
              <w:right w:val="nil"/>
            </w:tcBorders>
            <w:shd w:val="clear" w:color="auto" w:fill="auto"/>
            <w:noWrap/>
            <w:vAlign w:val="bottom"/>
            <w:hideMark/>
          </w:tcPr>
          <w:p w14:paraId="5C66E4F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73.9</w:t>
            </w:r>
          </w:p>
        </w:tc>
        <w:tc>
          <w:tcPr>
            <w:tcW w:w="381" w:type="pct"/>
            <w:tcBorders>
              <w:top w:val="single" w:sz="4" w:space="0" w:color="auto"/>
              <w:left w:val="nil"/>
              <w:bottom w:val="single" w:sz="4" w:space="0" w:color="auto"/>
              <w:right w:val="nil"/>
            </w:tcBorders>
            <w:shd w:val="clear" w:color="auto" w:fill="auto"/>
            <w:noWrap/>
            <w:vAlign w:val="bottom"/>
            <w:hideMark/>
          </w:tcPr>
          <w:p w14:paraId="726B3AF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15.8</w:t>
            </w:r>
          </w:p>
        </w:tc>
        <w:tc>
          <w:tcPr>
            <w:tcW w:w="378" w:type="pct"/>
            <w:tcBorders>
              <w:top w:val="single" w:sz="4" w:space="0" w:color="auto"/>
              <w:left w:val="nil"/>
              <w:bottom w:val="single" w:sz="4" w:space="0" w:color="auto"/>
              <w:right w:val="nil"/>
            </w:tcBorders>
            <w:shd w:val="clear" w:color="auto" w:fill="auto"/>
            <w:noWrap/>
            <w:vAlign w:val="bottom"/>
            <w:hideMark/>
          </w:tcPr>
          <w:p w14:paraId="16C2D28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{"citationID":"a1mgeftj8ur","properties":{"formattedCitation":"[227]","plainCitation":"[227]","noteIndex":0},"citationItems":[{"id":163,"uris":["http://zotero.org/users/12909065/items/IYKGV96E"],"itemData":{"id":163,"type":"article-journal","container-title":"Science China Chemistry","DOI":"10.1007/s11426-019-9681-8","ISSN":"1674-7291, 1869-1870","issue":"10","journalAbbreviation":"Sci. China Chem.","language":"en","page":"1461-1468","source":"DOI.org (Crossref)","title":"Non-fullerene acceptor fibrils enable efficient ternary organic solar cells with 16.6% efficiency","volume":"63","author":[{"family":"Li","given":"Donghui"},{"family":"Chen","given":"Xiaolong"},{"family":"Cai","given":"Jinglong"},{"family":"Li","given":"Wei"},{"family":"Chen","given":"Mengxue"},{"family":"Mao","given":"Yuchao"},{"family":"Du","given":"Baocai"},{"family":"Smith","given":"Joel A."},{"family":"Kilbride","given":"Rachel C."},{"family":"O’Kane","given":"Mary E."},{"family":"Zhang","given":"Xue"},{"family":"Zhuang","given":"Yuan"},{"family":"Wang","given":"Pang"},{"family":"Wang","given":"Hui"},{"family":"Liu","given":"Dan"},{"family":"Jones","given":"Richard A. L."},{"family":"Lidzey","given":"David G."},{"family":"Wang","given":"Tao"}],"issued":{"date-parts":[["2020",10]]}}}],"schema":"https://github.com/citation-style-language/schema/raw/master/csl-citation.json"}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[227]</w:t>
            </w:r>
            <w:r w:rsidRPr="00B55044">
              <w:rPr>
                <w:rFonts w:eastAsia="Times New Roman"/>
                <w:color w:val="0000FF"/>
                <w:sz w:val="16"/>
                <w:szCs w:val="16"/>
              </w:rPr>
              <w:fldChar w:fldCharType="end"/>
            </w:r>
          </w:p>
        </w:tc>
      </w:tr>
      <w:tr w:rsidR="00D47774" w:rsidRPr="00B55044" w14:paraId="37D2435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1095753"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436</w:t>
            </w:r>
          </w:p>
        </w:tc>
        <w:tc>
          <w:tcPr>
            <w:tcW w:w="1525" w:type="pct"/>
            <w:tcBorders>
              <w:top w:val="single" w:sz="4" w:space="0" w:color="auto"/>
              <w:left w:val="nil"/>
              <w:bottom w:val="single" w:sz="4" w:space="0" w:color="auto"/>
              <w:right w:val="nil"/>
            </w:tcBorders>
            <w:shd w:val="clear" w:color="auto" w:fill="auto"/>
            <w:noWrap/>
            <w:vAlign w:val="bottom"/>
            <w:hideMark/>
          </w:tcPr>
          <w:p w14:paraId="1E67EFA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1460E39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PM6:Y6:IDMIC-4F (20%)</w:t>
            </w:r>
          </w:p>
        </w:tc>
        <w:tc>
          <w:tcPr>
            <w:tcW w:w="379" w:type="pct"/>
            <w:tcBorders>
              <w:top w:val="single" w:sz="4" w:space="0" w:color="auto"/>
              <w:left w:val="nil"/>
              <w:bottom w:val="single" w:sz="4" w:space="0" w:color="auto"/>
              <w:right w:val="nil"/>
            </w:tcBorders>
            <w:shd w:val="clear" w:color="auto" w:fill="auto"/>
            <w:noWrap/>
            <w:vAlign w:val="bottom"/>
            <w:hideMark/>
          </w:tcPr>
          <w:p w14:paraId="64079AC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0.876</w:t>
            </w:r>
          </w:p>
        </w:tc>
        <w:tc>
          <w:tcPr>
            <w:tcW w:w="379" w:type="pct"/>
            <w:tcBorders>
              <w:top w:val="single" w:sz="4" w:space="0" w:color="auto"/>
              <w:left w:val="nil"/>
              <w:bottom w:val="single" w:sz="4" w:space="0" w:color="auto"/>
              <w:right w:val="nil"/>
            </w:tcBorders>
            <w:shd w:val="clear" w:color="auto" w:fill="auto"/>
            <w:noWrap/>
            <w:vAlign w:val="bottom"/>
            <w:hideMark/>
          </w:tcPr>
          <w:p w14:paraId="12C9A15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24.1</w:t>
            </w:r>
          </w:p>
        </w:tc>
        <w:tc>
          <w:tcPr>
            <w:tcW w:w="378" w:type="pct"/>
            <w:tcBorders>
              <w:top w:val="single" w:sz="4" w:space="0" w:color="auto"/>
              <w:left w:val="nil"/>
              <w:bottom w:val="single" w:sz="4" w:space="0" w:color="auto"/>
              <w:right w:val="nil"/>
            </w:tcBorders>
            <w:shd w:val="clear" w:color="auto" w:fill="auto"/>
            <w:noWrap/>
            <w:vAlign w:val="bottom"/>
            <w:hideMark/>
          </w:tcPr>
          <w:p w14:paraId="5C3FEA7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71.8</w:t>
            </w:r>
          </w:p>
        </w:tc>
        <w:tc>
          <w:tcPr>
            <w:tcW w:w="381" w:type="pct"/>
            <w:tcBorders>
              <w:top w:val="single" w:sz="4" w:space="0" w:color="auto"/>
              <w:left w:val="nil"/>
              <w:bottom w:val="single" w:sz="4" w:space="0" w:color="auto"/>
              <w:right w:val="nil"/>
            </w:tcBorders>
            <w:shd w:val="clear" w:color="auto" w:fill="auto"/>
            <w:noWrap/>
            <w:vAlign w:val="bottom"/>
            <w:hideMark/>
          </w:tcPr>
          <w:p w14:paraId="1B1298D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14.8</w:t>
            </w:r>
          </w:p>
        </w:tc>
        <w:tc>
          <w:tcPr>
            <w:tcW w:w="378" w:type="pct"/>
            <w:tcBorders>
              <w:top w:val="single" w:sz="4" w:space="0" w:color="auto"/>
              <w:left w:val="nil"/>
              <w:bottom w:val="single" w:sz="4" w:space="0" w:color="auto"/>
              <w:right w:val="nil"/>
            </w:tcBorders>
            <w:shd w:val="clear" w:color="auto" w:fill="auto"/>
            <w:noWrap/>
            <w:vAlign w:val="bottom"/>
            <w:hideMark/>
          </w:tcPr>
          <w:p w14:paraId="337F5AF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{"citationID":"al25pklvff","properties":{"formattedCitation":"[227]","plainCitation":"[227]","noteIndex":0},"citationItems":[{"id":163,"uris":["http://zotero.org/users/12909065/items/IYKGV96E"],"itemData":{"id":163,"type":"article-journal","container-title":"Science China Chemistry","DOI":"10.1007/s11426-019-9681-8","ISSN":"1674-7291, 1869-1870","issue":"10","journalAbbreviation":"Sci. China Chem.","language":"en","page":"1461-1468","source":"DOI.org (Crossref)","title":"Non-fullerene acceptor fibrils enable efficient ternary organic solar cells with 16.6% efficiency","volume":"63","author":[{"family":"Li","given":"Donghui"},{"family":"Chen","given":"Xiaolong"},{"family":"Cai","given":"Jinglong"},{"family":"Li","given":"Wei"},{"family":"Chen","given":"Mengxue"},{"family":"Mao","given":"Yuchao"},{"family":"Du","given":"Baocai"},{"family":"Smith","given":"Joel A."},{"family":"Kilbride","given":"Rachel C."},{"family":"O’Kane","given":"Mary E."},{"family":"Zhang","given":"Xue"},{"family":"Zhuang","given":"Yuan"},{"family":"Wang","given":"Pang"},{"family":"Wang","given":"Hui"},{"family":"Liu","given":"Dan"},{"family":"Jones","given":"Richard A. L."},{"family":"Lidzey","given":"David G."},{"family":"Wang","given":"Tao"}],"issued":{"date-parts":[["2020",10]]}}}],"schema":"https://github.com/citation-style-language/schema/raw/master/csl-citation.json"}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[227]</w:t>
            </w:r>
            <w:r w:rsidRPr="00B55044">
              <w:rPr>
                <w:rFonts w:eastAsia="Times New Roman"/>
                <w:color w:val="0000FF"/>
                <w:sz w:val="16"/>
                <w:szCs w:val="16"/>
              </w:rPr>
              <w:fldChar w:fldCharType="end"/>
            </w:r>
          </w:p>
        </w:tc>
      </w:tr>
      <w:tr w:rsidR="00D47774" w:rsidRPr="00B55044" w14:paraId="4037477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86D8F7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437</w:t>
            </w:r>
          </w:p>
        </w:tc>
        <w:tc>
          <w:tcPr>
            <w:tcW w:w="1525" w:type="pct"/>
            <w:tcBorders>
              <w:top w:val="single" w:sz="4" w:space="0" w:color="auto"/>
              <w:left w:val="nil"/>
              <w:bottom w:val="single" w:sz="4" w:space="0" w:color="auto"/>
              <w:right w:val="nil"/>
            </w:tcBorders>
            <w:shd w:val="clear" w:color="auto" w:fill="auto"/>
            <w:noWrap/>
            <w:vAlign w:val="bottom"/>
            <w:hideMark/>
          </w:tcPr>
          <w:p w14:paraId="3E25603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3AE8AFE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PM6:Y6:PhI-Th</w:t>
            </w:r>
          </w:p>
        </w:tc>
        <w:tc>
          <w:tcPr>
            <w:tcW w:w="379" w:type="pct"/>
            <w:tcBorders>
              <w:top w:val="single" w:sz="4" w:space="0" w:color="auto"/>
              <w:left w:val="nil"/>
              <w:bottom w:val="single" w:sz="4" w:space="0" w:color="auto"/>
              <w:right w:val="nil"/>
            </w:tcBorders>
            <w:shd w:val="clear" w:color="auto" w:fill="auto"/>
            <w:noWrap/>
            <w:vAlign w:val="bottom"/>
            <w:hideMark/>
          </w:tcPr>
          <w:p w14:paraId="0BB0811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0.838</w:t>
            </w:r>
          </w:p>
        </w:tc>
        <w:tc>
          <w:tcPr>
            <w:tcW w:w="379" w:type="pct"/>
            <w:tcBorders>
              <w:top w:val="single" w:sz="4" w:space="0" w:color="auto"/>
              <w:left w:val="nil"/>
              <w:bottom w:val="single" w:sz="4" w:space="0" w:color="auto"/>
              <w:right w:val="nil"/>
            </w:tcBorders>
            <w:shd w:val="clear" w:color="auto" w:fill="auto"/>
            <w:noWrap/>
            <w:vAlign w:val="bottom"/>
            <w:hideMark/>
          </w:tcPr>
          <w:p w14:paraId="0D5613B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25.9</w:t>
            </w:r>
          </w:p>
        </w:tc>
        <w:tc>
          <w:tcPr>
            <w:tcW w:w="378" w:type="pct"/>
            <w:tcBorders>
              <w:top w:val="single" w:sz="4" w:space="0" w:color="auto"/>
              <w:left w:val="nil"/>
              <w:bottom w:val="single" w:sz="4" w:space="0" w:color="auto"/>
              <w:right w:val="nil"/>
            </w:tcBorders>
            <w:shd w:val="clear" w:color="auto" w:fill="auto"/>
            <w:noWrap/>
            <w:vAlign w:val="bottom"/>
            <w:hideMark/>
          </w:tcPr>
          <w:p w14:paraId="3A3F600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71.8</w:t>
            </w:r>
          </w:p>
        </w:tc>
        <w:tc>
          <w:tcPr>
            <w:tcW w:w="381" w:type="pct"/>
            <w:tcBorders>
              <w:top w:val="single" w:sz="4" w:space="0" w:color="auto"/>
              <w:left w:val="nil"/>
              <w:bottom w:val="single" w:sz="4" w:space="0" w:color="auto"/>
              <w:right w:val="nil"/>
            </w:tcBorders>
            <w:shd w:val="clear" w:color="auto" w:fill="auto"/>
            <w:noWrap/>
            <w:vAlign w:val="bottom"/>
            <w:hideMark/>
          </w:tcPr>
          <w:p w14:paraId="2C547CE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15.6</w:t>
            </w:r>
          </w:p>
        </w:tc>
        <w:tc>
          <w:tcPr>
            <w:tcW w:w="378" w:type="pct"/>
            <w:tcBorders>
              <w:top w:val="single" w:sz="4" w:space="0" w:color="auto"/>
              <w:left w:val="nil"/>
              <w:bottom w:val="single" w:sz="4" w:space="0" w:color="auto"/>
              <w:right w:val="nil"/>
            </w:tcBorders>
            <w:shd w:val="clear" w:color="auto" w:fill="auto"/>
            <w:noWrap/>
            <w:vAlign w:val="bottom"/>
            <w:hideMark/>
          </w:tcPr>
          <w:p w14:paraId="4048B43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{"citationID":"a1b6sc44iq7","properties":{"formattedCitation":"[228]","plainCitation":"[228]","noteIndex":0},"citationItems":[{"id":162,"uris":["http://zotero.org/users/12909065/items/7SHMTMII"],"itemData":{"id":162,"type":"article-journal","abstract":"Ternary strategies show over 16% efficiencies with increased current/voltage owing to complementary absorption/aligned energy level contributions. However, poor understanding of how the guest components tune the active layer structures still makes rational selection of material systems challenging. In this study, two phthalimide based ultrawide bandgap polymer donor guests are synthesized. Parallel energies between the highest occupied molecular orbitals of host and guest polymers are achieved via incorporating selnophene on the guest polymer. Solid-state 19F magic angle spinning nuclear magnetic spectroscopy, graze-incidence wide-angle X-ray diffraction, elemental transmission electron microscopy mapping, and transient absorption spectroscopy are combined to characterize the active layer structures. Formation of the individual guest phases selectively improves the structural order of donor and acceptor phase. The increased electron mobility in combination with the presence of the additional paths made by the guest not only minimizes the influence on charge generation and transport of the host system but also contributes to increasing the overall current generation. Therefore, phthalimide based polymers can be potential candidates that enable the simultaneous increase of open-circuit voltage and short-circuit current-density via fine-tuning energy levels and the formation of additional paths for enhancing current generation in parallel-like multicomponent organic solar cells.","container-title":"Advanced Energy Materials","DOI":"10.1002/aenm.202001436","ISSN":"1614-6840","issue":"32","language":"en","license":"© 2020 WILEY-VCH Verlag GmbH &amp; Co. KGaA, Weinheim","note":"_eprint: https://onlinelibrary.wiley.com/doi/pdf/10.1002/aenm.202001436","page":"2001436","source":"Wiley Online Library","title":"Phthalimide Polymer Donor Guests Enable over 17% Efficient Organic Solar Cells via Parallel-Like Ternary and Quaternary Strategies","volume":"10","author":[{"family":"Zhang","given":"Weichao"},{"family":"Huang","given":"Jianhua"},{"family":"Xu","given":"Jianqiu"},{"family":"Han","given":"Mingmei"},{"family":"Su","given":"Dan"},{"family":"Wu","given":"Ningning"},{"family":"Zhang","given":"Chunfeng"},{"family":"Xu","given":"Aiju"},{"family":"Zhan","given":"Chuanlang"}],"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[228]</w:t>
            </w:r>
            <w:r w:rsidRPr="00B55044">
              <w:rPr>
                <w:rFonts w:eastAsia="Times New Roman"/>
                <w:color w:val="0000FF"/>
                <w:sz w:val="16"/>
                <w:szCs w:val="16"/>
              </w:rPr>
              <w:fldChar w:fldCharType="end"/>
            </w:r>
          </w:p>
        </w:tc>
      </w:tr>
      <w:tr w:rsidR="00D47774" w:rsidRPr="00B55044" w14:paraId="79AED84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3BDD97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438</w:t>
            </w:r>
          </w:p>
        </w:tc>
        <w:tc>
          <w:tcPr>
            <w:tcW w:w="1525" w:type="pct"/>
            <w:tcBorders>
              <w:top w:val="single" w:sz="4" w:space="0" w:color="auto"/>
              <w:left w:val="nil"/>
              <w:bottom w:val="single" w:sz="4" w:space="0" w:color="auto"/>
              <w:right w:val="nil"/>
            </w:tcBorders>
            <w:shd w:val="clear" w:color="auto" w:fill="auto"/>
            <w:noWrap/>
            <w:vAlign w:val="bottom"/>
            <w:hideMark/>
          </w:tcPr>
          <w:p w14:paraId="454C119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124B3DD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PM6:Y6:PhI-Se</w:t>
            </w:r>
          </w:p>
        </w:tc>
        <w:tc>
          <w:tcPr>
            <w:tcW w:w="379" w:type="pct"/>
            <w:tcBorders>
              <w:top w:val="single" w:sz="4" w:space="0" w:color="auto"/>
              <w:left w:val="nil"/>
              <w:bottom w:val="single" w:sz="4" w:space="0" w:color="auto"/>
              <w:right w:val="nil"/>
            </w:tcBorders>
            <w:shd w:val="clear" w:color="auto" w:fill="auto"/>
            <w:noWrap/>
            <w:vAlign w:val="bottom"/>
            <w:hideMark/>
          </w:tcPr>
          <w:p w14:paraId="6B8F801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0.845</w:t>
            </w:r>
          </w:p>
        </w:tc>
        <w:tc>
          <w:tcPr>
            <w:tcW w:w="379" w:type="pct"/>
            <w:tcBorders>
              <w:top w:val="single" w:sz="4" w:space="0" w:color="auto"/>
              <w:left w:val="nil"/>
              <w:bottom w:val="single" w:sz="4" w:space="0" w:color="auto"/>
              <w:right w:val="nil"/>
            </w:tcBorders>
            <w:shd w:val="clear" w:color="auto" w:fill="auto"/>
            <w:noWrap/>
            <w:vAlign w:val="bottom"/>
            <w:hideMark/>
          </w:tcPr>
          <w:p w14:paraId="7B312A1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25.7</w:t>
            </w:r>
          </w:p>
        </w:tc>
        <w:tc>
          <w:tcPr>
            <w:tcW w:w="378" w:type="pct"/>
            <w:tcBorders>
              <w:top w:val="single" w:sz="4" w:space="0" w:color="auto"/>
              <w:left w:val="nil"/>
              <w:bottom w:val="single" w:sz="4" w:space="0" w:color="auto"/>
              <w:right w:val="nil"/>
            </w:tcBorders>
            <w:shd w:val="clear" w:color="auto" w:fill="auto"/>
            <w:noWrap/>
            <w:vAlign w:val="bottom"/>
            <w:hideMark/>
          </w:tcPr>
          <w:p w14:paraId="2829E3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75.5</w:t>
            </w:r>
          </w:p>
        </w:tc>
        <w:tc>
          <w:tcPr>
            <w:tcW w:w="381" w:type="pct"/>
            <w:tcBorders>
              <w:top w:val="single" w:sz="4" w:space="0" w:color="auto"/>
              <w:left w:val="nil"/>
              <w:bottom w:val="single" w:sz="4" w:space="0" w:color="auto"/>
              <w:right w:val="nil"/>
            </w:tcBorders>
            <w:shd w:val="clear" w:color="auto" w:fill="auto"/>
            <w:noWrap/>
            <w:vAlign w:val="bottom"/>
            <w:hideMark/>
          </w:tcPr>
          <w:p w14:paraId="6A0C18B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w:t>
            </w:r>
          </w:p>
        </w:tc>
        <w:tc>
          <w:tcPr>
            <w:tcW w:w="378" w:type="pct"/>
            <w:tcBorders>
              <w:top w:val="single" w:sz="4" w:space="0" w:color="auto"/>
              <w:left w:val="nil"/>
              <w:bottom w:val="single" w:sz="4" w:space="0" w:color="auto"/>
              <w:right w:val="nil"/>
            </w:tcBorders>
            <w:shd w:val="clear" w:color="auto" w:fill="auto"/>
            <w:noWrap/>
            <w:vAlign w:val="bottom"/>
            <w:hideMark/>
          </w:tcPr>
          <w:p w14:paraId="6D1C81D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{"citationID":"a243bminr6v","properties":{"formattedCitation":"[228]","plainCitation":"[228]","noteIndex":0},"citationItems":[{"id":162,"uris":["http://zotero.org/users/12909065/items/7SHMTMII"],"itemData":{"id":162,"type":"article-journal","abstract":"Ternary strategies show over 16% efficiencies with increased current/voltage owing to complementary absorption/aligned energy level contributions. However, poor understanding of how the guest components tune the active layer structures still makes rational selection of material systems challenging. In this study, two phthalimide based ultrawide bandgap polymer donor guests are synthesized. Parallel energies between the highest occupied molecular orbitals of host and guest polymers are achieved via incorporating selnophene on the guest polymer. Solid-state 19F magic angle spinning nuclear magnetic spectroscopy, graze-incidence wide-angle X-ray diffraction, elemental transmission electron microscopy mapping, and transient absorption spectroscopy are combined to characterize the active layer structures. Formation of the individual guest phases selectively improves the structural order of donor and acceptor phase. The increased electron mobility in combination with the presence of the additional paths made by the guest not only minimizes the influence on charge generation and transport of the host system but also contributes to increasing the overall current generation. Therefore, phthalimide based polymers can be potential candidates that enable the simultaneous increase of open-circuit voltage and short-circuit current-density via fine-tuning energy levels and the formation of additional paths for enhancing current generation in parallel-like multicomponent organic solar cells.","container-title":"Advanced Energy Materials","DOI":"10.1002/aenm.202001436","ISSN":"1614-6840","issue":"32","language":"en","license":"© 2020 WILEY-VCH Verlag GmbH &amp; Co. KGaA, Weinheim","note":"_eprint: https://onlinelibrary.wiley.com/doi/pdf/10.1002/aenm.202001436","page":"2001436","source":"Wiley Online Library","title":"Phthalimide Polymer Donor Guests Enable over 17% Efficient Organic Solar Cells via Parallel-Like Ternary and Quaternary Strategies","volume":"10","author":[{"family":"Zhang","given":"Weichao"},{"family":"Huang","given":"Jianhua"},{"family":"Xu","given":"Jianqiu"},{"family":"Han","given":"Mingmei"},{"family":"Su","given":"Dan"},{"family":"Wu","given":"Ningning"},{"family":"Zhang","given":"Chunfeng"},{"family":"Xu","given":"Aiju"},{"family":"Zhan","given":"Chuanlang"}],"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[228]</w:t>
            </w:r>
            <w:r w:rsidRPr="00B55044">
              <w:rPr>
                <w:rFonts w:eastAsia="Times New Roman"/>
                <w:color w:val="0000FF"/>
                <w:sz w:val="16"/>
                <w:szCs w:val="16"/>
              </w:rPr>
              <w:fldChar w:fldCharType="end"/>
            </w:r>
          </w:p>
        </w:tc>
      </w:tr>
      <w:tr w:rsidR="00D47774" w:rsidRPr="00B55044" w14:paraId="53845B5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3ABB8F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439</w:t>
            </w:r>
          </w:p>
        </w:tc>
        <w:tc>
          <w:tcPr>
            <w:tcW w:w="1525" w:type="pct"/>
            <w:tcBorders>
              <w:top w:val="single" w:sz="4" w:space="0" w:color="auto"/>
              <w:left w:val="nil"/>
              <w:bottom w:val="single" w:sz="4" w:space="0" w:color="auto"/>
              <w:right w:val="nil"/>
            </w:tcBorders>
            <w:shd w:val="clear" w:color="auto" w:fill="auto"/>
            <w:noWrap/>
            <w:vAlign w:val="bottom"/>
            <w:hideMark/>
          </w:tcPr>
          <w:p w14:paraId="2DE2C25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6F46D78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0BC63D6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0.852</w:t>
            </w:r>
          </w:p>
        </w:tc>
        <w:tc>
          <w:tcPr>
            <w:tcW w:w="379" w:type="pct"/>
            <w:tcBorders>
              <w:top w:val="single" w:sz="4" w:space="0" w:color="auto"/>
              <w:left w:val="nil"/>
              <w:bottom w:val="single" w:sz="4" w:space="0" w:color="auto"/>
              <w:right w:val="nil"/>
            </w:tcBorders>
            <w:shd w:val="clear" w:color="auto" w:fill="auto"/>
            <w:noWrap/>
            <w:vAlign w:val="bottom"/>
            <w:hideMark/>
          </w:tcPr>
          <w:p w14:paraId="4F2EE55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25.5</w:t>
            </w:r>
          </w:p>
        </w:tc>
        <w:tc>
          <w:tcPr>
            <w:tcW w:w="378" w:type="pct"/>
            <w:tcBorders>
              <w:top w:val="single" w:sz="4" w:space="0" w:color="auto"/>
              <w:left w:val="nil"/>
              <w:bottom w:val="single" w:sz="4" w:space="0" w:color="auto"/>
              <w:right w:val="nil"/>
            </w:tcBorders>
            <w:shd w:val="clear" w:color="auto" w:fill="auto"/>
            <w:noWrap/>
            <w:vAlign w:val="bottom"/>
            <w:hideMark/>
          </w:tcPr>
          <w:p w14:paraId="5521590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76.9</w:t>
            </w:r>
          </w:p>
        </w:tc>
        <w:tc>
          <w:tcPr>
            <w:tcW w:w="381" w:type="pct"/>
            <w:tcBorders>
              <w:top w:val="single" w:sz="4" w:space="0" w:color="auto"/>
              <w:left w:val="nil"/>
              <w:bottom w:val="single" w:sz="4" w:space="0" w:color="auto"/>
              <w:right w:val="nil"/>
            </w:tcBorders>
            <w:shd w:val="clear" w:color="auto" w:fill="auto"/>
            <w:noWrap/>
            <w:vAlign w:val="bottom"/>
            <w:hideMark/>
          </w:tcPr>
          <w:p w14:paraId="7B6054C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16.7</w:t>
            </w:r>
          </w:p>
        </w:tc>
        <w:tc>
          <w:tcPr>
            <w:tcW w:w="378" w:type="pct"/>
            <w:tcBorders>
              <w:top w:val="single" w:sz="4" w:space="0" w:color="auto"/>
              <w:left w:val="nil"/>
              <w:bottom w:val="single" w:sz="4" w:space="0" w:color="auto"/>
              <w:right w:val="nil"/>
            </w:tcBorders>
            <w:shd w:val="clear" w:color="auto" w:fill="auto"/>
            <w:noWrap/>
            <w:vAlign w:val="bottom"/>
            <w:hideMark/>
          </w:tcPr>
          <w:p w14:paraId="39A03E5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{"citationID":"a1mrjjou42l","properties":{"formattedCitation":"[228]","plainCitation":"[228]","noteIndex":0},"citationItems":[{"id":162,"uris":["http://zotero.org/users/12909065/items/7SHMTMII"],"itemData":{"id":162,"type":"article-journal","abstract":"Ternary strategies show over 16% efficiencies with increased current/voltage owing to complementary absorption/aligned energy level contributions. However, poor understanding of how the guest components tune the active layer structures still makes rational selection of material systems challenging. In this study, two phthalimide based ultrawide bandgap polymer donor guests are synthesized. Parallel energies between the highest occupied molecular orbitals of host and guest polymers are achieved via incorporating selnophene on the guest polymer. Solid-state 19F magic angle spinning nuclear magnetic spectroscopy, graze-incidence wide-angle X-ray diffraction, elemental transmission electron microscopy mapping, and transient absorption spectroscopy are combined to characterize the active layer structures. Formation of the individual guest phases selectively improves the structural order of donor and acceptor phase. The increased electron mobility in combination with the presence of the additional paths made by the guest not only minimizes the influence on charge generation and transport of the host system but also contributes to increasing the overall current generation. Therefore, phthalimide based polymers can be potential candidates that enable the simultaneous increase of open-circuit voltage and short-circuit current-density via fine-tuning energy levels and the formation of additional paths for enhancing current generation in parallel-like multicomponent organic solar cells.","container-title":"Advanced Energy Materials","DOI":"10.1002/aenm.202001436","ISSN":"1614-6840","issue":"32","language":"en","license":"© 2020 WILEY-VCH Verlag GmbH &amp; Co. KGaA, Weinheim","note":"_eprint: https://onlinelibrary.wiley.com/doi/pdf/10.1002/aenm.202001436","page":"2001436","source":"Wiley Online Library","title":"Phthalimide Polymer Donor Guests Enable over 17% Efficient Organic Solar Cells via Parallel-Like Ternary and Quaternary Strategies","volume":"10","author":[{"family":"Zhang","given":"Weichao"},{"family":"Huang","given":"Jianhua"},{"family":"Xu","given":"Jianqiu"},{"family":"Han","given":"Mingmei"},{"family":"Su","given":"Dan"},{"family":"Wu","given":"Ningning"},{"family":"Zhang","given":"Chunfeng"},{"family":"Xu","given":"Aiju"},{"family":"Zhan","given":"Chuanlang"}],"issued":{"date-parts":[["2020"]]}}}],"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[228]</w:t>
            </w:r>
            <w:r w:rsidRPr="00B55044">
              <w:rPr>
                <w:rFonts w:eastAsia="Times New Roman"/>
                <w:color w:val="0000FF"/>
                <w:sz w:val="16"/>
                <w:szCs w:val="16"/>
              </w:rPr>
              <w:fldChar w:fldCharType="end"/>
            </w:r>
          </w:p>
        </w:tc>
      </w:tr>
      <w:tr w:rsidR="00D47774" w:rsidRPr="00B55044" w14:paraId="3E5D580A"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7B1A46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440</w:t>
            </w:r>
          </w:p>
        </w:tc>
        <w:tc>
          <w:tcPr>
            <w:tcW w:w="1525" w:type="pct"/>
            <w:tcBorders>
              <w:top w:val="single" w:sz="4" w:space="0" w:color="auto"/>
              <w:left w:val="nil"/>
              <w:bottom w:val="single" w:sz="4" w:space="0" w:color="auto"/>
              <w:right w:val="nil"/>
            </w:tcBorders>
            <w:shd w:val="clear" w:color="auto" w:fill="auto"/>
            <w:noWrap/>
            <w:vAlign w:val="bottom"/>
            <w:hideMark/>
          </w:tcPr>
          <w:p w14:paraId="14FCBDF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3F0F74B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PM6:J71 (10%):Br-ITIC</w:t>
            </w:r>
          </w:p>
        </w:tc>
        <w:tc>
          <w:tcPr>
            <w:tcW w:w="379" w:type="pct"/>
            <w:tcBorders>
              <w:top w:val="single" w:sz="4" w:space="0" w:color="auto"/>
              <w:left w:val="nil"/>
              <w:bottom w:val="single" w:sz="4" w:space="0" w:color="auto"/>
              <w:right w:val="nil"/>
            </w:tcBorders>
            <w:shd w:val="clear" w:color="auto" w:fill="auto"/>
            <w:noWrap/>
            <w:vAlign w:val="bottom"/>
            <w:hideMark/>
          </w:tcPr>
          <w:p w14:paraId="4EFD196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0.933</w:t>
            </w:r>
          </w:p>
        </w:tc>
        <w:tc>
          <w:tcPr>
            <w:tcW w:w="379" w:type="pct"/>
            <w:tcBorders>
              <w:top w:val="single" w:sz="4" w:space="0" w:color="auto"/>
              <w:left w:val="nil"/>
              <w:bottom w:val="single" w:sz="4" w:space="0" w:color="auto"/>
              <w:right w:val="nil"/>
            </w:tcBorders>
            <w:shd w:val="clear" w:color="auto" w:fill="auto"/>
            <w:noWrap/>
            <w:vAlign w:val="bottom"/>
            <w:hideMark/>
          </w:tcPr>
          <w:p w14:paraId="5EC4292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19.01</w:t>
            </w:r>
          </w:p>
        </w:tc>
        <w:tc>
          <w:tcPr>
            <w:tcW w:w="378" w:type="pct"/>
            <w:tcBorders>
              <w:top w:val="single" w:sz="4" w:space="0" w:color="auto"/>
              <w:left w:val="nil"/>
              <w:bottom w:val="single" w:sz="4" w:space="0" w:color="auto"/>
              <w:right w:val="nil"/>
            </w:tcBorders>
            <w:shd w:val="clear" w:color="auto" w:fill="auto"/>
            <w:noWrap/>
            <w:vAlign w:val="bottom"/>
            <w:hideMark/>
          </w:tcPr>
          <w:p w14:paraId="266AD75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76.6</w:t>
            </w:r>
          </w:p>
        </w:tc>
        <w:tc>
          <w:tcPr>
            <w:tcW w:w="381" w:type="pct"/>
            <w:tcBorders>
              <w:top w:val="single" w:sz="4" w:space="0" w:color="auto"/>
              <w:left w:val="nil"/>
              <w:bottom w:val="single" w:sz="4" w:space="0" w:color="auto"/>
              <w:right w:val="nil"/>
            </w:tcBorders>
            <w:shd w:val="clear" w:color="auto" w:fill="auto"/>
            <w:noWrap/>
            <w:vAlign w:val="bottom"/>
            <w:hideMark/>
          </w:tcPr>
          <w:p w14:paraId="6BD4043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13.58</w:t>
            </w:r>
          </w:p>
        </w:tc>
        <w:tc>
          <w:tcPr>
            <w:tcW w:w="378" w:type="pct"/>
            <w:tcBorders>
              <w:top w:val="single" w:sz="4" w:space="0" w:color="auto"/>
              <w:left w:val="nil"/>
              <w:bottom w:val="single" w:sz="4" w:space="0" w:color="auto"/>
              <w:right w:val="nil"/>
            </w:tcBorders>
            <w:shd w:val="clear" w:color="auto" w:fill="auto"/>
            <w:noWrap/>
            <w:vAlign w:val="bottom"/>
            <w:hideMark/>
          </w:tcPr>
          <w:p w14:paraId="3FB28321"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{"citationID":"acc9ppn0ho","properties":{"formattedCitation":"[229]","plainCitation":"[229]","noteIndex":0},"citationItems":[{"id":161,"uris":["http://zotero.org/users/12909065/items/SN7G7CJT"],"itemData":{"id":161,"type":"article-journal","abstract":"The power conversion efficiency (PCE) reaches to 12.63% or 12.19% for polymer solar cells (PSCs) based on PM6 or J71 as donor and Br-ITIC as acceptor, respectively. A series of ternary PSCs with two donors were fabricated by combining the merits of the two binary PSCs. The PM6 and J71 prefer to form alloyed donor due to the good compatibility, which is beneficial to finely optimize photon harvesting and phase separation of ternary active layers, leading to simultaneous improvement of short-circuit current density (JSC) and fill factor (FF). The improved JSC and FF can well make up for the slight loss of open-circuit voltage (VOC). The optimized ternary PSCs with 20 wt% J71 in donors achieve a PCE of 14.13% and a FF of 78.4%. More than 11% PCE improvement is achieved by adopting ternary strategy on the basis of two binary PSCs with PCE over 12%, also keeping simple fabrication technology.","container-title":"Nano Energy","DOI":"10.1016/j.nanoen.2019.04.018","ISSN":"2211-2855","journalAbbreviation":"Nano Energy","page":"768-774","source":"ScienceDirect","title":"Ternary polymer solar cells with alloyed donor achieving 14.13% efficiency and 78.4% fill factor","volume":"60","author":[{"family":"An","given":"Qiaoshi"},{"family":"Wang","given":"Jian"},{"family":"Zhang","given":"Fujun"}],"issued":{"date-parts":[["2019",6,1]]}}}],"schema":"https://github.com/citation-style-language/schema/raw/master/csl-citation.json"}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[229]</w:t>
            </w:r>
            <w:r w:rsidRPr="00B55044">
              <w:rPr>
                <w:rFonts w:eastAsia="Times New Roman"/>
                <w:color w:val="0000FF"/>
                <w:sz w:val="16"/>
                <w:szCs w:val="16"/>
              </w:rPr>
              <w:fldChar w:fldCharType="end"/>
            </w:r>
          </w:p>
        </w:tc>
      </w:tr>
      <w:tr w:rsidR="00D47774" w:rsidRPr="00B55044" w14:paraId="6924DB9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E074350"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441</w:t>
            </w:r>
          </w:p>
        </w:tc>
        <w:tc>
          <w:tcPr>
            <w:tcW w:w="1525" w:type="pct"/>
            <w:tcBorders>
              <w:top w:val="single" w:sz="4" w:space="0" w:color="auto"/>
              <w:left w:val="nil"/>
              <w:bottom w:val="single" w:sz="4" w:space="0" w:color="auto"/>
              <w:right w:val="nil"/>
            </w:tcBorders>
            <w:shd w:val="clear" w:color="auto" w:fill="auto"/>
            <w:noWrap/>
            <w:vAlign w:val="bottom"/>
            <w:hideMark/>
          </w:tcPr>
          <w:p w14:paraId="17AE191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0D04AC8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PM6:J71 (20%):Br-ITIC</w:t>
            </w:r>
          </w:p>
        </w:tc>
        <w:tc>
          <w:tcPr>
            <w:tcW w:w="379" w:type="pct"/>
            <w:tcBorders>
              <w:top w:val="single" w:sz="4" w:space="0" w:color="auto"/>
              <w:left w:val="nil"/>
              <w:bottom w:val="single" w:sz="4" w:space="0" w:color="auto"/>
              <w:right w:val="nil"/>
            </w:tcBorders>
            <w:shd w:val="clear" w:color="auto" w:fill="auto"/>
            <w:noWrap/>
            <w:vAlign w:val="bottom"/>
            <w:hideMark/>
          </w:tcPr>
          <w:p w14:paraId="075C24A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0.93</w:t>
            </w:r>
          </w:p>
        </w:tc>
        <w:tc>
          <w:tcPr>
            <w:tcW w:w="379" w:type="pct"/>
            <w:tcBorders>
              <w:top w:val="single" w:sz="4" w:space="0" w:color="auto"/>
              <w:left w:val="nil"/>
              <w:bottom w:val="single" w:sz="4" w:space="0" w:color="auto"/>
              <w:right w:val="nil"/>
            </w:tcBorders>
            <w:shd w:val="clear" w:color="auto" w:fill="auto"/>
            <w:noWrap/>
            <w:vAlign w:val="bottom"/>
            <w:hideMark/>
          </w:tcPr>
          <w:p w14:paraId="74F680B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19.39</w:t>
            </w:r>
          </w:p>
        </w:tc>
        <w:tc>
          <w:tcPr>
            <w:tcW w:w="378" w:type="pct"/>
            <w:tcBorders>
              <w:top w:val="single" w:sz="4" w:space="0" w:color="auto"/>
              <w:left w:val="nil"/>
              <w:bottom w:val="single" w:sz="4" w:space="0" w:color="auto"/>
              <w:right w:val="nil"/>
            </w:tcBorders>
            <w:shd w:val="clear" w:color="auto" w:fill="auto"/>
            <w:noWrap/>
            <w:vAlign w:val="bottom"/>
            <w:hideMark/>
          </w:tcPr>
          <w:p w14:paraId="2FB5D8B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78.4</w:t>
            </w:r>
          </w:p>
        </w:tc>
        <w:tc>
          <w:tcPr>
            <w:tcW w:w="381" w:type="pct"/>
            <w:tcBorders>
              <w:top w:val="single" w:sz="4" w:space="0" w:color="auto"/>
              <w:left w:val="nil"/>
              <w:bottom w:val="single" w:sz="4" w:space="0" w:color="auto"/>
              <w:right w:val="nil"/>
            </w:tcBorders>
            <w:shd w:val="clear" w:color="auto" w:fill="auto"/>
            <w:noWrap/>
            <w:vAlign w:val="bottom"/>
            <w:hideMark/>
          </w:tcPr>
          <w:p w14:paraId="6E476FF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14.13</w:t>
            </w:r>
          </w:p>
        </w:tc>
        <w:tc>
          <w:tcPr>
            <w:tcW w:w="378" w:type="pct"/>
            <w:tcBorders>
              <w:top w:val="single" w:sz="4" w:space="0" w:color="auto"/>
              <w:left w:val="nil"/>
              <w:bottom w:val="single" w:sz="4" w:space="0" w:color="auto"/>
              <w:right w:val="nil"/>
            </w:tcBorders>
            <w:shd w:val="clear" w:color="auto" w:fill="auto"/>
            <w:noWrap/>
            <w:vAlign w:val="bottom"/>
            <w:hideMark/>
          </w:tcPr>
          <w:p w14:paraId="459E68B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{"citationID":"ajbe3im9qh","properties":{"formattedCitation":"[229]","plainCitation":"[229]","noteIndex":0},"citationItems":[{"id":161,"uris":["http://zotero.org/users/12909065/items/SN7G7CJT"],"itemData":{"id":161,"type":"article-journal","abstract":"The power conversion efficiency (PCE) reaches to 12.63% or 12.19% for polymer solar cells (PSCs) based on PM6 or J71 as donor and Br-ITIC as acceptor, respectively. A series of ternary PSCs with two donors were fabricated by combining the merits of the two binary PSCs. The PM6 and J71 prefer to form alloyed donor due to the good compatibility, which is beneficial to finely optimize photon harvesting and phase separation of ternary active layers, leading to simultaneous improvement of short-circuit current density (JSC) and fill factor (FF). The improved JSC and FF can well make up for the slight loss of open-circuit voltage (VOC). The optimized ternary PSCs with 20 wt% J71 in donors achieve a PCE of 14.13% and a FF of 78.4%. More than 11% PCE improvement is achieved by adopting ternary strategy on the basis of two binary PSCs with PCE over 12%, also keeping simple fabrication technology.","container-title":"Nano Energy","DOI":"10.1016/j.nanoen.2019.04.018","ISSN":"2211-2855","journalAbbreviation":"Nano Energy","page":"768-774","source":"ScienceDirect","title":"Ternary polymer solar cells with alloyed donor achieving 14.13% efficiency and 78.4% fill factor","volume":"60","author":[{"family":"An","given":"Qiaoshi"},{"family":"Wang","given":"Jian"},{"family":"Zhang","given":"Fujun"}],"issued":{"date-parts":[["2019",6,1]]}}}],"schema":"https://github.com/citation-style-language/schema/raw/master/csl-citation.json"}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[229]</w:t>
            </w:r>
            <w:r w:rsidRPr="00B55044">
              <w:rPr>
                <w:rFonts w:eastAsia="Times New Roman"/>
                <w:color w:val="0000FF"/>
                <w:sz w:val="16"/>
                <w:szCs w:val="16"/>
              </w:rPr>
              <w:fldChar w:fldCharType="end"/>
            </w:r>
          </w:p>
        </w:tc>
      </w:tr>
      <w:tr w:rsidR="00D47774" w:rsidRPr="00B55044" w14:paraId="1109308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60A4F1C"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442</w:t>
            </w:r>
          </w:p>
        </w:tc>
        <w:tc>
          <w:tcPr>
            <w:tcW w:w="1525" w:type="pct"/>
            <w:tcBorders>
              <w:top w:val="single" w:sz="4" w:space="0" w:color="auto"/>
              <w:left w:val="nil"/>
              <w:bottom w:val="single" w:sz="4" w:space="0" w:color="auto"/>
              <w:right w:val="nil"/>
            </w:tcBorders>
            <w:shd w:val="clear" w:color="auto" w:fill="auto"/>
            <w:noWrap/>
            <w:vAlign w:val="bottom"/>
            <w:hideMark/>
          </w:tcPr>
          <w:p w14:paraId="1489B1A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0171FEC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PM6:J71 (30%):Br-ITIC</w:t>
            </w:r>
          </w:p>
        </w:tc>
        <w:tc>
          <w:tcPr>
            <w:tcW w:w="379" w:type="pct"/>
            <w:tcBorders>
              <w:top w:val="single" w:sz="4" w:space="0" w:color="auto"/>
              <w:left w:val="nil"/>
              <w:bottom w:val="single" w:sz="4" w:space="0" w:color="auto"/>
              <w:right w:val="nil"/>
            </w:tcBorders>
            <w:shd w:val="clear" w:color="auto" w:fill="auto"/>
            <w:noWrap/>
            <w:vAlign w:val="bottom"/>
            <w:hideMark/>
          </w:tcPr>
          <w:p w14:paraId="0D481CB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0.925</w:t>
            </w:r>
          </w:p>
        </w:tc>
        <w:tc>
          <w:tcPr>
            <w:tcW w:w="379" w:type="pct"/>
            <w:tcBorders>
              <w:top w:val="single" w:sz="4" w:space="0" w:color="auto"/>
              <w:left w:val="nil"/>
              <w:bottom w:val="single" w:sz="4" w:space="0" w:color="auto"/>
              <w:right w:val="nil"/>
            </w:tcBorders>
            <w:shd w:val="clear" w:color="auto" w:fill="auto"/>
            <w:noWrap/>
            <w:vAlign w:val="bottom"/>
            <w:hideMark/>
          </w:tcPr>
          <w:p w14:paraId="22818A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19.09</w:t>
            </w:r>
          </w:p>
        </w:tc>
        <w:tc>
          <w:tcPr>
            <w:tcW w:w="378" w:type="pct"/>
            <w:tcBorders>
              <w:top w:val="single" w:sz="4" w:space="0" w:color="auto"/>
              <w:left w:val="nil"/>
              <w:bottom w:val="single" w:sz="4" w:space="0" w:color="auto"/>
              <w:right w:val="nil"/>
            </w:tcBorders>
            <w:shd w:val="clear" w:color="auto" w:fill="auto"/>
            <w:noWrap/>
            <w:vAlign w:val="bottom"/>
            <w:hideMark/>
          </w:tcPr>
          <w:p w14:paraId="5EADC0F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77.4</w:t>
            </w:r>
          </w:p>
        </w:tc>
        <w:tc>
          <w:tcPr>
            <w:tcW w:w="381" w:type="pct"/>
            <w:tcBorders>
              <w:top w:val="single" w:sz="4" w:space="0" w:color="auto"/>
              <w:left w:val="nil"/>
              <w:bottom w:val="single" w:sz="4" w:space="0" w:color="auto"/>
              <w:right w:val="nil"/>
            </w:tcBorders>
            <w:shd w:val="clear" w:color="auto" w:fill="auto"/>
            <w:noWrap/>
            <w:vAlign w:val="bottom"/>
            <w:hideMark/>
          </w:tcPr>
          <w:p w14:paraId="4AD0B59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13.66</w:t>
            </w:r>
          </w:p>
        </w:tc>
        <w:tc>
          <w:tcPr>
            <w:tcW w:w="378" w:type="pct"/>
            <w:tcBorders>
              <w:top w:val="single" w:sz="4" w:space="0" w:color="auto"/>
              <w:left w:val="nil"/>
              <w:bottom w:val="single" w:sz="4" w:space="0" w:color="auto"/>
              <w:right w:val="nil"/>
            </w:tcBorders>
            <w:shd w:val="clear" w:color="auto" w:fill="auto"/>
            <w:noWrap/>
            <w:vAlign w:val="bottom"/>
            <w:hideMark/>
          </w:tcPr>
          <w:p w14:paraId="43D3023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{"citationID":"a1i5g1otmgk","properties":{"formattedCitation":"[229]","plainCitation":"[229]","noteIndex":0},"citationItems":[{"id":161,"uris":["http://zotero.org/users/12909065/items/SN7G7CJT"],"itemData":{"id":161,"type":"article-journal","abstract":"The power conversion efficiency (PCE) reaches to 12.63% or 12.19% for polymer solar cells (PSCs) based on PM6 or J71 as donor and Br-ITIC as acceptor, respectively. A series of ternary PSCs with two donors were fabricated by combining the merits of the two binary PSCs. The PM6 and J71 prefer to form alloyed donor due to the good compatibility, which is beneficial to finely optimize photon harvesting and phase separation of ternary active layers, leading to simultaneous improvement of short-circuit current density (JSC) and fill factor (FF). The improved JSC and FF can well make up for the slight loss of open-circuit voltage (VOC). The optimized ternary PSCs with 20 wt% J71 in donors achieve a PCE of 14.13% and a FF of 78.4%. More than 11% PCE improvement is achieved by adopting ternary strategy on the basis of two binary PSCs with PCE over 12%, also keeping simple fabrication technology.","container-title":"Nano Energy","DOI":"10.1016/j.nanoen.2019.04.018","ISSN":"2211-2855","journalAbbreviation":"Nano Energy","page":"768-774","source":"ScienceDirect","title":"Ternary polymer solar cells with alloyed donor achieving 14.13% efficiency and 78.4% fill factor","volume":"60","author":[{"family":"An","given":"Qiaoshi"},{"family":"Wang","given":"Jian"},{"family":"Zhang","given":"Fujun"}],"issued":{"date-parts":[["2019",6,1]]}}}],"schema":"https://github.com/citation-style-language/schema/raw/master/csl-citation.json"}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[229]</w:t>
            </w:r>
            <w:r w:rsidRPr="00B55044">
              <w:rPr>
                <w:rFonts w:eastAsia="Times New Roman"/>
                <w:color w:val="0000FF"/>
                <w:sz w:val="16"/>
                <w:szCs w:val="16"/>
              </w:rPr>
              <w:fldChar w:fldCharType="end"/>
            </w:r>
          </w:p>
        </w:tc>
      </w:tr>
      <w:tr w:rsidR="00D47774" w:rsidRPr="00B55044" w14:paraId="6CC9112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2897937F"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443</w:t>
            </w:r>
          </w:p>
        </w:tc>
        <w:tc>
          <w:tcPr>
            <w:tcW w:w="1525" w:type="pct"/>
            <w:tcBorders>
              <w:top w:val="single" w:sz="4" w:space="0" w:color="auto"/>
              <w:left w:val="nil"/>
              <w:bottom w:val="single" w:sz="4" w:space="0" w:color="auto"/>
              <w:right w:val="nil"/>
            </w:tcBorders>
            <w:shd w:val="clear" w:color="auto" w:fill="auto"/>
            <w:noWrap/>
            <w:vAlign w:val="bottom"/>
            <w:hideMark/>
          </w:tcPr>
          <w:p w14:paraId="5A022A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2027650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PM6:J71 (40%):Br-ITIC</w:t>
            </w:r>
          </w:p>
        </w:tc>
        <w:tc>
          <w:tcPr>
            <w:tcW w:w="379" w:type="pct"/>
            <w:tcBorders>
              <w:top w:val="single" w:sz="4" w:space="0" w:color="auto"/>
              <w:left w:val="nil"/>
              <w:bottom w:val="single" w:sz="4" w:space="0" w:color="auto"/>
              <w:right w:val="nil"/>
            </w:tcBorders>
            <w:shd w:val="clear" w:color="auto" w:fill="auto"/>
            <w:noWrap/>
            <w:vAlign w:val="bottom"/>
            <w:hideMark/>
          </w:tcPr>
          <w:p w14:paraId="225A7B8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0.92</w:t>
            </w:r>
          </w:p>
        </w:tc>
        <w:tc>
          <w:tcPr>
            <w:tcW w:w="379" w:type="pct"/>
            <w:tcBorders>
              <w:top w:val="single" w:sz="4" w:space="0" w:color="auto"/>
              <w:left w:val="nil"/>
              <w:bottom w:val="single" w:sz="4" w:space="0" w:color="auto"/>
              <w:right w:val="nil"/>
            </w:tcBorders>
            <w:shd w:val="clear" w:color="auto" w:fill="auto"/>
            <w:noWrap/>
            <w:vAlign w:val="bottom"/>
            <w:hideMark/>
          </w:tcPr>
          <w:p w14:paraId="0442C62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18.87</w:t>
            </w:r>
          </w:p>
        </w:tc>
        <w:tc>
          <w:tcPr>
            <w:tcW w:w="378" w:type="pct"/>
            <w:tcBorders>
              <w:top w:val="single" w:sz="4" w:space="0" w:color="auto"/>
              <w:left w:val="nil"/>
              <w:bottom w:val="single" w:sz="4" w:space="0" w:color="auto"/>
              <w:right w:val="nil"/>
            </w:tcBorders>
            <w:shd w:val="clear" w:color="auto" w:fill="auto"/>
            <w:noWrap/>
            <w:vAlign w:val="bottom"/>
            <w:hideMark/>
          </w:tcPr>
          <w:p w14:paraId="10B8E8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76.9</w:t>
            </w:r>
          </w:p>
        </w:tc>
        <w:tc>
          <w:tcPr>
            <w:tcW w:w="381" w:type="pct"/>
            <w:tcBorders>
              <w:top w:val="single" w:sz="4" w:space="0" w:color="auto"/>
              <w:left w:val="nil"/>
              <w:bottom w:val="single" w:sz="4" w:space="0" w:color="auto"/>
              <w:right w:val="nil"/>
            </w:tcBorders>
            <w:shd w:val="clear" w:color="auto" w:fill="auto"/>
            <w:noWrap/>
            <w:vAlign w:val="bottom"/>
            <w:hideMark/>
          </w:tcPr>
          <w:p w14:paraId="20CF007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13.35</w:t>
            </w:r>
          </w:p>
        </w:tc>
        <w:tc>
          <w:tcPr>
            <w:tcW w:w="378" w:type="pct"/>
            <w:tcBorders>
              <w:top w:val="single" w:sz="4" w:space="0" w:color="auto"/>
              <w:left w:val="nil"/>
              <w:bottom w:val="single" w:sz="4" w:space="0" w:color="auto"/>
              <w:right w:val="nil"/>
            </w:tcBorders>
            <w:shd w:val="clear" w:color="auto" w:fill="auto"/>
            <w:noWrap/>
            <w:vAlign w:val="bottom"/>
            <w:hideMark/>
          </w:tcPr>
          <w:p w14:paraId="405089F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{"citationID":"a10paacl3k8","properties":{"formattedCitation":"[229]","plainCitation":"[229]","noteIndex":0},"citationItems":[{"id":161,"uris":["http://zotero.org/users/12909065/items/SN7G7CJT"],"itemData":{"id":161,"type":"article-journal","abstract":"The power conversion efficiency (PCE) reaches to 12.63% or 12.19% for polymer solar cells (PSCs) based on PM6 or J71 as donor and Br-ITIC as acceptor, respectively. A series of ternary PSCs with two donors were fabricated by combining the merits of the two binary PSCs. The PM6 and J71 prefer to form alloyed donor due to the good compatibility, which is beneficial to finely optimize photon harvesting and phase separation of ternary active layers, leading to simultaneous improvement of short-circuit current density (JSC) and fill factor (FF). The improved JSC and FF can well make up for the slight loss of open-circuit voltage (VOC). The optimized ternary PSCs with 20 wt% J71 in donors achieve a PCE of 14.13% and a FF of 78.4%. More than 11% PCE improvement is achieved by adopting ternary strategy on the basis of two binary PSCs with PCE over 12%, also keeping simple fabrication technology.","container-title":"Nano Energy","DOI":"10.1016/j.nanoen.2019.04.018","ISSN":"2211-2855","journalAbbreviation":"Nano Energy","page":"768-774","source":"ScienceDirect","title":"Ternary polymer solar cells with alloyed donor achieving 14.13% efficiency and 78.4% fill factor","volume":"60","author":[{"family":"An","given":"Qiaoshi"},{"family":"Wang","given":"Jian"},{"family":"Zhang","given":"Fujun"}],"issued":{"date-parts":[["2019",6,1]]}}}],"schema":"https://github.com/citation-style-language/schema/raw/master/csl-citation.json"}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[229]</w:t>
            </w:r>
            <w:r w:rsidRPr="00B55044">
              <w:rPr>
                <w:rFonts w:eastAsia="Times New Roman"/>
                <w:color w:val="0000FF"/>
                <w:sz w:val="16"/>
                <w:szCs w:val="16"/>
              </w:rPr>
              <w:fldChar w:fldCharType="end"/>
            </w:r>
          </w:p>
        </w:tc>
      </w:tr>
      <w:tr w:rsidR="00D47774" w:rsidRPr="00B55044" w14:paraId="557E7C45"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8A327B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444</w:t>
            </w:r>
          </w:p>
        </w:tc>
        <w:tc>
          <w:tcPr>
            <w:tcW w:w="1525" w:type="pct"/>
            <w:tcBorders>
              <w:top w:val="single" w:sz="4" w:space="0" w:color="auto"/>
              <w:left w:val="nil"/>
              <w:bottom w:val="single" w:sz="4" w:space="0" w:color="auto"/>
              <w:right w:val="nil"/>
            </w:tcBorders>
            <w:shd w:val="clear" w:color="auto" w:fill="auto"/>
            <w:noWrap/>
            <w:vAlign w:val="bottom"/>
            <w:hideMark/>
          </w:tcPr>
          <w:p w14:paraId="26381DC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51DC3ED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PM6:J71 (60%):Br-ITIC</w:t>
            </w:r>
          </w:p>
        </w:tc>
        <w:tc>
          <w:tcPr>
            <w:tcW w:w="379" w:type="pct"/>
            <w:tcBorders>
              <w:top w:val="single" w:sz="4" w:space="0" w:color="auto"/>
              <w:left w:val="nil"/>
              <w:bottom w:val="single" w:sz="4" w:space="0" w:color="auto"/>
              <w:right w:val="nil"/>
            </w:tcBorders>
            <w:shd w:val="clear" w:color="auto" w:fill="auto"/>
            <w:noWrap/>
            <w:vAlign w:val="bottom"/>
            <w:hideMark/>
          </w:tcPr>
          <w:p w14:paraId="0963207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0.912</w:t>
            </w:r>
          </w:p>
        </w:tc>
        <w:tc>
          <w:tcPr>
            <w:tcW w:w="379" w:type="pct"/>
            <w:tcBorders>
              <w:top w:val="single" w:sz="4" w:space="0" w:color="auto"/>
              <w:left w:val="nil"/>
              <w:bottom w:val="single" w:sz="4" w:space="0" w:color="auto"/>
              <w:right w:val="nil"/>
            </w:tcBorders>
            <w:shd w:val="clear" w:color="auto" w:fill="auto"/>
            <w:noWrap/>
            <w:vAlign w:val="bottom"/>
            <w:hideMark/>
          </w:tcPr>
          <w:p w14:paraId="3AE01ED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18.73</w:t>
            </w:r>
          </w:p>
        </w:tc>
        <w:tc>
          <w:tcPr>
            <w:tcW w:w="378" w:type="pct"/>
            <w:tcBorders>
              <w:top w:val="single" w:sz="4" w:space="0" w:color="auto"/>
              <w:left w:val="nil"/>
              <w:bottom w:val="single" w:sz="4" w:space="0" w:color="auto"/>
              <w:right w:val="nil"/>
            </w:tcBorders>
            <w:shd w:val="clear" w:color="auto" w:fill="auto"/>
            <w:noWrap/>
            <w:vAlign w:val="bottom"/>
            <w:hideMark/>
          </w:tcPr>
          <w:p w14:paraId="430CC4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76.1</w:t>
            </w:r>
          </w:p>
        </w:tc>
        <w:tc>
          <w:tcPr>
            <w:tcW w:w="381" w:type="pct"/>
            <w:tcBorders>
              <w:top w:val="single" w:sz="4" w:space="0" w:color="auto"/>
              <w:left w:val="nil"/>
              <w:bottom w:val="single" w:sz="4" w:space="0" w:color="auto"/>
              <w:right w:val="nil"/>
            </w:tcBorders>
            <w:shd w:val="clear" w:color="auto" w:fill="auto"/>
            <w:noWrap/>
            <w:vAlign w:val="bottom"/>
            <w:hideMark/>
          </w:tcPr>
          <w:p w14:paraId="5BD28FE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12.99</w:t>
            </w:r>
          </w:p>
        </w:tc>
        <w:tc>
          <w:tcPr>
            <w:tcW w:w="378" w:type="pct"/>
            <w:tcBorders>
              <w:top w:val="single" w:sz="4" w:space="0" w:color="auto"/>
              <w:left w:val="nil"/>
              <w:bottom w:val="single" w:sz="4" w:space="0" w:color="auto"/>
              <w:right w:val="nil"/>
            </w:tcBorders>
            <w:shd w:val="clear" w:color="auto" w:fill="auto"/>
            <w:noWrap/>
            <w:vAlign w:val="bottom"/>
            <w:hideMark/>
          </w:tcPr>
          <w:p w14:paraId="37E7DFB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{"citationID":"aftdsji1ce","properties":{"formattedCitation":"[229]","plainCitation":"[229]","noteIndex":0},"citationItems":[{"id":161,"uris":["http://zotero.org/users/12909065/items/SN7G7CJT"],"itemData":{"id":161,"type":"article-journal","abstract":"The power conversion efficiency (PCE) reaches to 12.63% or 12.19% for polymer solar cells (PSCs) based on PM6 or J71 as donor and Br-ITIC as acceptor, respectively. A series of ternary PSCs with two donors were fabricated by combining the merits of the two binary PSCs. The PM6 and J71 prefer to form alloyed donor due to the good compatibility, which is beneficial to finely optimize photon harvesting and phase separation of ternary active layers, leading to simultaneous improvement of short-circuit current density (JSC) and fill factor (FF). The improved JSC and FF can well make up for the slight loss of open-circuit voltage (VOC). The optimized ternary PSCs with 20 wt% J71 in donors achieve a PCE of 14.13% and a FF of 78.4%. More than 11% PCE improvement is achieved by adopting ternary strategy on the basis of two binary PSCs with PCE over 12%, also keeping simple fabrication technology.","container-title":"Nano Energy","DOI":"10.1016/j.nanoen.2019.04.018","ISSN":"2211-2855","journalAbbreviation":"Nano Energy","page":"768-774","source":"ScienceDirect","title":"Ternary polymer solar cells with alloyed donor achieving 14.13% efficiency and 78.4% fill factor","volume":"60","author":[{"family":"An","given":"Qiaoshi"},{"family":"Wang","given":"Jian"},{"family":"Zhang","given":"Fujun"}],"issued":{"date-parts":[["2019",6,1]]}}}],"schema":"https://github.com/citation-style-language/schema/raw/master/csl-citation.json"}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[229]</w:t>
            </w:r>
            <w:r w:rsidRPr="00B55044">
              <w:rPr>
                <w:rFonts w:eastAsia="Times New Roman"/>
                <w:color w:val="0000FF"/>
                <w:sz w:val="16"/>
                <w:szCs w:val="16"/>
              </w:rPr>
              <w:fldChar w:fldCharType="end"/>
            </w:r>
          </w:p>
        </w:tc>
      </w:tr>
      <w:tr w:rsidR="00D47774" w:rsidRPr="00B55044" w14:paraId="51AEB7C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072488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445</w:t>
            </w:r>
          </w:p>
        </w:tc>
        <w:tc>
          <w:tcPr>
            <w:tcW w:w="1525" w:type="pct"/>
            <w:tcBorders>
              <w:top w:val="single" w:sz="4" w:space="0" w:color="auto"/>
              <w:left w:val="nil"/>
              <w:bottom w:val="single" w:sz="4" w:space="0" w:color="auto"/>
              <w:right w:val="nil"/>
            </w:tcBorders>
            <w:shd w:val="clear" w:color="auto" w:fill="auto"/>
            <w:noWrap/>
            <w:vAlign w:val="bottom"/>
            <w:hideMark/>
          </w:tcPr>
          <w:p w14:paraId="6B54EDE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ITO/PEDOT:PSS/AL/PDIN/Al</w:t>
            </w:r>
          </w:p>
        </w:tc>
        <w:tc>
          <w:tcPr>
            <w:tcW w:w="1288" w:type="pct"/>
            <w:tcBorders>
              <w:top w:val="single" w:sz="4" w:space="0" w:color="auto"/>
              <w:left w:val="nil"/>
              <w:bottom w:val="single" w:sz="4" w:space="0" w:color="auto"/>
              <w:right w:val="nil"/>
            </w:tcBorders>
            <w:shd w:val="clear" w:color="auto" w:fill="auto"/>
            <w:noWrap/>
            <w:vAlign w:val="bottom"/>
            <w:hideMark/>
          </w:tcPr>
          <w:p w14:paraId="3437C42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PM6:J71 (80%):Br-ITIC</w:t>
            </w:r>
          </w:p>
        </w:tc>
        <w:tc>
          <w:tcPr>
            <w:tcW w:w="379" w:type="pct"/>
            <w:tcBorders>
              <w:top w:val="single" w:sz="4" w:space="0" w:color="auto"/>
              <w:left w:val="nil"/>
              <w:bottom w:val="single" w:sz="4" w:space="0" w:color="auto"/>
              <w:right w:val="nil"/>
            </w:tcBorders>
            <w:shd w:val="clear" w:color="auto" w:fill="auto"/>
            <w:noWrap/>
            <w:vAlign w:val="bottom"/>
            <w:hideMark/>
          </w:tcPr>
          <w:p w14:paraId="5A6D1B8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0.894</w:t>
            </w:r>
          </w:p>
        </w:tc>
        <w:tc>
          <w:tcPr>
            <w:tcW w:w="379" w:type="pct"/>
            <w:tcBorders>
              <w:top w:val="single" w:sz="4" w:space="0" w:color="auto"/>
              <w:left w:val="nil"/>
              <w:bottom w:val="single" w:sz="4" w:space="0" w:color="auto"/>
              <w:right w:val="nil"/>
            </w:tcBorders>
            <w:shd w:val="clear" w:color="auto" w:fill="auto"/>
            <w:noWrap/>
            <w:vAlign w:val="bottom"/>
            <w:hideMark/>
          </w:tcPr>
          <w:p w14:paraId="26C5101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18.64</w:t>
            </w:r>
          </w:p>
        </w:tc>
        <w:tc>
          <w:tcPr>
            <w:tcW w:w="378" w:type="pct"/>
            <w:tcBorders>
              <w:top w:val="single" w:sz="4" w:space="0" w:color="auto"/>
              <w:left w:val="nil"/>
              <w:bottom w:val="single" w:sz="4" w:space="0" w:color="auto"/>
              <w:right w:val="nil"/>
            </w:tcBorders>
            <w:shd w:val="clear" w:color="auto" w:fill="auto"/>
            <w:noWrap/>
            <w:vAlign w:val="bottom"/>
            <w:hideMark/>
          </w:tcPr>
          <w:p w14:paraId="7105F46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76</w:t>
            </w:r>
          </w:p>
        </w:tc>
        <w:tc>
          <w:tcPr>
            <w:tcW w:w="381" w:type="pct"/>
            <w:tcBorders>
              <w:top w:val="single" w:sz="4" w:space="0" w:color="auto"/>
              <w:left w:val="nil"/>
              <w:bottom w:val="single" w:sz="4" w:space="0" w:color="auto"/>
              <w:right w:val="nil"/>
            </w:tcBorders>
            <w:shd w:val="clear" w:color="auto" w:fill="auto"/>
            <w:noWrap/>
            <w:vAlign w:val="bottom"/>
            <w:hideMark/>
          </w:tcPr>
          <w:p w14:paraId="0C7CFA6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12.66</w:t>
            </w:r>
          </w:p>
        </w:tc>
        <w:tc>
          <w:tcPr>
            <w:tcW w:w="378" w:type="pct"/>
            <w:tcBorders>
              <w:top w:val="single" w:sz="4" w:space="0" w:color="auto"/>
              <w:left w:val="nil"/>
              <w:bottom w:val="single" w:sz="4" w:space="0" w:color="auto"/>
              <w:right w:val="nil"/>
            </w:tcBorders>
            <w:shd w:val="clear" w:color="auto" w:fill="auto"/>
            <w:noWrap/>
            <w:vAlign w:val="bottom"/>
            <w:hideMark/>
          </w:tcPr>
          <w:p w14:paraId="319F91F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{"citationID":"a2frdehvska","properties":{"formattedCitation":"[229]","plainCitation":"[229]","noteIndex":0},"citationItems":[{"id":161,"uris":["http://zotero.org/users/12909065/items/SN7G7CJT"],"itemData":{"id":161,"type":"article-journal","abstract":"The power conversion efficiency (PCE) reaches to 12.63% or 12.19% for polymer solar cells (PSCs) based on PM6 or J71 as donor and Br-ITIC as acceptor, respectively. A series of ternary PSCs with two donors were fabricated by combining the merits of the two binary PSCs. The PM6 and J71 prefer to form alloyed donor due to the good compatibility, which is beneficial to finely optimize photon harvesting and phase separation of ternary active layers, leading to simultaneous improvement of short-circuit current density (JSC) and fill factor (FF). The improved JSC and FF can well make up for the slight loss of open-circuit voltage (VOC). The optimized ternary PSCs with 20 wt% J71 in donors achieve a PCE of 14.13% and a FF of 78.4%. More than 11% PCE improvement is achieved by adopting ternary strategy on the basis of two binary PSCs with PCE over 12%, also keeping simple fabrication technology.","container-title":"Nano Energy","DOI":"10.1016/j.nanoen.2019.04.018","ISSN":"2211-2855","journalAbbreviation":"Nano Energy","page":"768-774","source":"ScienceDirect","title":"Ternary polymer solar cells with alloyed donor achieving 14.13% efficiency and 78.4% fill factor","volume":"60","author":[{"family":"An","given":"Qiaoshi"},{"family":"Wang","given":"Jian"},{"family":"Zhang","given":"Fujun"}],"issued":{"date-parts":[["2019",6,1]]}}}],"schema":"https://github.com/citation-style-language/schema/raw/master/csl-citation.json"}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[229]</w:t>
            </w:r>
            <w:r w:rsidRPr="00B55044">
              <w:rPr>
                <w:rFonts w:eastAsia="Times New Roman"/>
                <w:color w:val="0000FF"/>
                <w:sz w:val="16"/>
                <w:szCs w:val="16"/>
              </w:rPr>
              <w:fldChar w:fldCharType="end"/>
            </w:r>
          </w:p>
        </w:tc>
      </w:tr>
      <w:tr w:rsidR="00D47774" w:rsidRPr="00B55044" w14:paraId="28ABD8A3"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6CDE08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446</w:t>
            </w:r>
          </w:p>
        </w:tc>
        <w:tc>
          <w:tcPr>
            <w:tcW w:w="1525" w:type="pct"/>
            <w:tcBorders>
              <w:top w:val="single" w:sz="4" w:space="0" w:color="auto"/>
              <w:left w:val="nil"/>
              <w:bottom w:val="single" w:sz="4" w:space="0" w:color="auto"/>
              <w:right w:val="nil"/>
            </w:tcBorders>
            <w:shd w:val="clear" w:color="auto" w:fill="auto"/>
            <w:noWrap/>
            <w:vAlign w:val="bottom"/>
            <w:hideMark/>
          </w:tcPr>
          <w:p w14:paraId="132A951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ITO/PEDOT:PSS/AL/PNDIT-F3N-Br/Ag</w:t>
            </w:r>
          </w:p>
        </w:tc>
        <w:tc>
          <w:tcPr>
            <w:tcW w:w="1288" w:type="pct"/>
            <w:tcBorders>
              <w:top w:val="single" w:sz="4" w:space="0" w:color="auto"/>
              <w:left w:val="nil"/>
              <w:bottom w:val="single" w:sz="4" w:space="0" w:color="auto"/>
              <w:right w:val="nil"/>
            </w:tcBorders>
            <w:shd w:val="clear" w:color="auto" w:fill="auto"/>
            <w:noWrap/>
            <w:vAlign w:val="bottom"/>
            <w:hideMark/>
          </w:tcPr>
          <w:p w14:paraId="63A5B61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PM6:Y6:O-ITIC (10%)</w:t>
            </w:r>
          </w:p>
        </w:tc>
        <w:tc>
          <w:tcPr>
            <w:tcW w:w="379" w:type="pct"/>
            <w:tcBorders>
              <w:top w:val="single" w:sz="4" w:space="0" w:color="auto"/>
              <w:left w:val="nil"/>
              <w:bottom w:val="single" w:sz="4" w:space="0" w:color="auto"/>
              <w:right w:val="nil"/>
            </w:tcBorders>
            <w:shd w:val="clear" w:color="auto" w:fill="auto"/>
            <w:noWrap/>
            <w:vAlign w:val="bottom"/>
            <w:hideMark/>
          </w:tcPr>
          <w:p w14:paraId="6746A4E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w:t>
            </w:r>
          </w:p>
        </w:tc>
        <w:tc>
          <w:tcPr>
            <w:tcW w:w="379" w:type="pct"/>
            <w:tcBorders>
              <w:top w:val="single" w:sz="4" w:space="0" w:color="auto"/>
              <w:left w:val="nil"/>
              <w:bottom w:val="single" w:sz="4" w:space="0" w:color="auto"/>
              <w:right w:val="nil"/>
            </w:tcBorders>
            <w:shd w:val="clear" w:color="auto" w:fill="auto"/>
            <w:noWrap/>
            <w:vAlign w:val="bottom"/>
            <w:hideMark/>
          </w:tcPr>
          <w:p w14:paraId="1C31465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25.1</w:t>
            </w:r>
          </w:p>
        </w:tc>
        <w:tc>
          <w:tcPr>
            <w:tcW w:w="378" w:type="pct"/>
            <w:tcBorders>
              <w:top w:val="single" w:sz="4" w:space="0" w:color="auto"/>
              <w:left w:val="nil"/>
              <w:bottom w:val="single" w:sz="4" w:space="0" w:color="auto"/>
              <w:right w:val="nil"/>
            </w:tcBorders>
            <w:shd w:val="clear" w:color="auto" w:fill="auto"/>
            <w:noWrap/>
            <w:vAlign w:val="bottom"/>
            <w:hideMark/>
          </w:tcPr>
          <w:p w14:paraId="2964BE0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74.7</w:t>
            </w:r>
          </w:p>
        </w:tc>
        <w:tc>
          <w:tcPr>
            <w:tcW w:w="381" w:type="pct"/>
            <w:tcBorders>
              <w:top w:val="single" w:sz="4" w:space="0" w:color="auto"/>
              <w:left w:val="nil"/>
              <w:bottom w:val="single" w:sz="4" w:space="0" w:color="auto"/>
              <w:right w:val="nil"/>
            </w:tcBorders>
            <w:shd w:val="clear" w:color="auto" w:fill="auto"/>
            <w:noWrap/>
            <w:vAlign w:val="bottom"/>
            <w:hideMark/>
          </w:tcPr>
          <w:p w14:paraId="18DA78B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w:t>
            </w:r>
          </w:p>
        </w:tc>
        <w:tc>
          <w:tcPr>
            <w:tcW w:w="378" w:type="pct"/>
            <w:tcBorders>
              <w:top w:val="single" w:sz="4" w:space="0" w:color="auto"/>
              <w:left w:val="nil"/>
              <w:bottom w:val="single" w:sz="4" w:space="0" w:color="auto"/>
              <w:right w:val="nil"/>
            </w:tcBorders>
            <w:shd w:val="clear" w:color="auto" w:fill="auto"/>
            <w:noWrap/>
            <w:vAlign w:val="bottom"/>
            <w:hideMark/>
          </w:tcPr>
          <w:p w14:paraId="105504F5"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{"citationID":"a1s38o8jp7d","properties":{"formattedCitation":"[230]","plainCitation":"[230]","noteIndex":0},"citationItems":[{"id":160,"uris":["http://zotero.org/users/12909065/items/GS56DGD4"],"itemData":{"id":160,"type":"article-journal","abstract":"Ternary bulk-heterojunction (BHJ) polymer solar cells (PSCs) have been proved to show superior performance over binary BHJ PSCs. In this concise contribution, an octyl-substituted indacenodithieno[3,2-b] thiophene-based nonfullerene acceptor (O-ITIC), which is a derivative of ITIC but presents lower electron affinity, narrower optical band gap, and improved propensity to crystallize, is incorporated as a third component in the state-of-the-art PM6:Y6 binary BHJ blends to fabricate ternary BHJ solar cells. Results show that the optimized PM6:Y6:O-ITIC-based ternary BHJ solar cells reach higher power conversion efficiency (PCE) of 16.5% than that achieved in PM6:Y6- and PM6:O-ITIC-based binary solar cells with PCEs of 15.8 and 11.1%, respectively. Well-mixed acceptors phases and crystallite with a favorable face-on orientation are concurrently formed in the optimized ternary BHJ films. Consequently, more efficient exciton dissociation, improved and balanced charge transportation and extraction, and suppressed charge recombination losses occur in the optimized ternary BHJ devices with the aid of the third component O-ITIC. As a result, the optimized ternary devices demonstrate the lowest energy loss of 0.51 eV, an improved fill factor of 74.7%, and thus the highest PCE of 16.5%. This systematic study makes clear that rationally designed guest acceptors not only can provide additional channels for photon absorption and exciton dissociation but also can offer an effective strategy in tailoring the BHJ nanoscale morphology that are prerequisites for fast charge transportation, efficient charge extraction, and thus promising polymer solar cells.","container-title":"ACS Applied Energy Materials","DOI":"10.1021/acsaem.1c02067","issue":"9","journalAbbreviation":"ACS Appl. Energy Mater.","note":"publisher: American Chemical Society","page":"10187-10196","source":"ACS Publications","title":"Compatible Acceptors Mediate Morphology and Charge Generation, Transpration, Extraction, and Energy Loss in Efficient Ternary Polymer Solar Cells","volume":"4","author":[{"family":"Guo","given":"Lingzhi"},{"family":"Xu","given":"Zishuo"},{"family":"Jiao","given":"Xuechen"},{"family":"Ruan","given":"Qiqing"},{"family":"Xie","given":"Xiangdong"},{"family":"Xiao","given":"Biao"},{"family":"Li","given":"Qingduan"},{"family":"Cai","given":"Yue-Peng"},{"family":"Liu","given":"Shengjian"}],"issued":{"date-parts":[["2021",9,27]]}}}],"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[230]</w:t>
            </w:r>
            <w:r w:rsidRPr="00B55044">
              <w:rPr>
                <w:rFonts w:eastAsia="Times New Roman"/>
                <w:color w:val="0000FF"/>
                <w:sz w:val="16"/>
                <w:szCs w:val="16"/>
              </w:rPr>
              <w:fldChar w:fldCharType="end"/>
            </w:r>
          </w:p>
        </w:tc>
      </w:tr>
      <w:tr w:rsidR="00D47774" w:rsidRPr="00B55044" w14:paraId="0880377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63A2B071"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447</w:t>
            </w:r>
          </w:p>
        </w:tc>
        <w:tc>
          <w:tcPr>
            <w:tcW w:w="1525" w:type="pct"/>
            <w:tcBorders>
              <w:top w:val="single" w:sz="4" w:space="0" w:color="auto"/>
              <w:left w:val="nil"/>
              <w:bottom w:val="single" w:sz="4" w:space="0" w:color="auto"/>
              <w:right w:val="nil"/>
            </w:tcBorders>
            <w:shd w:val="clear" w:color="auto" w:fill="auto"/>
            <w:noWrap/>
            <w:vAlign w:val="bottom"/>
            <w:hideMark/>
          </w:tcPr>
          <w:p w14:paraId="7357C6F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ITO/PEDOT:PSS/AL/PNDIT-F3N-Br/Ag</w:t>
            </w:r>
          </w:p>
        </w:tc>
        <w:tc>
          <w:tcPr>
            <w:tcW w:w="1288" w:type="pct"/>
            <w:tcBorders>
              <w:top w:val="single" w:sz="4" w:space="0" w:color="auto"/>
              <w:left w:val="nil"/>
              <w:bottom w:val="single" w:sz="4" w:space="0" w:color="auto"/>
              <w:right w:val="nil"/>
            </w:tcBorders>
            <w:shd w:val="clear" w:color="auto" w:fill="auto"/>
            <w:noWrap/>
            <w:vAlign w:val="bottom"/>
            <w:hideMark/>
          </w:tcPr>
          <w:p w14:paraId="09793C3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PM6:Y6:O-ITIC (20%)</w:t>
            </w:r>
          </w:p>
        </w:tc>
        <w:tc>
          <w:tcPr>
            <w:tcW w:w="379" w:type="pct"/>
            <w:tcBorders>
              <w:top w:val="single" w:sz="4" w:space="0" w:color="auto"/>
              <w:left w:val="nil"/>
              <w:bottom w:val="single" w:sz="4" w:space="0" w:color="auto"/>
              <w:right w:val="nil"/>
            </w:tcBorders>
            <w:shd w:val="clear" w:color="auto" w:fill="auto"/>
            <w:noWrap/>
            <w:vAlign w:val="bottom"/>
            <w:hideMark/>
          </w:tcPr>
          <w:p w14:paraId="0B06CF7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w:t>
            </w:r>
          </w:p>
        </w:tc>
        <w:tc>
          <w:tcPr>
            <w:tcW w:w="379" w:type="pct"/>
            <w:tcBorders>
              <w:top w:val="single" w:sz="4" w:space="0" w:color="auto"/>
              <w:left w:val="nil"/>
              <w:bottom w:val="single" w:sz="4" w:space="0" w:color="auto"/>
              <w:right w:val="nil"/>
            </w:tcBorders>
            <w:shd w:val="clear" w:color="auto" w:fill="auto"/>
            <w:noWrap/>
            <w:vAlign w:val="bottom"/>
            <w:hideMark/>
          </w:tcPr>
          <w:p w14:paraId="1F529DE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23.4</w:t>
            </w:r>
          </w:p>
        </w:tc>
        <w:tc>
          <w:tcPr>
            <w:tcW w:w="378" w:type="pct"/>
            <w:tcBorders>
              <w:top w:val="single" w:sz="4" w:space="0" w:color="auto"/>
              <w:left w:val="nil"/>
              <w:bottom w:val="single" w:sz="4" w:space="0" w:color="auto"/>
              <w:right w:val="nil"/>
            </w:tcBorders>
            <w:shd w:val="clear" w:color="auto" w:fill="auto"/>
            <w:noWrap/>
            <w:vAlign w:val="bottom"/>
            <w:hideMark/>
          </w:tcPr>
          <w:p w14:paraId="3F80F9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75.1</w:t>
            </w:r>
          </w:p>
        </w:tc>
        <w:tc>
          <w:tcPr>
            <w:tcW w:w="381" w:type="pct"/>
            <w:tcBorders>
              <w:top w:val="single" w:sz="4" w:space="0" w:color="auto"/>
              <w:left w:val="nil"/>
              <w:bottom w:val="single" w:sz="4" w:space="0" w:color="auto"/>
              <w:right w:val="nil"/>
            </w:tcBorders>
            <w:shd w:val="clear" w:color="auto" w:fill="auto"/>
            <w:noWrap/>
            <w:vAlign w:val="bottom"/>
            <w:hideMark/>
          </w:tcPr>
          <w:p w14:paraId="520352E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15.2</w:t>
            </w:r>
          </w:p>
        </w:tc>
        <w:tc>
          <w:tcPr>
            <w:tcW w:w="378" w:type="pct"/>
            <w:tcBorders>
              <w:top w:val="single" w:sz="4" w:space="0" w:color="auto"/>
              <w:left w:val="nil"/>
              <w:bottom w:val="single" w:sz="4" w:space="0" w:color="auto"/>
              <w:right w:val="nil"/>
            </w:tcBorders>
            <w:shd w:val="clear" w:color="auto" w:fill="auto"/>
            <w:noWrap/>
            <w:vAlign w:val="bottom"/>
            <w:hideMark/>
          </w:tcPr>
          <w:p w14:paraId="6490224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{"citationID":"a28gna7aakl","properties":{"formattedCitation":"[230]","plainCitation":"[230]","noteIndex":0},"citationItems":[{"id":160,"uris":["http://zotero.org/users/12909065/items/GS56DGD4"],"itemData":{"id":160,"type":"article-journal","abstract":"Ternary bulk-heterojunction (BHJ) polymer solar cells (PSCs) have been proved to show superior performance over binary BHJ PSCs. In this concise contribution, an octyl-substituted indacenodithieno[3,2-b] thiophene-based nonfullerene acceptor (O-ITIC), which is a derivative of ITIC but presents lower electron affinity, narrower optical band gap, and improved propensity to crystallize, is incorporated as a third component in the state-of-the-art PM6:Y6 binary BHJ blends to fabricate ternary BHJ solar cells. Results show that the optimized PM6:Y6:O-ITIC-based ternary BHJ solar cells reach higher power conversion efficiency (PCE) of 16.5% than that achieved in PM6:Y6- and PM6:O-ITIC-based binary solar cells with PCEs of 15.8 and 11.1%, respectively. Well-mixed acceptors phases and crystallite with a favorable face-on orientation are concurrently formed in the optimized ternary BHJ films. Consequently, more efficient exciton dissociation, improved and balanced charge transportation and extraction, and suppressed charge recombination losses occur in the optimized ternary BHJ devices with the aid of the third component O-ITIC. As a result, the optimized ternary devices demonstrate the lowest energy loss of 0.51 eV, an improved fill factor of 74.7%, and thus the highest PCE of 16.5%. This systematic study makes clear that rationally designed guest acceptors not only can provide additional channels for photon absorption and exciton dissociation but also can offer an effective strategy in tailoring the BHJ nanoscale morphology that are prerequisites for fast charge transportation, efficient charge extraction, and thus promising polymer solar cells.","container-title":"ACS Applied Energy Materials","DOI":"10.1021/acsaem.1c02067","issue":"9","journalAbbreviation":"ACS Appl. Energy Mater.","note":"publisher: American Chemical Society","page":"10187-10196","source":"ACS Publications","title":"Compatible Acceptors Mediate Morphology and Charge Generation, Transpration, Extraction, and Energy Loss in Efficient Ternary Polymer Solar Cells","volume":"4","author":[{"family":"Guo","given":"Lingzhi"},{"family":"Xu","given":"Zishuo"},{"family":"Jiao","given":"Xuechen"},{"family":"Ruan","given":"Qiqing"},{"family":"Xie","given":"Xiangdong"},{"family":"Xiao","given":"Biao"},{"family":"Li","given":"Qingduan"},{"family":"Cai","given":"Yue-Peng"},{"family":"Liu","given":"Shengjian"}],"issued":{"date-parts":[["2021",9,27]]}}}],"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[230]</w:t>
            </w:r>
            <w:r w:rsidRPr="00B55044">
              <w:rPr>
                <w:rFonts w:eastAsia="Times New Roman"/>
                <w:color w:val="0000FF"/>
                <w:sz w:val="16"/>
                <w:szCs w:val="16"/>
              </w:rPr>
              <w:fldChar w:fldCharType="end"/>
            </w:r>
          </w:p>
        </w:tc>
      </w:tr>
      <w:tr w:rsidR="00D47774" w:rsidRPr="00B55044" w14:paraId="732E42B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9DCAE1E"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448</w:t>
            </w:r>
          </w:p>
        </w:tc>
        <w:tc>
          <w:tcPr>
            <w:tcW w:w="1525" w:type="pct"/>
            <w:tcBorders>
              <w:top w:val="single" w:sz="4" w:space="0" w:color="auto"/>
              <w:left w:val="nil"/>
              <w:bottom w:val="single" w:sz="4" w:space="0" w:color="auto"/>
              <w:right w:val="nil"/>
            </w:tcBorders>
            <w:shd w:val="clear" w:color="auto" w:fill="auto"/>
            <w:noWrap/>
            <w:vAlign w:val="bottom"/>
            <w:hideMark/>
          </w:tcPr>
          <w:p w14:paraId="62107F3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ITO/PEDOT:PSS/AL/PNDIT-F3N-Br/Ag</w:t>
            </w:r>
          </w:p>
        </w:tc>
        <w:tc>
          <w:tcPr>
            <w:tcW w:w="1288" w:type="pct"/>
            <w:tcBorders>
              <w:top w:val="single" w:sz="4" w:space="0" w:color="auto"/>
              <w:left w:val="nil"/>
              <w:bottom w:val="single" w:sz="4" w:space="0" w:color="auto"/>
              <w:right w:val="nil"/>
            </w:tcBorders>
            <w:shd w:val="clear" w:color="auto" w:fill="auto"/>
            <w:noWrap/>
            <w:vAlign w:val="bottom"/>
            <w:hideMark/>
          </w:tcPr>
          <w:p w14:paraId="2DEDB51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PM6:Y6:O-ITIC (30%)</w:t>
            </w:r>
          </w:p>
        </w:tc>
        <w:tc>
          <w:tcPr>
            <w:tcW w:w="379" w:type="pct"/>
            <w:tcBorders>
              <w:top w:val="single" w:sz="4" w:space="0" w:color="auto"/>
              <w:left w:val="nil"/>
              <w:bottom w:val="single" w:sz="4" w:space="0" w:color="auto"/>
              <w:right w:val="nil"/>
            </w:tcBorders>
            <w:shd w:val="clear" w:color="auto" w:fill="auto"/>
            <w:noWrap/>
            <w:vAlign w:val="bottom"/>
            <w:hideMark/>
          </w:tcPr>
          <w:p w14:paraId="134988E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w:t>
            </w:r>
          </w:p>
        </w:tc>
        <w:tc>
          <w:tcPr>
            <w:tcW w:w="379" w:type="pct"/>
            <w:tcBorders>
              <w:top w:val="single" w:sz="4" w:space="0" w:color="auto"/>
              <w:left w:val="nil"/>
              <w:bottom w:val="single" w:sz="4" w:space="0" w:color="auto"/>
              <w:right w:val="nil"/>
            </w:tcBorders>
            <w:shd w:val="clear" w:color="auto" w:fill="auto"/>
            <w:noWrap/>
            <w:vAlign w:val="bottom"/>
            <w:hideMark/>
          </w:tcPr>
          <w:p w14:paraId="0715D35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23.3</w:t>
            </w:r>
          </w:p>
        </w:tc>
        <w:tc>
          <w:tcPr>
            <w:tcW w:w="378" w:type="pct"/>
            <w:tcBorders>
              <w:top w:val="single" w:sz="4" w:space="0" w:color="auto"/>
              <w:left w:val="nil"/>
              <w:bottom w:val="single" w:sz="4" w:space="0" w:color="auto"/>
              <w:right w:val="nil"/>
            </w:tcBorders>
            <w:shd w:val="clear" w:color="auto" w:fill="auto"/>
            <w:noWrap/>
            <w:vAlign w:val="bottom"/>
            <w:hideMark/>
          </w:tcPr>
          <w:p w14:paraId="6B58BC9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w:t>
            </w:r>
          </w:p>
        </w:tc>
        <w:tc>
          <w:tcPr>
            <w:tcW w:w="381" w:type="pct"/>
            <w:tcBorders>
              <w:top w:val="single" w:sz="4" w:space="0" w:color="auto"/>
              <w:left w:val="nil"/>
              <w:bottom w:val="single" w:sz="4" w:space="0" w:color="auto"/>
              <w:right w:val="nil"/>
            </w:tcBorders>
            <w:shd w:val="clear" w:color="auto" w:fill="auto"/>
            <w:noWrap/>
            <w:vAlign w:val="bottom"/>
            <w:hideMark/>
          </w:tcPr>
          <w:p w14:paraId="4648CC5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15.1</w:t>
            </w:r>
          </w:p>
        </w:tc>
        <w:tc>
          <w:tcPr>
            <w:tcW w:w="378" w:type="pct"/>
            <w:tcBorders>
              <w:top w:val="single" w:sz="4" w:space="0" w:color="auto"/>
              <w:left w:val="nil"/>
              <w:bottom w:val="single" w:sz="4" w:space="0" w:color="auto"/>
              <w:right w:val="nil"/>
            </w:tcBorders>
            <w:shd w:val="clear" w:color="auto" w:fill="auto"/>
            <w:noWrap/>
            <w:vAlign w:val="bottom"/>
            <w:hideMark/>
          </w:tcPr>
          <w:p w14:paraId="71D428CD"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{"citationID":"a24ksj3qsh","properties":{"formattedCitation":"[230]","plainCitation":"[230]","noteIndex":0},"citationItems":[{"id":160,"uris":["http://zotero.org/users/12909065/items/GS56DGD4"],"itemData":{"id":160,"type":"article-journal","abstract":"Ternary bulk-heterojunction (BHJ) polymer solar cells (PSCs) have been proved to show superior performance over binary BHJ PSCs. In this concise contribution, an octyl-substituted indacenodithieno[3,2-b] thiophene-based nonfullerene acceptor (O-ITIC), which is a derivative of ITIC but presents lower electron affinity, narrower optical band gap, and improved propensity to crystallize, is incorporated as a third component in the state-of-the-art PM6:Y6 binary BHJ blends to fabricate ternary BHJ solar cells. Results show that the optimized PM6:Y6:O-ITIC-based ternary BHJ solar cells reach higher power conversion efficiency (PCE) of 16.5% than that achieved in PM6:Y6- and PM6:O-ITIC-based binary solar cells with PCEs of 15.8 and 11.1%, respectively. Well-mixed acceptors phases and crystallite with a favorable face-on orientation are concurrently formed in the optimized ternary BHJ films. Consequently, more efficient exciton dissociation, improved and balanced charge transportation and extraction, and suppressed charge recombination losses occur in the optimized ternary BHJ devices with the aid of the third component O-ITIC. As a result, the optimized ternary devices demonstrate the lowest energy loss of 0.51 eV, an improved fill factor of 74.7%, and thus the highest PCE of 16.5%. This systematic study makes clear that rationally designed guest acceptors not only can provide additional channels for photon absorption and exciton dissociation but also can offer an effective strategy in tailoring the BHJ nanoscale morphology that are prerequisites for fast charge transportation, efficient charge extraction, and thus promising polymer solar cells.","container-title":"ACS Applied Energy Materials","DOI":"10.1021/acsaem.1c02067","issue":"9","journalAbbreviation":"ACS Appl. Energy Mater.","note":"publisher: American Chemical Society","page":"10187-10196","source":"ACS Publications","title":"Compatible Acceptors Mediate Morphology and Charge Generation, Transpration, Extraction, and Energy Loss in Efficient Ternary Polymer Solar Cells","volume":"4","author":[{"family":"Guo","given":"Lingzhi"},{"family":"Xu","given":"Zishuo"},{"family":"Jiao","given":"Xuechen"},{"family":"Ruan","given":"Qiqing"},{"family":"Xie","given":"Xiangdong"},{"family":"Xiao","given":"Biao"},{"family":"Li","given":"Qingduan"},{"family":"Cai","given":"Yue-Peng"},{"family":"Liu","given":"Shengjian"}],"issued":{"date-parts":[["2021",9,27]]}}}],"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[230]</w:t>
            </w:r>
            <w:r w:rsidRPr="00B55044">
              <w:rPr>
                <w:rFonts w:eastAsia="Times New Roman"/>
                <w:color w:val="0000FF"/>
                <w:sz w:val="16"/>
                <w:szCs w:val="16"/>
              </w:rPr>
              <w:fldChar w:fldCharType="end"/>
            </w:r>
          </w:p>
        </w:tc>
      </w:tr>
      <w:tr w:rsidR="00D47774" w:rsidRPr="00B55044" w14:paraId="7441AA80"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0C19B2D"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lastRenderedPageBreak/>
              <w:t>449</w:t>
            </w:r>
          </w:p>
        </w:tc>
        <w:tc>
          <w:tcPr>
            <w:tcW w:w="1525" w:type="pct"/>
            <w:tcBorders>
              <w:top w:val="single" w:sz="4" w:space="0" w:color="auto"/>
              <w:left w:val="nil"/>
              <w:bottom w:val="single" w:sz="4" w:space="0" w:color="auto"/>
              <w:right w:val="nil"/>
            </w:tcBorders>
            <w:shd w:val="clear" w:color="auto" w:fill="auto"/>
            <w:noWrap/>
            <w:vAlign w:val="bottom"/>
            <w:hideMark/>
          </w:tcPr>
          <w:p w14:paraId="2E6AF89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ITO/PEDOT:PSS/AL/PNDIT-F3N-Br/Ag</w:t>
            </w:r>
          </w:p>
        </w:tc>
        <w:tc>
          <w:tcPr>
            <w:tcW w:w="1288" w:type="pct"/>
            <w:tcBorders>
              <w:top w:val="single" w:sz="4" w:space="0" w:color="auto"/>
              <w:left w:val="nil"/>
              <w:bottom w:val="single" w:sz="4" w:space="0" w:color="auto"/>
              <w:right w:val="nil"/>
            </w:tcBorders>
            <w:shd w:val="clear" w:color="auto" w:fill="auto"/>
            <w:noWrap/>
            <w:vAlign w:val="bottom"/>
            <w:hideMark/>
          </w:tcPr>
          <w:p w14:paraId="58CED01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PM6:Y6:O-ITIC (50%)</w:t>
            </w:r>
          </w:p>
        </w:tc>
        <w:tc>
          <w:tcPr>
            <w:tcW w:w="379" w:type="pct"/>
            <w:tcBorders>
              <w:top w:val="single" w:sz="4" w:space="0" w:color="auto"/>
              <w:left w:val="nil"/>
              <w:bottom w:val="single" w:sz="4" w:space="0" w:color="auto"/>
              <w:right w:val="nil"/>
            </w:tcBorders>
            <w:shd w:val="clear" w:color="auto" w:fill="auto"/>
            <w:noWrap/>
            <w:vAlign w:val="bottom"/>
            <w:hideMark/>
          </w:tcPr>
          <w:p w14:paraId="1112783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0.92</w:t>
            </w:r>
          </w:p>
        </w:tc>
        <w:tc>
          <w:tcPr>
            <w:tcW w:w="379" w:type="pct"/>
            <w:tcBorders>
              <w:top w:val="single" w:sz="4" w:space="0" w:color="auto"/>
              <w:left w:val="nil"/>
              <w:bottom w:val="single" w:sz="4" w:space="0" w:color="auto"/>
              <w:right w:val="nil"/>
            </w:tcBorders>
            <w:shd w:val="clear" w:color="auto" w:fill="auto"/>
            <w:noWrap/>
            <w:vAlign w:val="bottom"/>
            <w:hideMark/>
          </w:tcPr>
          <w:p w14:paraId="0C99EE9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22.3</w:t>
            </w:r>
          </w:p>
        </w:tc>
        <w:tc>
          <w:tcPr>
            <w:tcW w:w="378" w:type="pct"/>
            <w:tcBorders>
              <w:top w:val="single" w:sz="4" w:space="0" w:color="auto"/>
              <w:left w:val="nil"/>
              <w:bottom w:val="single" w:sz="4" w:space="0" w:color="auto"/>
              <w:right w:val="nil"/>
            </w:tcBorders>
            <w:shd w:val="clear" w:color="auto" w:fill="auto"/>
            <w:noWrap/>
            <w:vAlign w:val="bottom"/>
            <w:hideMark/>
          </w:tcPr>
          <w:p w14:paraId="08628A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72.1</w:t>
            </w:r>
          </w:p>
        </w:tc>
        <w:tc>
          <w:tcPr>
            <w:tcW w:w="381" w:type="pct"/>
            <w:tcBorders>
              <w:top w:val="single" w:sz="4" w:space="0" w:color="auto"/>
              <w:left w:val="nil"/>
              <w:bottom w:val="single" w:sz="4" w:space="0" w:color="auto"/>
              <w:right w:val="nil"/>
            </w:tcBorders>
            <w:shd w:val="clear" w:color="auto" w:fill="auto"/>
            <w:noWrap/>
            <w:vAlign w:val="bottom"/>
            <w:hideMark/>
          </w:tcPr>
          <w:p w14:paraId="4767DEB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14.3</w:t>
            </w:r>
          </w:p>
        </w:tc>
        <w:tc>
          <w:tcPr>
            <w:tcW w:w="378" w:type="pct"/>
            <w:tcBorders>
              <w:top w:val="single" w:sz="4" w:space="0" w:color="auto"/>
              <w:left w:val="nil"/>
              <w:bottom w:val="single" w:sz="4" w:space="0" w:color="auto"/>
              <w:right w:val="nil"/>
            </w:tcBorders>
            <w:shd w:val="clear" w:color="auto" w:fill="auto"/>
            <w:noWrap/>
            <w:vAlign w:val="bottom"/>
            <w:hideMark/>
          </w:tcPr>
          <w:p w14:paraId="76D8BFC4"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{"citationID":"a4l39g6tr5","properties":{"formattedCitation":"[230]","plainCitation":"[230]","noteIndex":0},"citationItems":[{"id":160,"uris":["http://zotero.org/users/12909065/items/GS56DGD4"],"itemData":{"id":160,"type":"article-journal","abstract":"Ternary bulk-heterojunction (BHJ) polymer solar cells (PSCs) have been proved to show superior performance over binary BHJ PSCs. In this concise contribution, an octyl-substituted indacenodithieno[3,2-b] thiophene-based nonfullerene acceptor (O-ITIC), which is a derivative of ITIC but presents lower electron affinity, narrower optical band gap, and improved propensity to crystallize, is incorporated as a third component in the state-of-the-art PM6:Y6 binary BHJ blends to fabricate ternary BHJ solar cells. Results show that the optimized PM6:Y6:O-ITIC-based ternary BHJ solar cells reach higher power conversion efficiency (PCE) of 16.5% than that achieved in PM6:Y6- and PM6:O-ITIC-based binary solar cells with PCEs of 15.8 and 11.1%, respectively. Well-mixed acceptors phases and crystallite with a favorable face-on orientation are concurrently formed in the optimized ternary BHJ films. Consequently, more efficient exciton dissociation, improved and balanced charge transportation and extraction, and suppressed charge recombination losses occur in the optimized ternary BHJ devices with the aid of the third component O-ITIC. As a result, the optimized ternary devices demonstrate the lowest energy loss of 0.51 eV, an improved fill factor of 74.7%, and thus the highest PCE of 16.5%. This systematic study makes clear that rationally designed guest acceptors not only can provide additional channels for photon absorption and exciton dissociation but also can offer an effective strategy in tailoring the BHJ nanoscale morphology that are prerequisites for fast charge transportation, efficient charge extraction, and thus promising polymer solar cells.","container-title":"ACS Applied Energy Materials","DOI":"10.1021/acsaem.1c02067","issue":"9","journalAbbreviation":"ACS Appl. Energy Mater.","note":"publisher: American Chemical Society","page":"10187-10196","source":"ACS Publications","title":"Compatible Acceptors Mediate Morphology and Charge Generation, Transpration, Extraction, and Energy Loss in Efficient Ternary Polymer Solar Cells","volume":"4","author":[{"family":"Guo","given":"Lingzhi"},{"family":"Xu","given":"Zishuo"},{"family":"Jiao","given":"Xuechen"},{"family":"Ruan","given":"Qiqing"},{"family":"Xie","given":"Xiangdong"},{"family":"Xiao","given":"Biao"},{"family":"Li","given":"Qingduan"},{"family":"Cai","given":"Yue-Peng"},{"family":"Liu","given":"Shengjian"}],"issued":{"date-parts":[["2021",9,27]]}}}],"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[230]</w:t>
            </w:r>
            <w:r w:rsidRPr="00B55044">
              <w:rPr>
                <w:rFonts w:eastAsia="Times New Roman"/>
                <w:color w:val="0000FF"/>
                <w:sz w:val="16"/>
                <w:szCs w:val="16"/>
              </w:rPr>
              <w:fldChar w:fldCharType="end"/>
            </w:r>
          </w:p>
        </w:tc>
      </w:tr>
      <w:tr w:rsidR="00D47774" w:rsidRPr="00B55044" w14:paraId="74390A4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636EAB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450</w:t>
            </w:r>
          </w:p>
        </w:tc>
        <w:tc>
          <w:tcPr>
            <w:tcW w:w="1525" w:type="pct"/>
            <w:tcBorders>
              <w:top w:val="single" w:sz="4" w:space="0" w:color="auto"/>
              <w:left w:val="nil"/>
              <w:bottom w:val="single" w:sz="4" w:space="0" w:color="auto"/>
              <w:right w:val="nil"/>
            </w:tcBorders>
            <w:shd w:val="clear" w:color="auto" w:fill="auto"/>
            <w:noWrap/>
            <w:vAlign w:val="bottom"/>
            <w:hideMark/>
          </w:tcPr>
          <w:p w14:paraId="53D7057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ITO/PEDOT:PSS/AL/PNDIT-F3N-Br/Ag</w:t>
            </w:r>
          </w:p>
        </w:tc>
        <w:tc>
          <w:tcPr>
            <w:tcW w:w="1288" w:type="pct"/>
            <w:tcBorders>
              <w:top w:val="single" w:sz="4" w:space="0" w:color="auto"/>
              <w:left w:val="nil"/>
              <w:bottom w:val="single" w:sz="4" w:space="0" w:color="auto"/>
              <w:right w:val="nil"/>
            </w:tcBorders>
            <w:shd w:val="clear" w:color="auto" w:fill="auto"/>
            <w:noWrap/>
            <w:vAlign w:val="bottom"/>
            <w:hideMark/>
          </w:tcPr>
          <w:p w14:paraId="7AFA36D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PM6:Y6:O-ITIC (80%)</w:t>
            </w:r>
          </w:p>
        </w:tc>
        <w:tc>
          <w:tcPr>
            <w:tcW w:w="379" w:type="pct"/>
            <w:tcBorders>
              <w:top w:val="single" w:sz="4" w:space="0" w:color="auto"/>
              <w:left w:val="nil"/>
              <w:bottom w:val="single" w:sz="4" w:space="0" w:color="auto"/>
              <w:right w:val="nil"/>
            </w:tcBorders>
            <w:shd w:val="clear" w:color="auto" w:fill="auto"/>
            <w:noWrap/>
            <w:vAlign w:val="bottom"/>
            <w:hideMark/>
          </w:tcPr>
          <w:p w14:paraId="6C15E8C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0.93</w:t>
            </w:r>
          </w:p>
        </w:tc>
        <w:tc>
          <w:tcPr>
            <w:tcW w:w="379" w:type="pct"/>
            <w:tcBorders>
              <w:top w:val="single" w:sz="4" w:space="0" w:color="auto"/>
              <w:left w:val="nil"/>
              <w:bottom w:val="single" w:sz="4" w:space="0" w:color="auto"/>
              <w:right w:val="nil"/>
            </w:tcBorders>
            <w:shd w:val="clear" w:color="auto" w:fill="auto"/>
            <w:noWrap/>
            <w:vAlign w:val="bottom"/>
            <w:hideMark/>
          </w:tcPr>
          <w:p w14:paraId="1F904069"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20.4</w:t>
            </w:r>
          </w:p>
        </w:tc>
        <w:tc>
          <w:tcPr>
            <w:tcW w:w="378" w:type="pct"/>
            <w:tcBorders>
              <w:top w:val="single" w:sz="4" w:space="0" w:color="auto"/>
              <w:left w:val="nil"/>
              <w:bottom w:val="single" w:sz="4" w:space="0" w:color="auto"/>
              <w:right w:val="nil"/>
            </w:tcBorders>
            <w:shd w:val="clear" w:color="auto" w:fill="auto"/>
            <w:noWrap/>
            <w:vAlign w:val="bottom"/>
            <w:hideMark/>
          </w:tcPr>
          <w:p w14:paraId="7C03CA7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66.1</w:t>
            </w:r>
          </w:p>
        </w:tc>
        <w:tc>
          <w:tcPr>
            <w:tcW w:w="381" w:type="pct"/>
            <w:tcBorders>
              <w:top w:val="single" w:sz="4" w:space="0" w:color="auto"/>
              <w:left w:val="nil"/>
              <w:bottom w:val="single" w:sz="4" w:space="0" w:color="auto"/>
              <w:right w:val="nil"/>
            </w:tcBorders>
            <w:shd w:val="clear" w:color="auto" w:fill="auto"/>
            <w:noWrap/>
            <w:vAlign w:val="bottom"/>
            <w:hideMark/>
          </w:tcPr>
          <w:p w14:paraId="387A4A23"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12.2</w:t>
            </w:r>
          </w:p>
        </w:tc>
        <w:tc>
          <w:tcPr>
            <w:tcW w:w="378" w:type="pct"/>
            <w:tcBorders>
              <w:top w:val="single" w:sz="4" w:space="0" w:color="auto"/>
              <w:left w:val="nil"/>
              <w:bottom w:val="single" w:sz="4" w:space="0" w:color="auto"/>
              <w:right w:val="nil"/>
            </w:tcBorders>
            <w:shd w:val="clear" w:color="auto" w:fill="auto"/>
            <w:noWrap/>
            <w:vAlign w:val="bottom"/>
            <w:hideMark/>
          </w:tcPr>
          <w:p w14:paraId="467AE892"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{"citationID":"a228ldasn4i","properties":{"formattedCitation":"[230]","plainCitation":"[230]","noteIndex":0},"citationItems":[{"id":160,"uris":["http://zotero.org/users/12909065/items/GS56DGD4"],"itemData":{"id":160,"type":"article-journal","abstract":"Ternary bulk-heterojunction (BHJ) polymer solar cells (PSCs) have been proved to show superior performance over binary BHJ PSCs. In this concise contribution, an octyl-substituted indacenodithieno[3,2-b] thiophene-based nonfullerene acceptor (O-ITIC), which is a derivative of ITIC but presents lower electron affinity, narrower optical band gap, and improved propensity to crystallize, is incorporated as a third component in the state-of-the-art PM6:Y6 binary BHJ blends to fabricate ternary BHJ solar cells. Results show that the optimized PM6:Y6:O-ITIC-based ternary BHJ solar cells reach higher power conversion efficiency (PCE) of 16.5% than that achieved in PM6:Y6- and PM6:O-ITIC-based binary solar cells with PCEs of 15.8 and 11.1%, respectively. Well-mixed acceptors phases and crystallite with a favorable face-on orientation are concurrently formed in the optimized ternary BHJ films. Consequently, more efficient exciton dissociation, improved and balanced charge transportation and extraction, and suppressed charge recombination losses occur in the optimized ternary BHJ devices with the aid of the third component O-ITIC. As a result, the optimized ternary devices demonstrate the lowest energy loss of 0.51 eV, an improved fill factor of 74.7%, and thus the highest PCE of 16.5%. This systematic study makes clear that rationally designed guest acceptors not only can provide additional channels for photon absorption and exciton dissociation but also can offer an effective strategy in tailoring the BHJ nanoscale morphology that are prerequisites for fast charge transportation, efficient charge extraction, and thus promising polymer solar cells.","container-title":"ACS Applied Energy Materials","DOI":"10.1021/acsaem.1c02067","issue":"9","journalAbbreviation":"ACS Appl. Energy Mater.","note":"publisher: American Chemical Society","page":"10187-10196","source":"ACS Publications","title":"Compatible Acceptors Mediate Morphology and Charge Generation, Transpration, Extraction, and Energy Loss in Efficient Ternary Polymer Solar Cells","volume":"4","author":[{"family":"Guo","given":"Lingzhi"},{"family":"Xu","given":"Zishuo"},{"family":"Jiao","given":"Xuechen"},{"family":"Ruan","given":"Qiqing"},{"family":"Xie","given":"Xiangdong"},{"family":"Xiao","given":"Biao"},{"family":"Li","given":"Qingduan"},{"family":"Cai","given":"Yue-Peng"},{"family":"Liu","given":"Shengjian"}],"issued":{"date-parts":[["2021",9,27]]}}}],"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[230]</w:t>
            </w:r>
            <w:r w:rsidRPr="00B55044">
              <w:rPr>
                <w:rFonts w:eastAsia="Times New Roman"/>
                <w:color w:val="0000FF"/>
                <w:sz w:val="16"/>
                <w:szCs w:val="16"/>
              </w:rPr>
              <w:fldChar w:fldCharType="end"/>
            </w:r>
          </w:p>
        </w:tc>
      </w:tr>
      <w:tr w:rsidR="00D47774" w:rsidRPr="00B55044" w14:paraId="406B7E6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B4CD69B"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451</w:t>
            </w:r>
          </w:p>
        </w:tc>
        <w:tc>
          <w:tcPr>
            <w:tcW w:w="1525" w:type="pct"/>
            <w:tcBorders>
              <w:top w:val="single" w:sz="4" w:space="0" w:color="auto"/>
              <w:left w:val="nil"/>
              <w:bottom w:val="single" w:sz="4" w:space="0" w:color="auto"/>
              <w:right w:val="nil"/>
            </w:tcBorders>
            <w:shd w:val="clear" w:color="auto" w:fill="auto"/>
            <w:noWrap/>
            <w:vAlign w:val="bottom"/>
            <w:hideMark/>
          </w:tcPr>
          <w:p w14:paraId="5DD1DFC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ITO/PEDOT:PSS/AL/PDINO/Al</w:t>
            </w:r>
          </w:p>
        </w:tc>
        <w:tc>
          <w:tcPr>
            <w:tcW w:w="1288" w:type="pct"/>
            <w:tcBorders>
              <w:top w:val="single" w:sz="4" w:space="0" w:color="auto"/>
              <w:left w:val="nil"/>
              <w:bottom w:val="single" w:sz="4" w:space="0" w:color="auto"/>
              <w:right w:val="nil"/>
            </w:tcBorders>
            <w:shd w:val="clear" w:color="auto" w:fill="auto"/>
            <w:noWrap/>
            <w:vAlign w:val="bottom"/>
            <w:hideMark/>
          </w:tcPr>
          <w:p w14:paraId="5782F5F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PM6:Y6:C6</w:t>
            </w:r>
          </w:p>
        </w:tc>
        <w:tc>
          <w:tcPr>
            <w:tcW w:w="379" w:type="pct"/>
            <w:tcBorders>
              <w:top w:val="single" w:sz="4" w:space="0" w:color="auto"/>
              <w:left w:val="nil"/>
              <w:bottom w:val="single" w:sz="4" w:space="0" w:color="auto"/>
              <w:right w:val="nil"/>
            </w:tcBorders>
            <w:shd w:val="clear" w:color="auto" w:fill="auto"/>
            <w:noWrap/>
            <w:vAlign w:val="bottom"/>
            <w:hideMark/>
          </w:tcPr>
          <w:p w14:paraId="5621E2C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0.853</w:t>
            </w:r>
          </w:p>
        </w:tc>
        <w:tc>
          <w:tcPr>
            <w:tcW w:w="379" w:type="pct"/>
            <w:tcBorders>
              <w:top w:val="single" w:sz="4" w:space="0" w:color="auto"/>
              <w:left w:val="nil"/>
              <w:bottom w:val="single" w:sz="4" w:space="0" w:color="auto"/>
              <w:right w:val="nil"/>
            </w:tcBorders>
            <w:shd w:val="clear" w:color="auto" w:fill="auto"/>
            <w:noWrap/>
            <w:vAlign w:val="bottom"/>
            <w:hideMark/>
          </w:tcPr>
          <w:p w14:paraId="6D070B3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25.84</w:t>
            </w:r>
          </w:p>
        </w:tc>
        <w:tc>
          <w:tcPr>
            <w:tcW w:w="378" w:type="pct"/>
            <w:tcBorders>
              <w:top w:val="single" w:sz="4" w:space="0" w:color="auto"/>
              <w:left w:val="nil"/>
              <w:bottom w:val="single" w:sz="4" w:space="0" w:color="auto"/>
              <w:right w:val="nil"/>
            </w:tcBorders>
            <w:shd w:val="clear" w:color="auto" w:fill="auto"/>
            <w:noWrap/>
            <w:vAlign w:val="bottom"/>
            <w:hideMark/>
          </w:tcPr>
          <w:p w14:paraId="424746E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75.84</w:t>
            </w:r>
          </w:p>
        </w:tc>
        <w:tc>
          <w:tcPr>
            <w:tcW w:w="381" w:type="pct"/>
            <w:tcBorders>
              <w:top w:val="single" w:sz="4" w:space="0" w:color="auto"/>
              <w:left w:val="nil"/>
              <w:bottom w:val="single" w:sz="4" w:space="0" w:color="auto"/>
              <w:right w:val="nil"/>
            </w:tcBorders>
            <w:shd w:val="clear" w:color="auto" w:fill="auto"/>
            <w:noWrap/>
            <w:vAlign w:val="bottom"/>
            <w:hideMark/>
          </w:tcPr>
          <w:p w14:paraId="4376FB3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16.71</w:t>
            </w:r>
          </w:p>
        </w:tc>
        <w:tc>
          <w:tcPr>
            <w:tcW w:w="378" w:type="pct"/>
            <w:tcBorders>
              <w:top w:val="single" w:sz="4" w:space="0" w:color="auto"/>
              <w:left w:val="nil"/>
              <w:bottom w:val="single" w:sz="4" w:space="0" w:color="auto"/>
              <w:right w:val="nil"/>
            </w:tcBorders>
            <w:shd w:val="clear" w:color="auto" w:fill="auto"/>
            <w:noWrap/>
            <w:vAlign w:val="bottom"/>
            <w:hideMark/>
          </w:tcPr>
          <w:p w14:paraId="4690E9F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{"citationID":"a1ijjg675cv","properties":{"formattedCitation":"[231]","plainCitation":"[231]","noteIndex":0},"citationItems":[{"id":159,"uris":["http://zotero.org/users/12909065/items/AEE29BUN"],"itemData":{"id":159,"type":"article-journal","abstract":"Ultra-flexible light-permeable organic solar cells (LP-OSCs) have attracted great attentions for their potential greenhouse applications. Herein, we reported for the first time the quantitative analysis of medicinal plants, photosynthetic efficiency and content of medicinal active ingredients, to evaluate the overall performance of the ultra-flexible OSC with high-transmission by simulating the greenhouse environment. In addition, ternary active layer strategy consisting of near-infrared (NIR) alloy acceptors was utilized for the LP-OSCs to effectively solve the trade-off between photovoltaic and optical properties. As a result, high efficiency of 15.1% and 12.04% for ultra-flexible opaque cell and devices with were obtained. The LP-OSCs based on ultra-flexible electrode with hierarchically photonic architectures had low incident light angle dependence which was beneficial for complex three-dimensional curved surface applications. Moreover, medicinal plants grown under ultra-flexible LP-OSCs displayed comparable growing tendency and pharmaceutical value with those grown under direct sunlight, which were studied based on the photosynthetic efficiency and content of medicinal active ingredients. This is the first report of the quantitative analysis of the effects of LP-OSCs on plant growth. Those results paved the way for realizing high-performing ultra-flexible LP-OSCs that could selectively absorb and transmit light for power generation and plants growth.","container-title":"Nano Energy","DOI":"10.1016/j.nanoen.2021.106044","ISSN":"2211-2855","journalAbbreviation":"Nano Energy","page":"106044","source":"ScienceDirect","title":"Ultra-flexible light-permeable organic solar cells for the herbal photosynthetic growth","volume":"86","author":[{"family":"Song","given":"Wei"},{"family":"Liu","given":"Yuxiu"},{"family":"Fanady","given":"Billy"},{"family":"Han","given":"Yufang"},{"family":"Xie","given":"Lin"},{"family":"Chen","given":"Zhenyu"},{"family":"Yu","given":"Kuibao"},{"family":"Peng","given":"Xin"},{"family":"Zhang","given":"Xiaoli"},{"family":"Ge","given":"Ziyi"}],"issued":{"date-parts":[["2021",8,1]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[231]</w:t>
            </w:r>
            <w:r w:rsidRPr="00B55044">
              <w:rPr>
                <w:rFonts w:eastAsia="Times New Roman"/>
                <w:color w:val="0000FF"/>
                <w:sz w:val="16"/>
                <w:szCs w:val="16"/>
              </w:rPr>
              <w:fldChar w:fldCharType="end"/>
            </w:r>
          </w:p>
        </w:tc>
      </w:tr>
      <w:tr w:rsidR="00D47774" w:rsidRPr="00B55044" w14:paraId="4276537F"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6DDADB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452</w:t>
            </w:r>
          </w:p>
        </w:tc>
        <w:tc>
          <w:tcPr>
            <w:tcW w:w="1525" w:type="pct"/>
            <w:tcBorders>
              <w:top w:val="single" w:sz="4" w:space="0" w:color="auto"/>
              <w:left w:val="nil"/>
              <w:bottom w:val="single" w:sz="4" w:space="0" w:color="auto"/>
              <w:right w:val="nil"/>
            </w:tcBorders>
            <w:shd w:val="clear" w:color="auto" w:fill="auto"/>
            <w:noWrap/>
            <w:vAlign w:val="bottom"/>
            <w:hideMark/>
          </w:tcPr>
          <w:p w14:paraId="315EB72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ITO/SnO2/1-DPAQ/AL/MoO</w:t>
            </w:r>
            <w:r w:rsidRPr="00B55044">
              <w:rPr>
                <w:rFonts w:eastAsia="Times New Roman"/>
                <w:sz w:val="16"/>
                <w:szCs w:val="16"/>
                <w:vertAlign w:val="subscript"/>
              </w:rPr>
              <w:t>3</w:t>
            </w:r>
            <w:r w:rsidRPr="00B55044">
              <w:rPr>
                <w:rFonts w:eastAsia="Times New Roman"/>
                <w:sz w:val="16"/>
                <w:szCs w:val="16"/>
              </w:rPr>
              <w:t>/Al</w:t>
            </w:r>
          </w:p>
        </w:tc>
        <w:tc>
          <w:tcPr>
            <w:tcW w:w="1288" w:type="pct"/>
            <w:tcBorders>
              <w:top w:val="single" w:sz="4" w:space="0" w:color="auto"/>
              <w:left w:val="nil"/>
              <w:bottom w:val="single" w:sz="4" w:space="0" w:color="auto"/>
              <w:right w:val="nil"/>
            </w:tcBorders>
            <w:shd w:val="clear" w:color="auto" w:fill="auto"/>
            <w:noWrap/>
            <w:vAlign w:val="bottom"/>
            <w:hideMark/>
          </w:tcPr>
          <w:p w14:paraId="19A4188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PM6:PB2F:BTP-eC9</w:t>
            </w:r>
          </w:p>
        </w:tc>
        <w:tc>
          <w:tcPr>
            <w:tcW w:w="379" w:type="pct"/>
            <w:tcBorders>
              <w:top w:val="single" w:sz="4" w:space="0" w:color="auto"/>
              <w:left w:val="nil"/>
              <w:bottom w:val="single" w:sz="4" w:space="0" w:color="auto"/>
              <w:right w:val="nil"/>
            </w:tcBorders>
            <w:shd w:val="clear" w:color="auto" w:fill="auto"/>
            <w:noWrap/>
            <w:vAlign w:val="bottom"/>
            <w:hideMark/>
          </w:tcPr>
          <w:p w14:paraId="474D949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064B0CE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26.5</w:t>
            </w:r>
          </w:p>
        </w:tc>
        <w:tc>
          <w:tcPr>
            <w:tcW w:w="378" w:type="pct"/>
            <w:tcBorders>
              <w:top w:val="single" w:sz="4" w:space="0" w:color="auto"/>
              <w:left w:val="nil"/>
              <w:bottom w:val="single" w:sz="4" w:space="0" w:color="auto"/>
              <w:right w:val="nil"/>
            </w:tcBorders>
            <w:shd w:val="clear" w:color="auto" w:fill="auto"/>
            <w:noWrap/>
            <w:vAlign w:val="bottom"/>
            <w:hideMark/>
          </w:tcPr>
          <w:p w14:paraId="083AA06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79.3</w:t>
            </w:r>
          </w:p>
        </w:tc>
        <w:tc>
          <w:tcPr>
            <w:tcW w:w="381" w:type="pct"/>
            <w:tcBorders>
              <w:top w:val="single" w:sz="4" w:space="0" w:color="auto"/>
              <w:left w:val="nil"/>
              <w:bottom w:val="single" w:sz="4" w:space="0" w:color="auto"/>
              <w:right w:val="nil"/>
            </w:tcBorders>
            <w:shd w:val="clear" w:color="auto" w:fill="auto"/>
            <w:noWrap/>
            <w:vAlign w:val="bottom"/>
            <w:hideMark/>
          </w:tcPr>
          <w:p w14:paraId="4C2983B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18.1</w:t>
            </w:r>
          </w:p>
        </w:tc>
        <w:tc>
          <w:tcPr>
            <w:tcW w:w="378" w:type="pct"/>
            <w:tcBorders>
              <w:top w:val="single" w:sz="4" w:space="0" w:color="auto"/>
              <w:left w:val="nil"/>
              <w:bottom w:val="single" w:sz="4" w:space="0" w:color="auto"/>
              <w:right w:val="nil"/>
            </w:tcBorders>
            <w:shd w:val="clear" w:color="auto" w:fill="auto"/>
            <w:noWrap/>
            <w:vAlign w:val="bottom"/>
            <w:hideMark/>
          </w:tcPr>
          <w:p w14:paraId="6FAFB316"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{"citationID":"a13o2r2mmgi","properties":{"formattedCitation":"[232]","plainCitation":"[232]","noteIndex":0},"citationItems":[{"id":158,"uris":["http://zotero.org/users/12909065/items/S9AWDM3K"],"itemData":{"id":158,"type":"article-journal","abstract":"An anthraquinone derivative is developed to modify the SnO\n              2\n              interface in organic solar cells\n              via\n              the multi-site coordination effect, yielding outstanding photovoltaic performances and device stability.\n            \n          , \n            \n              Low work-function metal oxides have been widely used as electron transport layers (ETLs) in organic solar cells (OSCs). However, the ubiquitous contact barrier and intrinsic surface defects of such ETLs severely restrained the efficiency and stability of OSCs. Here, a strategy for multi-site coordination was adopted by designing and introducing an anthraquinone derivative (1-DPAQ) to passivate the surface defects of SnO\n              2\n              ETLs. We find that the modification of 1-DPAQ can optimize the work function and improve the conductivity of the SnO\n              2\n              layer. Besides, systematic theoretical analysis and characterization studies have revealed that stable coordination interactions exist between SnO\n              2\n              and 1-DPAQ, filling the oxygen vacancy of SnO\n              2\n              . 1-DPAQ effectively inhibits the charge recombination and improves the charge collection ability simultaneously. In addition to achieving high PCEs of 17.7% and 18.1% for the binary and ternary active layer, the OSC devices based on the SnO\n              2\n              /1-DPAQ composite ETL exhibit significantly improved device stability. This work highlights the working mechanism of multi-site coordination on interface modification and represents a feasible and straightforward method to optimize the properties of metal oxide ETLs for efficient and stable OSCs.","container-title":"Energy &amp; Environmental Science","DOI":"10.1039/D1EE03263A","ISSN":"1754-5692, 1754-5706","issue":"2","journalAbbreviation":"Energy Environ. Sci.","language":"en","page":"822-829","source":"DOI.org (Crossref)","title":"Efficient interface modification &lt;i&gt;via&lt;/i&gt; multi-site coordination for improved efficiency and stability in organic solar cells","volume":"15","author":[{"family":"Yu","given":"Runnan"},{"family":"Wei","given":"Xueqi"},{"family":"Wu","given":"Guangzheng"},{"family":"Zhang","given":"Tao"},{"family":"Gong","given":"Yongshuai"},{"family":"Zhao","given":"Biao"},{"family":"Hou","given":"Jianhui"},{"family":"Yang","given":"Chunhe"},{"family":"Tan","given":"Zhan'ao"}],"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[232]</w:t>
            </w:r>
            <w:r w:rsidRPr="00B55044">
              <w:rPr>
                <w:rFonts w:eastAsia="Times New Roman"/>
                <w:color w:val="0000FF"/>
                <w:sz w:val="16"/>
                <w:szCs w:val="16"/>
              </w:rPr>
              <w:fldChar w:fldCharType="end"/>
            </w:r>
          </w:p>
        </w:tc>
      </w:tr>
      <w:tr w:rsidR="00D47774" w:rsidRPr="00B55044" w14:paraId="25BCBBCB"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06DF66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453</w:t>
            </w:r>
          </w:p>
        </w:tc>
        <w:tc>
          <w:tcPr>
            <w:tcW w:w="1525" w:type="pct"/>
            <w:tcBorders>
              <w:top w:val="single" w:sz="4" w:space="0" w:color="auto"/>
              <w:left w:val="nil"/>
              <w:bottom w:val="single" w:sz="4" w:space="0" w:color="auto"/>
              <w:right w:val="nil"/>
            </w:tcBorders>
            <w:shd w:val="clear" w:color="auto" w:fill="auto"/>
            <w:noWrap/>
            <w:vAlign w:val="bottom"/>
            <w:hideMark/>
          </w:tcPr>
          <w:p w14:paraId="2592509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7929964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PM6:αBTCl:L8-BO</w:t>
            </w:r>
          </w:p>
        </w:tc>
        <w:tc>
          <w:tcPr>
            <w:tcW w:w="379" w:type="pct"/>
            <w:tcBorders>
              <w:top w:val="single" w:sz="4" w:space="0" w:color="auto"/>
              <w:left w:val="nil"/>
              <w:bottom w:val="single" w:sz="4" w:space="0" w:color="auto"/>
              <w:right w:val="nil"/>
            </w:tcBorders>
            <w:shd w:val="clear" w:color="auto" w:fill="auto"/>
            <w:noWrap/>
            <w:vAlign w:val="bottom"/>
            <w:hideMark/>
          </w:tcPr>
          <w:p w14:paraId="4B77063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0.904</w:t>
            </w:r>
          </w:p>
        </w:tc>
        <w:tc>
          <w:tcPr>
            <w:tcW w:w="379" w:type="pct"/>
            <w:tcBorders>
              <w:top w:val="single" w:sz="4" w:space="0" w:color="auto"/>
              <w:left w:val="nil"/>
              <w:bottom w:val="single" w:sz="4" w:space="0" w:color="auto"/>
              <w:right w:val="nil"/>
            </w:tcBorders>
            <w:shd w:val="clear" w:color="auto" w:fill="auto"/>
            <w:noWrap/>
            <w:vAlign w:val="bottom"/>
            <w:hideMark/>
          </w:tcPr>
          <w:p w14:paraId="3035954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26.68</w:t>
            </w:r>
          </w:p>
        </w:tc>
        <w:tc>
          <w:tcPr>
            <w:tcW w:w="378" w:type="pct"/>
            <w:tcBorders>
              <w:top w:val="single" w:sz="4" w:space="0" w:color="auto"/>
              <w:left w:val="nil"/>
              <w:bottom w:val="single" w:sz="4" w:space="0" w:color="auto"/>
              <w:right w:val="nil"/>
            </w:tcBorders>
            <w:shd w:val="clear" w:color="auto" w:fill="auto"/>
            <w:noWrap/>
            <w:vAlign w:val="bottom"/>
            <w:hideMark/>
          </w:tcPr>
          <w:p w14:paraId="12AD0BA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78.19</w:t>
            </w:r>
          </w:p>
        </w:tc>
        <w:tc>
          <w:tcPr>
            <w:tcW w:w="381" w:type="pct"/>
            <w:tcBorders>
              <w:top w:val="single" w:sz="4" w:space="0" w:color="auto"/>
              <w:left w:val="nil"/>
              <w:bottom w:val="single" w:sz="4" w:space="0" w:color="auto"/>
              <w:right w:val="nil"/>
            </w:tcBorders>
            <w:shd w:val="clear" w:color="auto" w:fill="auto"/>
            <w:noWrap/>
            <w:vAlign w:val="bottom"/>
            <w:hideMark/>
          </w:tcPr>
          <w:p w14:paraId="13A4E25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18.85</w:t>
            </w:r>
          </w:p>
        </w:tc>
        <w:tc>
          <w:tcPr>
            <w:tcW w:w="378" w:type="pct"/>
            <w:tcBorders>
              <w:top w:val="single" w:sz="4" w:space="0" w:color="auto"/>
              <w:left w:val="nil"/>
              <w:bottom w:val="single" w:sz="4" w:space="0" w:color="auto"/>
              <w:right w:val="nil"/>
            </w:tcBorders>
            <w:shd w:val="clear" w:color="auto" w:fill="auto"/>
            <w:noWrap/>
            <w:vAlign w:val="bottom"/>
            <w:hideMark/>
          </w:tcPr>
          <w:p w14:paraId="378C8AF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{"citationID":"a1vjdrsonnk","properties":{"formattedCitation":"[233]","plainCitation":"[233]","noteIndex":0},"citationItems":[{"id":156,"uris":["http://zotero.org/users/12909065/items/5ZVSMSMT"],"itemData":{"id":156,"type":"article-journal","abstract":"Ternary organic solar cells (OSCs) represent an efficient and facile strategy to further boost the device performance. However, the selection criteria and rational design of the third guest small molecule (SM) material still remain less understood. In this study, two new SM donor isomers, with α-chlorinated thiophene (αBTCl) and β-chlorinated thiophene (βBTCl) as side chains, are systematically designed, synthesized and incorporated as a third component in PM6:L8-BO binary blends. It is noticed that introducing the SM donors guest has extended the absorption of photo-active layer, induced desired component distribution vertically with enhanced crystallinity and reduced recombination process, leading to increased short-circuit current (JSC) and improved fill factor. Moreover, due to the synergetic suppressed nonradiative loss and preferable morphology, the ternary OSCs feature improves open-circuit voltage (VOC). Consequently, an impressive champion power conversion efficiency of 18.96% and 18.55% is achieved by αBTCl-based and βBTCl-based ternary OSCs, respectively. Furthermore, a record efficiency of 17.46% is obtained with a 330 nm thickness of αBTCl-based ternary OSCs. This study demonstrates that molecular isomerization can be a promising design approach for SM donors to construct high-performance ternary OSCs with simultaneous enhancement of all photovoltaic parameters.","container-title":"Advanced Functional Materials","DOI":"10.1002/adfm.202301108","ISSN":"1616-3028","issue":"30","language":"en","license":"© 2023 Wiley-VCH GmbH","note":"_eprint: https://onlinelibrary.wiley.com/doi/pdf/10.1002/adfm.202301108","page":"2301108","source":"Wiley Online Library","title":"18.9% Efficiency Ternary Organic Solar Cells Enabled by Isomerization Engineering of Chlorine-Substitution on Small Molecule Donors","volume":"33","author":[{"family":"Zhang","given":"Chenyang"},{"family":"Li","given":"Jing"},{"family":"Deng","given":"Wanyuan"},{"family":"Dai","given":"Junpeng"},{"family":"Yu","given":"Jifa"},{"family":"Lu","given":"Guanghao"},{"family":"Hu","given":"Hanlin"},{"family":"Wang","given":"Kai"}],"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[233]</w:t>
            </w:r>
            <w:r w:rsidRPr="00B55044">
              <w:rPr>
                <w:rFonts w:eastAsia="Times New Roman"/>
                <w:color w:val="0000FF"/>
                <w:sz w:val="16"/>
                <w:szCs w:val="16"/>
              </w:rPr>
              <w:fldChar w:fldCharType="end"/>
            </w:r>
          </w:p>
        </w:tc>
      </w:tr>
      <w:tr w:rsidR="00D47774" w:rsidRPr="00B55044" w14:paraId="4235393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547D10D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454</w:t>
            </w:r>
          </w:p>
        </w:tc>
        <w:tc>
          <w:tcPr>
            <w:tcW w:w="1525" w:type="pct"/>
            <w:tcBorders>
              <w:top w:val="single" w:sz="4" w:space="0" w:color="auto"/>
              <w:left w:val="nil"/>
              <w:bottom w:val="single" w:sz="4" w:space="0" w:color="auto"/>
              <w:right w:val="nil"/>
            </w:tcBorders>
            <w:shd w:val="clear" w:color="auto" w:fill="auto"/>
            <w:noWrap/>
            <w:vAlign w:val="bottom"/>
            <w:hideMark/>
          </w:tcPr>
          <w:p w14:paraId="5CFC0DD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ITO/PEDOT:PSS/AL/PNDIT-F3N/Ag</w:t>
            </w:r>
          </w:p>
        </w:tc>
        <w:tc>
          <w:tcPr>
            <w:tcW w:w="1288" w:type="pct"/>
            <w:tcBorders>
              <w:top w:val="single" w:sz="4" w:space="0" w:color="auto"/>
              <w:left w:val="nil"/>
              <w:bottom w:val="single" w:sz="4" w:space="0" w:color="auto"/>
              <w:right w:val="nil"/>
            </w:tcBorders>
            <w:shd w:val="clear" w:color="auto" w:fill="auto"/>
            <w:noWrap/>
            <w:vAlign w:val="bottom"/>
            <w:hideMark/>
          </w:tcPr>
          <w:p w14:paraId="4CAC46C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PM6:βBTCl:L8-BO</w:t>
            </w:r>
          </w:p>
        </w:tc>
        <w:tc>
          <w:tcPr>
            <w:tcW w:w="379" w:type="pct"/>
            <w:tcBorders>
              <w:top w:val="single" w:sz="4" w:space="0" w:color="auto"/>
              <w:left w:val="nil"/>
              <w:bottom w:val="single" w:sz="4" w:space="0" w:color="auto"/>
              <w:right w:val="nil"/>
            </w:tcBorders>
            <w:shd w:val="clear" w:color="auto" w:fill="auto"/>
            <w:noWrap/>
            <w:vAlign w:val="bottom"/>
            <w:hideMark/>
          </w:tcPr>
          <w:p w14:paraId="082501D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0.892</w:t>
            </w:r>
          </w:p>
        </w:tc>
        <w:tc>
          <w:tcPr>
            <w:tcW w:w="379" w:type="pct"/>
            <w:tcBorders>
              <w:top w:val="single" w:sz="4" w:space="0" w:color="auto"/>
              <w:left w:val="nil"/>
              <w:bottom w:val="single" w:sz="4" w:space="0" w:color="auto"/>
              <w:right w:val="nil"/>
            </w:tcBorders>
            <w:shd w:val="clear" w:color="auto" w:fill="auto"/>
            <w:noWrap/>
            <w:vAlign w:val="bottom"/>
            <w:hideMark/>
          </w:tcPr>
          <w:p w14:paraId="0EC34C2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26.81</w:t>
            </w:r>
          </w:p>
        </w:tc>
        <w:tc>
          <w:tcPr>
            <w:tcW w:w="378" w:type="pct"/>
            <w:tcBorders>
              <w:top w:val="single" w:sz="4" w:space="0" w:color="auto"/>
              <w:left w:val="nil"/>
              <w:bottom w:val="single" w:sz="4" w:space="0" w:color="auto"/>
              <w:right w:val="nil"/>
            </w:tcBorders>
            <w:shd w:val="clear" w:color="auto" w:fill="auto"/>
            <w:noWrap/>
            <w:vAlign w:val="bottom"/>
            <w:hideMark/>
          </w:tcPr>
          <w:p w14:paraId="754D217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77.08</w:t>
            </w:r>
          </w:p>
        </w:tc>
        <w:tc>
          <w:tcPr>
            <w:tcW w:w="381" w:type="pct"/>
            <w:tcBorders>
              <w:top w:val="single" w:sz="4" w:space="0" w:color="auto"/>
              <w:left w:val="nil"/>
              <w:bottom w:val="single" w:sz="4" w:space="0" w:color="auto"/>
              <w:right w:val="nil"/>
            </w:tcBorders>
            <w:shd w:val="clear" w:color="auto" w:fill="auto"/>
            <w:noWrap/>
            <w:vAlign w:val="bottom"/>
            <w:hideMark/>
          </w:tcPr>
          <w:p w14:paraId="2B0B013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18.43</w:t>
            </w:r>
          </w:p>
        </w:tc>
        <w:tc>
          <w:tcPr>
            <w:tcW w:w="378" w:type="pct"/>
            <w:tcBorders>
              <w:top w:val="single" w:sz="4" w:space="0" w:color="auto"/>
              <w:left w:val="nil"/>
              <w:bottom w:val="single" w:sz="4" w:space="0" w:color="auto"/>
              <w:right w:val="nil"/>
            </w:tcBorders>
            <w:shd w:val="clear" w:color="auto" w:fill="auto"/>
            <w:noWrap/>
            <w:vAlign w:val="bottom"/>
            <w:hideMark/>
          </w:tcPr>
          <w:p w14:paraId="603A9363"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{"citationID":"a2h4sbtd5ch","properties":{"formattedCitation":"[233]","plainCitation":"[233]","noteIndex":0},"citationItems":[{"id":156,"uris":["http://zotero.org/users/12909065/items/5ZVSMSMT"],"itemData":{"id":156,"type":"article-journal","abstract":"Ternary organic solar cells (OSCs) represent an efficient and facile strategy to further boost the device performance. However, the selection criteria and rational design of the third guest small molecule (SM) material still remain less understood. In this study, two new SM donor isomers, with α-chlorinated thiophene (αBTCl) and β-chlorinated thiophene (βBTCl) as side chains, are systematically designed, synthesized and incorporated as a third component in PM6:L8-BO binary blends. It is noticed that introducing the SM donors guest has extended the absorption of photo-active layer, induced desired component distribution vertically with enhanced crystallinity and reduced recombination process, leading to increased short-circuit current (JSC) and improved fill factor. Moreover, due to the synergetic suppressed nonradiative loss and preferable morphology, the ternary OSCs feature improves open-circuit voltage (VOC). Consequently, an impressive champion power conversion efficiency of 18.96% and 18.55% is achieved by αBTCl-based and βBTCl-based ternary OSCs, respectively. Furthermore, a record efficiency of 17.46% is obtained with a 330 nm thickness of αBTCl-based ternary OSCs. This study demonstrates that molecular isomerization can be a promising design approach for SM donors to construct high-performance ternary OSCs with simultaneous enhancement of all photovoltaic parameters.","container-title":"Advanced Functional Materials","DOI":"10.1002/adfm.202301108","ISSN":"1616-3028","issue":"30","language":"en","license":"© 2023 Wiley-VCH GmbH","note":"_eprint: https://onlinelibrary.wiley.com/doi/pdf/10.1002/adfm.202301108","page":"2301108","source":"Wiley Online Library","title":"18.9% Efficiency Ternary Organic Solar Cells Enabled by Isomerization Engineering of Chlorine-Substitution on Small Molecule Donors","volume":"33","author":[{"family":"Zhang","given":"Chenyang"},{"family":"Li","given":"Jing"},{"family":"Deng","given":"Wanyuan"},{"family":"Dai","given":"Junpeng"},{"family":"Yu","given":"Jifa"},{"family":"Lu","given":"Guanghao"},{"family":"Hu","given":"Hanlin"},{"family":"Wang","given":"Kai"}],"issued":{"date-parts":[["2023"]]}}}],"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[233]</w:t>
            </w:r>
            <w:r w:rsidRPr="00B55044">
              <w:rPr>
                <w:rFonts w:eastAsia="Times New Roman"/>
                <w:color w:val="0000FF"/>
                <w:sz w:val="16"/>
                <w:szCs w:val="16"/>
              </w:rPr>
              <w:fldChar w:fldCharType="end"/>
            </w:r>
          </w:p>
        </w:tc>
      </w:tr>
      <w:tr w:rsidR="00D47774" w:rsidRPr="00B55044" w14:paraId="569A242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0EE01327"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455</w:t>
            </w:r>
          </w:p>
        </w:tc>
        <w:tc>
          <w:tcPr>
            <w:tcW w:w="1525" w:type="pct"/>
            <w:tcBorders>
              <w:top w:val="single" w:sz="4" w:space="0" w:color="auto"/>
              <w:left w:val="nil"/>
              <w:bottom w:val="single" w:sz="4" w:space="0" w:color="auto"/>
              <w:right w:val="nil"/>
            </w:tcBorders>
            <w:shd w:val="clear" w:color="auto" w:fill="auto"/>
            <w:noWrap/>
            <w:vAlign w:val="bottom"/>
            <w:hideMark/>
          </w:tcPr>
          <w:p w14:paraId="454B666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78A56AB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7CFAF53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0.834</w:t>
            </w:r>
          </w:p>
        </w:tc>
        <w:tc>
          <w:tcPr>
            <w:tcW w:w="379" w:type="pct"/>
            <w:tcBorders>
              <w:top w:val="single" w:sz="4" w:space="0" w:color="auto"/>
              <w:left w:val="nil"/>
              <w:bottom w:val="single" w:sz="4" w:space="0" w:color="auto"/>
              <w:right w:val="nil"/>
            </w:tcBorders>
            <w:shd w:val="clear" w:color="auto" w:fill="auto"/>
            <w:noWrap/>
            <w:vAlign w:val="bottom"/>
            <w:hideMark/>
          </w:tcPr>
          <w:p w14:paraId="429F4FE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23.2</w:t>
            </w:r>
          </w:p>
        </w:tc>
        <w:tc>
          <w:tcPr>
            <w:tcW w:w="378" w:type="pct"/>
            <w:tcBorders>
              <w:top w:val="single" w:sz="4" w:space="0" w:color="auto"/>
              <w:left w:val="nil"/>
              <w:bottom w:val="single" w:sz="4" w:space="0" w:color="auto"/>
              <w:right w:val="nil"/>
            </w:tcBorders>
            <w:shd w:val="clear" w:color="auto" w:fill="auto"/>
            <w:noWrap/>
            <w:vAlign w:val="bottom"/>
            <w:hideMark/>
          </w:tcPr>
          <w:p w14:paraId="74C9E91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70.1</w:t>
            </w:r>
          </w:p>
        </w:tc>
        <w:tc>
          <w:tcPr>
            <w:tcW w:w="381" w:type="pct"/>
            <w:tcBorders>
              <w:top w:val="single" w:sz="4" w:space="0" w:color="auto"/>
              <w:left w:val="nil"/>
              <w:bottom w:val="single" w:sz="4" w:space="0" w:color="auto"/>
              <w:right w:val="nil"/>
            </w:tcBorders>
            <w:shd w:val="clear" w:color="auto" w:fill="auto"/>
            <w:noWrap/>
            <w:vAlign w:val="bottom"/>
            <w:hideMark/>
          </w:tcPr>
          <w:p w14:paraId="00FF5DA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13.6</w:t>
            </w:r>
          </w:p>
        </w:tc>
        <w:tc>
          <w:tcPr>
            <w:tcW w:w="378" w:type="pct"/>
            <w:tcBorders>
              <w:top w:val="single" w:sz="4" w:space="0" w:color="auto"/>
              <w:left w:val="nil"/>
              <w:bottom w:val="single" w:sz="4" w:space="0" w:color="auto"/>
              <w:right w:val="nil"/>
            </w:tcBorders>
            <w:shd w:val="clear" w:color="auto" w:fill="auto"/>
            <w:noWrap/>
            <w:vAlign w:val="bottom"/>
            <w:hideMark/>
          </w:tcPr>
          <w:p w14:paraId="5FB8FBA0"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{"citationID":"a5pubdhuf1","properties":{"formattedCitation":"[234]","plainCitation":"[234]","noteIndex":0},"citationItems":[{"id":154,"uris":["http://zotero.org/users/12909065/items/BLSLHJYC"],"itemData":{"id":154,"type":"article-journal","abstract":"Using Ag nanowires (NWs) is a promising approach to make flexible and transparent conducting electrodes for organic photovoltaics (OPVs). However, the roughness of the NWs can decrease device performance. Herein, a Ag NW electrode embedded in a UV-curable epoxy that uses a simple mechanical lift-off process resulting in highly planar electrodes is demonstrated. A bimodal blend of Ag NWs with varying aspect ratios is used to optimize the transparency and conductivity of the electrode. In addition, a ZnO layer is coated on the Ag NWs prior to the embedding process to ensure low contact resistance in the OPV cells. The resulting resin-embedded ZnO-encapsulated silver nanowire (REZEN) electrode is found to have excellent mechanical stability. REZEN electrode-based OPV cells exhibit comparable performance with reference devices, achieving maximum power conversion efficiency (PCE) of 13.5% and 13.6% respectively. The REZEN-based OPV cells are also mechanically robust, retaining 97% of their PCE after 5000 cycles at R = 1.2 mm and 94% PCE after 1000 cycles at R = 0.55 mm. This flexibility is among the highest reported for freestanding devices. Thus, the REZEN electrode is a promising and simple strategy to achieve mechanically robust ITO-free flexible OPV cells.","container-title":"Solar RRL","DOI":"10.1002/solr.202200264","ISSN":"2367-198X","issue":"9","language":"en","note":"_eprint: https://onlinelibrary.wiley.com/doi/pdf/10.1002/solr.202200264","page":"2200264","source":"Wiley Online Library","title":"Silver Nanowire Composite Electrode Enabling Highly Flexible, Robust Organic Photovoltaics","volume":"6","author":[{"family":"Booth","given":"Ronald E."},{"family":"Schrickx","given":"Harry M."},{"family":"Hanby","given":"Georgia"},{"family":"Liu","given":"Yuxuan"},{"family":"Qin","given":"Yunpeng"},{"family":"Ade","given":"Harald"},{"family":"Zhu","given":"Yong"},{"family":"O'Connor","given":"Brendan T."}],"issued":{"date-parts":[["2022"]]}}}],"schema":"https://github.com/citation-style-language/schema/raw/master/csl-citation.json"}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[234]</w:t>
            </w:r>
            <w:r w:rsidRPr="00B55044">
              <w:rPr>
                <w:rFonts w:eastAsia="Times New Roman"/>
                <w:color w:val="0000FF"/>
                <w:sz w:val="16"/>
                <w:szCs w:val="16"/>
              </w:rPr>
              <w:fldChar w:fldCharType="end"/>
            </w:r>
          </w:p>
        </w:tc>
      </w:tr>
      <w:tr w:rsidR="00D47774" w:rsidRPr="00B55044" w14:paraId="59E65D1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26A0192"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456</w:t>
            </w:r>
          </w:p>
        </w:tc>
        <w:tc>
          <w:tcPr>
            <w:tcW w:w="1525" w:type="pct"/>
            <w:tcBorders>
              <w:top w:val="single" w:sz="4" w:space="0" w:color="auto"/>
              <w:left w:val="nil"/>
              <w:bottom w:val="single" w:sz="4" w:space="0" w:color="auto"/>
              <w:right w:val="nil"/>
            </w:tcBorders>
            <w:shd w:val="clear" w:color="auto" w:fill="auto"/>
            <w:noWrap/>
            <w:vAlign w:val="bottom"/>
            <w:hideMark/>
          </w:tcPr>
          <w:p w14:paraId="67CB459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REZEN/ZnO/AL/MoO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7C39559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3E959AB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0.805</w:t>
            </w:r>
          </w:p>
        </w:tc>
        <w:tc>
          <w:tcPr>
            <w:tcW w:w="379" w:type="pct"/>
            <w:tcBorders>
              <w:top w:val="single" w:sz="4" w:space="0" w:color="auto"/>
              <w:left w:val="nil"/>
              <w:bottom w:val="single" w:sz="4" w:space="0" w:color="auto"/>
              <w:right w:val="nil"/>
            </w:tcBorders>
            <w:shd w:val="clear" w:color="auto" w:fill="auto"/>
            <w:noWrap/>
            <w:vAlign w:val="bottom"/>
            <w:hideMark/>
          </w:tcPr>
          <w:p w14:paraId="0C5D009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23.4</w:t>
            </w:r>
          </w:p>
        </w:tc>
        <w:tc>
          <w:tcPr>
            <w:tcW w:w="378" w:type="pct"/>
            <w:tcBorders>
              <w:top w:val="single" w:sz="4" w:space="0" w:color="auto"/>
              <w:left w:val="nil"/>
              <w:bottom w:val="single" w:sz="4" w:space="0" w:color="auto"/>
              <w:right w:val="nil"/>
            </w:tcBorders>
            <w:shd w:val="clear" w:color="auto" w:fill="auto"/>
            <w:noWrap/>
            <w:vAlign w:val="bottom"/>
            <w:hideMark/>
          </w:tcPr>
          <w:p w14:paraId="66EBD3A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71.6</w:t>
            </w:r>
          </w:p>
        </w:tc>
        <w:tc>
          <w:tcPr>
            <w:tcW w:w="381" w:type="pct"/>
            <w:tcBorders>
              <w:top w:val="single" w:sz="4" w:space="0" w:color="auto"/>
              <w:left w:val="nil"/>
              <w:bottom w:val="single" w:sz="4" w:space="0" w:color="auto"/>
              <w:right w:val="nil"/>
            </w:tcBorders>
            <w:shd w:val="clear" w:color="auto" w:fill="auto"/>
            <w:noWrap/>
            <w:vAlign w:val="bottom"/>
            <w:hideMark/>
          </w:tcPr>
          <w:p w14:paraId="0024909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13.5</w:t>
            </w:r>
          </w:p>
        </w:tc>
        <w:tc>
          <w:tcPr>
            <w:tcW w:w="378" w:type="pct"/>
            <w:tcBorders>
              <w:top w:val="single" w:sz="4" w:space="0" w:color="auto"/>
              <w:left w:val="nil"/>
              <w:bottom w:val="single" w:sz="4" w:space="0" w:color="auto"/>
              <w:right w:val="nil"/>
            </w:tcBorders>
            <w:shd w:val="clear" w:color="auto" w:fill="auto"/>
            <w:noWrap/>
            <w:vAlign w:val="bottom"/>
            <w:hideMark/>
          </w:tcPr>
          <w:p w14:paraId="15CC4E5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{"citationID":"a2qk9fb0fqo","properties":{"formattedCitation":"[234]","plainCitation":"[234]","noteIndex":0},"citationItems":[{"id":154,"uris":["http://zotero.org/users/12909065/items/BLSLHJYC"],"itemData":{"id":154,"type":"article-journal","abstract":"Using Ag nanowires (NWs) is a promising approach to make flexible and transparent conducting electrodes for organic photovoltaics (OPVs). However, the roughness of the NWs can decrease device performance. Herein, a Ag NW electrode embedded in a UV-curable epoxy that uses a simple mechanical lift-off process resulting in highly planar electrodes is demonstrated. A bimodal blend of Ag NWs with varying aspect ratios is used to optimize the transparency and conductivity of the electrode. In addition, a ZnO layer is coated on the Ag NWs prior to the embedding process to ensure low contact resistance in the OPV cells. The resulting resin-embedded ZnO-encapsulated silver nanowire (REZEN) electrode is found to have excellent mechanical stability. REZEN electrode-based OPV cells exhibit comparable performance with reference devices, achieving maximum power conversion efficiency (PCE) of 13.5% and 13.6% respectively. The REZEN-based OPV cells are also mechanically robust, retaining 97% of their PCE after 5000 cycles at R = 1.2 mm and 94% PCE after 1000 cycles at R = 0.55 mm. This flexibility is among the highest reported for freestanding devices. Thus, the REZEN electrode is a promising and simple strategy to achieve mechanically robust ITO-free flexible OPV cells.","container-title":"Solar RRL","DOI":"10.1002/solr.202200264","ISSN":"2367-198X","issue":"9","language":"en","note":"_eprint: https://onlinelibrary.wiley.com/doi/pdf/10.1002/solr.202200264","page":"2200264","source":"Wiley Online Library","title":"Silver Nanowire Composite Electrode Enabling Highly Flexible, Robust Organic Photovoltaics","volume":"6","author":[{"family":"Booth","given":"Ronald E."},{"family":"Schrickx","given":"Harry M."},{"family":"Hanby","given":"Georgia"},{"family":"Liu","given":"Yuxuan"},{"family":"Qin","given":"Yunpeng"},{"family":"Ade","given":"Harald"},{"family":"Zhu","given":"Yong"},{"family":"O'Connor","given":"Brendan T."}],"issued":{"date-parts":[["2022"]]}}}],"schema":"https://github.com/citation-style-language/schema/raw/master/csl-citation.json"}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[234]</w:t>
            </w:r>
            <w:r w:rsidRPr="00B55044">
              <w:rPr>
                <w:rFonts w:eastAsia="Times New Roman"/>
                <w:color w:val="0000FF"/>
                <w:sz w:val="16"/>
                <w:szCs w:val="16"/>
              </w:rPr>
              <w:fldChar w:fldCharType="end"/>
            </w:r>
          </w:p>
        </w:tc>
      </w:tr>
      <w:tr w:rsidR="00D47774" w:rsidRPr="00B55044" w14:paraId="4A3CCEE9"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58EECE4"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457</w:t>
            </w:r>
          </w:p>
        </w:tc>
        <w:tc>
          <w:tcPr>
            <w:tcW w:w="1525" w:type="pct"/>
            <w:tcBorders>
              <w:top w:val="single" w:sz="4" w:space="0" w:color="auto"/>
              <w:left w:val="nil"/>
              <w:bottom w:val="single" w:sz="4" w:space="0" w:color="auto"/>
              <w:right w:val="nil"/>
            </w:tcBorders>
            <w:shd w:val="clear" w:color="auto" w:fill="auto"/>
            <w:noWrap/>
            <w:vAlign w:val="bottom"/>
            <w:hideMark/>
          </w:tcPr>
          <w:p w14:paraId="0722E490"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ITO/AZO/AL/MoO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60A713F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04B6F38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0.839</w:t>
            </w:r>
          </w:p>
        </w:tc>
        <w:tc>
          <w:tcPr>
            <w:tcW w:w="379" w:type="pct"/>
            <w:tcBorders>
              <w:top w:val="single" w:sz="4" w:space="0" w:color="auto"/>
              <w:left w:val="nil"/>
              <w:bottom w:val="single" w:sz="4" w:space="0" w:color="auto"/>
              <w:right w:val="nil"/>
            </w:tcBorders>
            <w:shd w:val="clear" w:color="auto" w:fill="auto"/>
            <w:noWrap/>
            <w:vAlign w:val="bottom"/>
            <w:hideMark/>
          </w:tcPr>
          <w:p w14:paraId="79A87BD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26.87</w:t>
            </w:r>
          </w:p>
        </w:tc>
        <w:tc>
          <w:tcPr>
            <w:tcW w:w="378" w:type="pct"/>
            <w:tcBorders>
              <w:top w:val="single" w:sz="4" w:space="0" w:color="auto"/>
              <w:left w:val="nil"/>
              <w:bottom w:val="single" w:sz="4" w:space="0" w:color="auto"/>
              <w:right w:val="nil"/>
            </w:tcBorders>
            <w:shd w:val="clear" w:color="auto" w:fill="auto"/>
            <w:noWrap/>
            <w:vAlign w:val="bottom"/>
            <w:hideMark/>
          </w:tcPr>
          <w:p w14:paraId="4FA40175"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78.2</w:t>
            </w:r>
          </w:p>
        </w:tc>
        <w:tc>
          <w:tcPr>
            <w:tcW w:w="381" w:type="pct"/>
            <w:tcBorders>
              <w:top w:val="single" w:sz="4" w:space="0" w:color="auto"/>
              <w:left w:val="nil"/>
              <w:bottom w:val="single" w:sz="4" w:space="0" w:color="auto"/>
              <w:right w:val="nil"/>
            </w:tcBorders>
            <w:shd w:val="clear" w:color="auto" w:fill="auto"/>
            <w:noWrap/>
            <w:vAlign w:val="bottom"/>
            <w:hideMark/>
          </w:tcPr>
          <w:p w14:paraId="61D8C6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17.6</w:t>
            </w:r>
          </w:p>
        </w:tc>
        <w:tc>
          <w:tcPr>
            <w:tcW w:w="378" w:type="pct"/>
            <w:tcBorders>
              <w:top w:val="single" w:sz="4" w:space="0" w:color="auto"/>
              <w:left w:val="nil"/>
              <w:bottom w:val="single" w:sz="4" w:space="0" w:color="auto"/>
              <w:right w:val="nil"/>
            </w:tcBorders>
            <w:shd w:val="clear" w:color="auto" w:fill="auto"/>
            <w:noWrap/>
            <w:vAlign w:val="bottom"/>
            <w:hideMark/>
          </w:tcPr>
          <w:p w14:paraId="5439D8BE"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{"citationID":"a1g9mek2251","properties":{"formattedCitation":"[235]","plainCitation":"[235]","noteIndex":0},"citationItems":[{"id":152,"uris":["http://zotero.org/users/12909065/items/RWB442HE"],"itemData":{"id":152,"type":"article-journal","abstract":"Solution processable flexible transparent electrodes (FTEs) are urgently needed to boost the efficiency and mechanical stability of flexible organic solar cells (OSCs) on a large scale. However, how to balance the optoelectronic properties and meanwhile achieve robust mechanical behavior of FTEs is still a huge challenge. Silver nanowire (AgNW) electrodes, exhibiting easily tuned optoelectronic/mechanical properties, are attracting considerable attention, but their poor contacts at the junction site of the AgNWs increase the sheet resistance and reduce mechanical stability. In this study, an ionic liquid (IL)-type reducing agent containing Cl– and a dihydroxyl group was employed to control the reduction process of silver (Ag) in AgNW-based FTEs precisely. The Cl– in the IL regulates the Ag+ concentration through the formation and dissolution of AgCl, whereas the dihydroxyl group slowly reduces the released Ag+ to form metal Ag. The reduced Ag grew in situ at the junction site of the AgNWs in a twin-crystal growth mode, facilitating an atomic-level contact between the AgNWs and the reduced Ag. This enforced atomic-level contact decreased the sheet resistance, and enhanced the mechanical stability of the FTEs. As a result, the single-junction flexible OSCs based on this chemically welded FTE achieved record power conversion efficiencies of 17.52% (active area: 0.062 cm2) and 15.82% (active area: 1.0 cm2). These flexible devices also displayed robust bending and peeling durability even under extreme test conditions.","container-title":"Journal of the American Chemical Society","DOI":"10.1021/jacs.2c01503","ISSN":"0002-7863","issue":"19","journalAbbreviation":"J. Am. Chem. Soc.","note":"publisher: American Chemical Society","page":"8658-8668","source":"ACS Publications","title":"Realizing 17.5% Efficiency Flexible Organic Solar Cells via Atomic-Level Chemical Welding of Silver Nanowire Electrodes","volume":"144","author":[{"family":"Zeng","given":"Guang"},{"family":"Chen","given":"Weijie"},{"family":"Chen","given":"Xiaobin"},{"family":"Hu","given":"Yin"},{"family":"Chen","given":"Yang"},{"family":"Zhang","given":"Ben"},{"family":"Chen","given":"Haiyang"},{"family":"Sun","given":"Weiwei"},{"family":"Shen","given":"Yunxiu"},{"family":"Li","given":"Yaowen"},{"family":"Yan","given":"Feng"},{"family":"Li","given":"Yongfang"}],"issued":{"date-parts":[["2022",5,18]]}}}],"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[235]</w:t>
            </w:r>
            <w:r w:rsidRPr="00B55044">
              <w:rPr>
                <w:rFonts w:eastAsia="Times New Roman"/>
                <w:color w:val="0000FF"/>
                <w:sz w:val="16"/>
                <w:szCs w:val="16"/>
              </w:rPr>
              <w:fldChar w:fldCharType="end"/>
            </w:r>
          </w:p>
        </w:tc>
      </w:tr>
      <w:tr w:rsidR="00D47774" w:rsidRPr="00B55044" w14:paraId="3B627E42"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19DA8AF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458</w:t>
            </w:r>
          </w:p>
        </w:tc>
        <w:tc>
          <w:tcPr>
            <w:tcW w:w="1525" w:type="pct"/>
            <w:tcBorders>
              <w:top w:val="single" w:sz="4" w:space="0" w:color="auto"/>
              <w:left w:val="nil"/>
              <w:bottom w:val="single" w:sz="4" w:space="0" w:color="auto"/>
              <w:right w:val="nil"/>
            </w:tcBorders>
            <w:shd w:val="clear" w:color="auto" w:fill="auto"/>
            <w:noWrap/>
            <w:vAlign w:val="bottom"/>
            <w:hideMark/>
          </w:tcPr>
          <w:p w14:paraId="7012537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Em-Ag/AgNWs/AZO/AL/MoO</w:t>
            </w:r>
            <w:r w:rsidRPr="00B55044">
              <w:rPr>
                <w:rFonts w:eastAsia="Times New Roman"/>
                <w:sz w:val="16"/>
                <w:szCs w:val="16"/>
                <w:vertAlign w:val="subscript"/>
              </w:rPr>
              <w:t>3</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0A19C4D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PM6:BTP-eC9:PC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19A2463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0.832</w:t>
            </w:r>
          </w:p>
        </w:tc>
        <w:tc>
          <w:tcPr>
            <w:tcW w:w="379" w:type="pct"/>
            <w:tcBorders>
              <w:top w:val="single" w:sz="4" w:space="0" w:color="auto"/>
              <w:left w:val="nil"/>
              <w:bottom w:val="single" w:sz="4" w:space="0" w:color="auto"/>
              <w:right w:val="nil"/>
            </w:tcBorders>
            <w:shd w:val="clear" w:color="auto" w:fill="auto"/>
            <w:noWrap/>
            <w:vAlign w:val="bottom"/>
            <w:hideMark/>
          </w:tcPr>
          <w:p w14:paraId="016BEC4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26.71</w:t>
            </w:r>
          </w:p>
        </w:tc>
        <w:tc>
          <w:tcPr>
            <w:tcW w:w="378" w:type="pct"/>
            <w:tcBorders>
              <w:top w:val="single" w:sz="4" w:space="0" w:color="auto"/>
              <w:left w:val="nil"/>
              <w:bottom w:val="single" w:sz="4" w:space="0" w:color="auto"/>
              <w:right w:val="nil"/>
            </w:tcBorders>
            <w:shd w:val="clear" w:color="auto" w:fill="auto"/>
            <w:noWrap/>
            <w:vAlign w:val="bottom"/>
            <w:hideMark/>
          </w:tcPr>
          <w:p w14:paraId="2454C3F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74.1</w:t>
            </w:r>
          </w:p>
        </w:tc>
        <w:tc>
          <w:tcPr>
            <w:tcW w:w="381" w:type="pct"/>
            <w:tcBorders>
              <w:top w:val="single" w:sz="4" w:space="0" w:color="auto"/>
              <w:left w:val="nil"/>
              <w:bottom w:val="single" w:sz="4" w:space="0" w:color="auto"/>
              <w:right w:val="nil"/>
            </w:tcBorders>
            <w:shd w:val="clear" w:color="auto" w:fill="auto"/>
            <w:noWrap/>
            <w:vAlign w:val="bottom"/>
            <w:hideMark/>
          </w:tcPr>
          <w:p w14:paraId="62EE1EC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16.47</w:t>
            </w:r>
          </w:p>
        </w:tc>
        <w:tc>
          <w:tcPr>
            <w:tcW w:w="378" w:type="pct"/>
            <w:tcBorders>
              <w:top w:val="single" w:sz="4" w:space="0" w:color="auto"/>
              <w:left w:val="nil"/>
              <w:bottom w:val="single" w:sz="4" w:space="0" w:color="auto"/>
              <w:right w:val="nil"/>
            </w:tcBorders>
            <w:shd w:val="clear" w:color="auto" w:fill="auto"/>
            <w:noWrap/>
            <w:vAlign w:val="bottom"/>
            <w:hideMark/>
          </w:tcPr>
          <w:p w14:paraId="642004BC"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{"citationID":"a21ce1ksi2j","properties":{"formattedCitation":"[235]","plainCitation":"[235]","noteIndex":0},"citationItems":[{"id":152,"uris":["http://zotero.org/users/12909065/items/RWB442HE"],"itemData":{"id":152,"type":"article-journal","abstract":"Solution processable flexible transparent electrodes (FTEs) are urgently needed to boost the efficiency and mechanical stability of flexible organic solar cells (OSCs) on a large scale. However, how to balance the optoelectronic properties and meanwhile achieve robust mechanical behavior of FTEs is still a huge challenge. Silver nanowire (AgNW) electrodes, exhibiting easily tuned optoelectronic/mechanical properties, are attracting considerable attention, but their poor contacts at the junction site of the AgNWs increase the sheet resistance and reduce mechanical stability. In this study, an ionic liquid (IL)-type reducing agent containing Cl– and a dihydroxyl group was employed to control the reduction process of silver (Ag) in AgNW-based FTEs precisely. The Cl– in the IL regulates the Ag+ concentration through the formation and dissolution of AgCl, whereas the dihydroxyl group slowly reduces the released Ag+ to form metal Ag. The reduced Ag grew in situ at the junction site of the AgNWs in a twin-crystal growth mode, facilitating an atomic-level contact between the AgNWs and the reduced Ag. This enforced atomic-level contact decreased the sheet resistance, and enhanced the mechanical stability of the FTEs. As a result, the single-junction flexible OSCs based on this chemically welded FTE achieved record power conversion efficiencies of 17.52% (active area: 0.062 cm2) and 15.82% (active area: 1.0 cm2). These flexible devices also displayed robust bending and peeling durability even under extreme test conditions.","container-title":"Journal of the American Chemical Society","DOI":"10.1021/jacs.2c01503","ISSN":"0002-7863","issue":"19","journalAbbreviation":"J. Am. Chem. Soc.","note":"publisher: American Chemical Society","page":"8658-8668","source":"ACS Publications","title":"Realizing 17.5% Efficiency Flexible Organic Solar Cells via Atomic-Level Chemical Welding of Silver Nanowire Electrodes","volume":"144","author":[{"family":"Zeng","given":"Guang"},{"family":"Chen","given":"Weijie"},{"family":"Chen","given":"Xiaobin"},{"family":"Hu","given":"Yin"},{"family":"Chen","given":"Yang"},{"family":"Zhang","given":"Ben"},{"family":"Chen","given":"Haiyang"},{"family":"Sun","given":"Weiwei"},{"family":"Shen","given":"Yunxiu"},{"family":"Li","given":"Yaowen"},{"family":"Yan","given":"Feng"},{"family":"Li","given":"Yongfang"}],"issued":{"date-parts":[["2022",5,18]]}}}],"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[235]</w:t>
            </w:r>
            <w:r w:rsidRPr="00B55044">
              <w:rPr>
                <w:rFonts w:eastAsia="Times New Roman"/>
                <w:color w:val="0000FF"/>
                <w:sz w:val="16"/>
                <w:szCs w:val="16"/>
              </w:rPr>
              <w:fldChar w:fldCharType="end"/>
            </w:r>
          </w:p>
        </w:tc>
      </w:tr>
      <w:tr w:rsidR="00D47774" w:rsidRPr="00B55044" w14:paraId="0BF45CA8"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C927B46"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459</w:t>
            </w:r>
          </w:p>
        </w:tc>
        <w:tc>
          <w:tcPr>
            <w:tcW w:w="1525" w:type="pct"/>
            <w:tcBorders>
              <w:top w:val="single" w:sz="4" w:space="0" w:color="auto"/>
              <w:left w:val="nil"/>
              <w:bottom w:val="single" w:sz="4" w:space="0" w:color="auto"/>
              <w:right w:val="nil"/>
            </w:tcBorders>
            <w:shd w:val="clear" w:color="auto" w:fill="auto"/>
            <w:noWrap/>
            <w:vAlign w:val="bottom"/>
            <w:hideMark/>
          </w:tcPr>
          <w:p w14:paraId="2A90095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ITO/SnO</w:t>
            </w:r>
            <w:r w:rsidRPr="00B55044">
              <w:rPr>
                <w:rFonts w:eastAsia="Times New Roman"/>
                <w:sz w:val="16"/>
                <w:szCs w:val="16"/>
                <w:vertAlign w:val="subscript"/>
              </w:rPr>
              <w:t>2</w:t>
            </w:r>
            <w:r w:rsidRPr="00B55044">
              <w:rPr>
                <w:rFonts w:eastAsia="Times New Roman"/>
                <w:sz w:val="16"/>
                <w:szCs w:val="16"/>
              </w:rPr>
              <w:t>/AL/MoO</w:t>
            </w:r>
            <w:r w:rsidRPr="00B55044">
              <w:rPr>
                <w:rFonts w:eastAsia="Times New Roman"/>
                <w:sz w:val="16"/>
                <w:szCs w:val="16"/>
                <w:vertAlign w:val="subscript"/>
              </w:rPr>
              <w:t>3</w:t>
            </w:r>
            <w:r w:rsidRPr="00B55044">
              <w:rPr>
                <w:rFonts w:eastAsia="Times New Roman"/>
                <w:sz w:val="16"/>
                <w:szCs w:val="16"/>
              </w:rPr>
              <w:t>/Au</w:t>
            </w:r>
          </w:p>
        </w:tc>
        <w:tc>
          <w:tcPr>
            <w:tcW w:w="1288" w:type="pct"/>
            <w:tcBorders>
              <w:top w:val="single" w:sz="4" w:space="0" w:color="auto"/>
              <w:left w:val="nil"/>
              <w:bottom w:val="single" w:sz="4" w:space="0" w:color="auto"/>
              <w:right w:val="nil"/>
            </w:tcBorders>
            <w:shd w:val="clear" w:color="auto" w:fill="auto"/>
            <w:noWrap/>
            <w:vAlign w:val="bottom"/>
            <w:hideMark/>
          </w:tcPr>
          <w:p w14:paraId="72C3316F"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454C5F9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1DFB1B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25.6</w:t>
            </w:r>
          </w:p>
        </w:tc>
        <w:tc>
          <w:tcPr>
            <w:tcW w:w="378" w:type="pct"/>
            <w:tcBorders>
              <w:top w:val="single" w:sz="4" w:space="0" w:color="auto"/>
              <w:left w:val="nil"/>
              <w:bottom w:val="single" w:sz="4" w:space="0" w:color="auto"/>
              <w:right w:val="nil"/>
            </w:tcBorders>
            <w:shd w:val="clear" w:color="auto" w:fill="auto"/>
            <w:noWrap/>
            <w:vAlign w:val="bottom"/>
            <w:hideMark/>
          </w:tcPr>
          <w:p w14:paraId="45576DE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74.2</w:t>
            </w:r>
          </w:p>
        </w:tc>
        <w:tc>
          <w:tcPr>
            <w:tcW w:w="381" w:type="pct"/>
            <w:tcBorders>
              <w:top w:val="single" w:sz="4" w:space="0" w:color="auto"/>
              <w:left w:val="nil"/>
              <w:bottom w:val="single" w:sz="4" w:space="0" w:color="auto"/>
              <w:right w:val="nil"/>
            </w:tcBorders>
            <w:shd w:val="clear" w:color="auto" w:fill="auto"/>
            <w:noWrap/>
            <w:vAlign w:val="bottom"/>
            <w:hideMark/>
          </w:tcPr>
          <w:p w14:paraId="461FF9D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16.3</w:t>
            </w:r>
          </w:p>
        </w:tc>
        <w:tc>
          <w:tcPr>
            <w:tcW w:w="378" w:type="pct"/>
            <w:tcBorders>
              <w:top w:val="single" w:sz="4" w:space="0" w:color="auto"/>
              <w:left w:val="nil"/>
              <w:bottom w:val="single" w:sz="4" w:space="0" w:color="auto"/>
              <w:right w:val="nil"/>
            </w:tcBorders>
            <w:shd w:val="clear" w:color="auto" w:fill="auto"/>
            <w:noWrap/>
            <w:vAlign w:val="bottom"/>
            <w:hideMark/>
          </w:tcPr>
          <w:p w14:paraId="53C01BB9"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{"citationID":"a2jri1mdcmp","properties":{"formattedCitation":"[236]","plainCitation":"[236]","noteIndex":0},"citationItems":[{"id":151,"uris":["http://zotero.org/users/12909065/items/BA2UTEM5"],"itemData":{"id":151,"type":"article-journal","abstract":"In this study, we investigated the fabrication of high-performance inverted ternary organic solar cells (OSCs) using solution-processed SnO2 as the electron transport layer. Compared with standard structured OSCs using poly(3,4-ethylenedioxythiophene):poly(styrenesulfonate) and LiF, the inverted PM6:PC71BM:Y6-based ternary OSCs showed enhanced charge transport and suppressed charge recombination properties, which are beneficial for improving the solar performance. As a result, an average power-conversion-efficiency (PCE) of 16.3% was achieved for the inverted OSCs using SnO2, which is higher than that (15.2%) of standard devices. Moreover, the inverted OSCs showed a simultaneously improved long-term stability with the PCE degradation significantly suppressed from 46.1% to 23.9% after a 15-days measurement in ambient condition. The best inverted OSC exhibited a highest PCE of 16.7% with a stable power output and negligible hysteresis. Our results demonstrate the superior effect of inverted strategy on boosting the performance of ternary OSCs.","container-title":"Organic Electronics","DOI":"10.1016/j.orgel.2023.106828","ISSN":"1566-1199","journalAbbreviation":"Organic Electronics","page":"106828","source":"ScienceDirect","title":"High-performance inverted ternary organic solar cells using solution-processed tin oxide as the electron transport layer","volume":"120","author":[{"family":"Liu","given":"Zhihai"},{"family":"Wang","given":"Lei"},{"family":"Zhao","given":"Hao"},{"family":"Chen","given":"Ping"},{"family":"Xie","given":"Xiaoyin"}],"issued":{"date-parts":[["2023",9,1]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[236]</w:t>
            </w:r>
            <w:r w:rsidRPr="00B55044">
              <w:rPr>
                <w:rFonts w:eastAsia="Times New Roman"/>
                <w:color w:val="0000FF"/>
                <w:sz w:val="16"/>
                <w:szCs w:val="16"/>
              </w:rPr>
              <w:fldChar w:fldCharType="end"/>
            </w:r>
          </w:p>
        </w:tc>
      </w:tr>
      <w:tr w:rsidR="00D47774" w:rsidRPr="00B55044" w14:paraId="7AFCA9AC"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38934158"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460</w:t>
            </w:r>
          </w:p>
        </w:tc>
        <w:tc>
          <w:tcPr>
            <w:tcW w:w="1525" w:type="pct"/>
            <w:tcBorders>
              <w:top w:val="single" w:sz="4" w:space="0" w:color="auto"/>
              <w:left w:val="nil"/>
              <w:bottom w:val="single" w:sz="4" w:space="0" w:color="auto"/>
              <w:right w:val="nil"/>
            </w:tcBorders>
            <w:shd w:val="clear" w:color="auto" w:fill="auto"/>
            <w:noWrap/>
            <w:vAlign w:val="bottom"/>
            <w:hideMark/>
          </w:tcPr>
          <w:p w14:paraId="043E9C2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ITO/PEDOT:PSS/AL/LiF/Ag</w:t>
            </w:r>
          </w:p>
        </w:tc>
        <w:tc>
          <w:tcPr>
            <w:tcW w:w="1288" w:type="pct"/>
            <w:tcBorders>
              <w:top w:val="single" w:sz="4" w:space="0" w:color="auto"/>
              <w:left w:val="nil"/>
              <w:bottom w:val="single" w:sz="4" w:space="0" w:color="auto"/>
              <w:right w:val="nil"/>
            </w:tcBorders>
            <w:shd w:val="clear" w:color="auto" w:fill="auto"/>
            <w:noWrap/>
            <w:vAlign w:val="bottom"/>
            <w:hideMark/>
          </w:tcPr>
          <w:p w14:paraId="70F9F73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PM6:Y6:PC</w:t>
            </w:r>
            <w:r w:rsidRPr="00B55044">
              <w:rPr>
                <w:rFonts w:eastAsia="Times New Roman"/>
                <w:sz w:val="16"/>
                <w:szCs w:val="16"/>
                <w:vertAlign w:val="subscript"/>
              </w:rPr>
              <w:t>71</w:t>
            </w:r>
            <w:r w:rsidRPr="00B55044">
              <w:rPr>
                <w:rFonts w:eastAsia="Times New Roman"/>
                <w:sz w:val="16"/>
                <w:szCs w:val="16"/>
              </w:rPr>
              <w:t>BM</w:t>
            </w:r>
          </w:p>
        </w:tc>
        <w:tc>
          <w:tcPr>
            <w:tcW w:w="379" w:type="pct"/>
            <w:tcBorders>
              <w:top w:val="single" w:sz="4" w:space="0" w:color="auto"/>
              <w:left w:val="nil"/>
              <w:bottom w:val="single" w:sz="4" w:space="0" w:color="auto"/>
              <w:right w:val="nil"/>
            </w:tcBorders>
            <w:shd w:val="clear" w:color="auto" w:fill="auto"/>
            <w:noWrap/>
            <w:vAlign w:val="bottom"/>
            <w:hideMark/>
          </w:tcPr>
          <w:p w14:paraId="408E9BE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0.85</w:t>
            </w:r>
          </w:p>
        </w:tc>
        <w:tc>
          <w:tcPr>
            <w:tcW w:w="379" w:type="pct"/>
            <w:tcBorders>
              <w:top w:val="single" w:sz="4" w:space="0" w:color="auto"/>
              <w:left w:val="nil"/>
              <w:bottom w:val="single" w:sz="4" w:space="0" w:color="auto"/>
              <w:right w:val="nil"/>
            </w:tcBorders>
            <w:shd w:val="clear" w:color="auto" w:fill="auto"/>
            <w:noWrap/>
            <w:vAlign w:val="bottom"/>
            <w:hideMark/>
          </w:tcPr>
          <w:p w14:paraId="3A00B8ED"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24.8</w:t>
            </w:r>
          </w:p>
        </w:tc>
        <w:tc>
          <w:tcPr>
            <w:tcW w:w="378" w:type="pct"/>
            <w:tcBorders>
              <w:top w:val="single" w:sz="4" w:space="0" w:color="auto"/>
              <w:left w:val="nil"/>
              <w:bottom w:val="single" w:sz="4" w:space="0" w:color="auto"/>
              <w:right w:val="nil"/>
            </w:tcBorders>
            <w:shd w:val="clear" w:color="auto" w:fill="auto"/>
            <w:noWrap/>
            <w:vAlign w:val="bottom"/>
            <w:hideMark/>
          </w:tcPr>
          <w:p w14:paraId="48C3302B"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72.3</w:t>
            </w:r>
          </w:p>
        </w:tc>
        <w:tc>
          <w:tcPr>
            <w:tcW w:w="381" w:type="pct"/>
            <w:tcBorders>
              <w:top w:val="single" w:sz="4" w:space="0" w:color="auto"/>
              <w:left w:val="nil"/>
              <w:bottom w:val="single" w:sz="4" w:space="0" w:color="auto"/>
              <w:right w:val="nil"/>
            </w:tcBorders>
            <w:shd w:val="clear" w:color="auto" w:fill="auto"/>
            <w:noWrap/>
            <w:vAlign w:val="bottom"/>
            <w:hideMark/>
          </w:tcPr>
          <w:p w14:paraId="031BB3D2"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15.2</w:t>
            </w:r>
          </w:p>
        </w:tc>
        <w:tc>
          <w:tcPr>
            <w:tcW w:w="378" w:type="pct"/>
            <w:tcBorders>
              <w:top w:val="single" w:sz="4" w:space="0" w:color="auto"/>
              <w:left w:val="nil"/>
              <w:bottom w:val="single" w:sz="4" w:space="0" w:color="auto"/>
              <w:right w:val="nil"/>
            </w:tcBorders>
            <w:shd w:val="clear" w:color="auto" w:fill="auto"/>
            <w:noWrap/>
            <w:vAlign w:val="bottom"/>
            <w:hideMark/>
          </w:tcPr>
          <w:p w14:paraId="58CE3CBB"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{"citationID":"a2fjegpp3su","properties":{"formattedCitation":"[236]","plainCitation":"[236]","noteIndex":0},"citationItems":[{"id":151,"uris":["http://zotero.org/users/12909065/items/BA2UTEM5"],"itemData":{"id":151,"type":"article-journal","abstract":"In this study, we investigated the fabrication of high-performance inverted ternary organic solar cells (OSCs) using solution-processed SnO2 as the electron transport layer. Compared with standard structured OSCs using poly(3,4-ethylenedioxythiophene):poly(styrenesulfonate) and LiF, the inverted PM6:PC71BM:Y6-based ternary OSCs showed enhanced charge transport and suppressed charge recombination properties, which are beneficial for improving the solar performance. As a result, an average power-conversion-efficiency (PCE) of 16.3% was achieved for the inverted OSCs using SnO2, which is higher than that (15.2%) of standard devices. Moreover, the inverted OSCs showed a simultaneously improved long-term stability with the PCE degradation significantly suppressed from 46.1% to 23.9% after a 15-days measurement in ambient condition. The best inverted OSC exhibited a highest PCE of 16.7% with a stable power output and negligible hysteresis. Our results demonstrate the superior effect of inverted strategy on boosting the performance of ternary OSCs.","container-title":"Organic Electronics","DOI":"10.1016/j.orgel.2023.106828","ISSN":"1566-1199","journalAbbreviation":"Organic Electronics","page":"106828","source":"ScienceDirect","title":"High-performance inverted ternary organic solar cells using solution-processed tin oxide as the electron transport layer","volume":"120","author":[{"family":"Liu","given":"Zhihai"},{"family":"Wang","given":"Lei"},{"family":"Zhao","given":"Hao"},{"family":"Chen","given":"Ping"},{"family":"Xie","given":"Xiaoyin"}],"issued":{"date-parts":[["2023",9,1]]}}}],"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[236]</w:t>
            </w:r>
            <w:r w:rsidRPr="00B55044">
              <w:rPr>
                <w:rFonts w:eastAsia="Times New Roman"/>
                <w:color w:val="0000FF"/>
                <w:sz w:val="16"/>
                <w:szCs w:val="16"/>
              </w:rPr>
              <w:fldChar w:fldCharType="end"/>
            </w:r>
          </w:p>
        </w:tc>
      </w:tr>
      <w:tr w:rsidR="00D47774" w:rsidRPr="00B55044" w14:paraId="23EAA7E7"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4A06373A"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461</w:t>
            </w:r>
          </w:p>
        </w:tc>
        <w:tc>
          <w:tcPr>
            <w:tcW w:w="1525" w:type="pct"/>
            <w:tcBorders>
              <w:top w:val="single" w:sz="4" w:space="0" w:color="auto"/>
              <w:left w:val="nil"/>
              <w:bottom w:val="single" w:sz="4" w:space="0" w:color="auto"/>
              <w:right w:val="nil"/>
            </w:tcBorders>
            <w:shd w:val="clear" w:color="auto" w:fill="auto"/>
            <w:noWrap/>
            <w:vAlign w:val="bottom"/>
            <w:hideMark/>
          </w:tcPr>
          <w:p w14:paraId="6B817CC4"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FTO/PEDOT:PSS/AL/LiF/Ag</w:t>
            </w:r>
          </w:p>
        </w:tc>
        <w:tc>
          <w:tcPr>
            <w:tcW w:w="1288" w:type="pct"/>
            <w:tcBorders>
              <w:top w:val="single" w:sz="4" w:space="0" w:color="auto"/>
              <w:left w:val="nil"/>
              <w:bottom w:val="single" w:sz="4" w:space="0" w:color="auto"/>
              <w:right w:val="nil"/>
            </w:tcBorders>
            <w:shd w:val="clear" w:color="auto" w:fill="auto"/>
            <w:noWrap/>
            <w:vAlign w:val="bottom"/>
            <w:hideMark/>
          </w:tcPr>
          <w:p w14:paraId="619C5D1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PM6:IDIC:Y6</w:t>
            </w:r>
          </w:p>
        </w:tc>
        <w:tc>
          <w:tcPr>
            <w:tcW w:w="379" w:type="pct"/>
            <w:tcBorders>
              <w:top w:val="single" w:sz="4" w:space="0" w:color="auto"/>
              <w:left w:val="nil"/>
              <w:bottom w:val="single" w:sz="4" w:space="0" w:color="auto"/>
              <w:right w:val="nil"/>
            </w:tcBorders>
            <w:shd w:val="clear" w:color="auto" w:fill="auto"/>
            <w:noWrap/>
            <w:vAlign w:val="bottom"/>
            <w:hideMark/>
          </w:tcPr>
          <w:p w14:paraId="46AC3F2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0.86</w:t>
            </w:r>
          </w:p>
        </w:tc>
        <w:tc>
          <w:tcPr>
            <w:tcW w:w="379" w:type="pct"/>
            <w:tcBorders>
              <w:top w:val="single" w:sz="4" w:space="0" w:color="auto"/>
              <w:left w:val="nil"/>
              <w:bottom w:val="single" w:sz="4" w:space="0" w:color="auto"/>
              <w:right w:val="nil"/>
            </w:tcBorders>
            <w:shd w:val="clear" w:color="auto" w:fill="auto"/>
            <w:noWrap/>
            <w:vAlign w:val="bottom"/>
            <w:hideMark/>
          </w:tcPr>
          <w:p w14:paraId="58FFA86A"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24.3</w:t>
            </w:r>
          </w:p>
        </w:tc>
        <w:tc>
          <w:tcPr>
            <w:tcW w:w="378" w:type="pct"/>
            <w:tcBorders>
              <w:top w:val="single" w:sz="4" w:space="0" w:color="auto"/>
              <w:left w:val="nil"/>
              <w:bottom w:val="single" w:sz="4" w:space="0" w:color="auto"/>
              <w:right w:val="nil"/>
            </w:tcBorders>
            <w:shd w:val="clear" w:color="auto" w:fill="auto"/>
            <w:noWrap/>
            <w:vAlign w:val="bottom"/>
            <w:hideMark/>
          </w:tcPr>
          <w:p w14:paraId="62ECBDE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72.1</w:t>
            </w:r>
          </w:p>
        </w:tc>
        <w:tc>
          <w:tcPr>
            <w:tcW w:w="381" w:type="pct"/>
            <w:tcBorders>
              <w:top w:val="single" w:sz="4" w:space="0" w:color="auto"/>
              <w:left w:val="nil"/>
              <w:bottom w:val="single" w:sz="4" w:space="0" w:color="auto"/>
              <w:right w:val="nil"/>
            </w:tcBorders>
            <w:shd w:val="clear" w:color="auto" w:fill="auto"/>
            <w:noWrap/>
            <w:vAlign w:val="bottom"/>
            <w:hideMark/>
          </w:tcPr>
          <w:p w14:paraId="2F3E272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15.5</w:t>
            </w:r>
          </w:p>
        </w:tc>
        <w:tc>
          <w:tcPr>
            <w:tcW w:w="378" w:type="pct"/>
            <w:tcBorders>
              <w:top w:val="single" w:sz="4" w:space="0" w:color="auto"/>
              <w:left w:val="nil"/>
              <w:bottom w:val="single" w:sz="4" w:space="0" w:color="auto"/>
              <w:right w:val="nil"/>
            </w:tcBorders>
            <w:shd w:val="clear" w:color="auto" w:fill="auto"/>
            <w:noWrap/>
            <w:vAlign w:val="bottom"/>
            <w:hideMark/>
          </w:tcPr>
          <w:p w14:paraId="7E6FD927"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{"citationID":"a24i3unnpnd","properties":{"formattedCitation":"[237]","plainCitation":"[237]","noteIndex":0},"citationItems":[{"id":150,"uris":["http://zotero.org/users/12909065/items/FWT34UWQ"],"itemData":{"id":150,"type":"article-journal","abstract":"In this study, we improved the performance of ternary organic solar cells (OSCs) using metal oxides (p-type NiOx and n-type SnO2) as the charge-transport layers (CTLs). The use of NiOx and SnO2 can facilitate charge transportation and suppress charge recombination in PM6:IDIC:Y6-based ternary OSCs, which is beneficial for boosting their performance. As a result, the OSCs with CTLs of NiOx and SnO2 exhibited an improved power conversion efficiency (PCE) of 16.2% (on average), which is higher than that (15.1%) of the control OSCs using poly(3,4-ethylenedioxythiophene):poly(styrene sulfonate) and LiF as the CTLs. The stability of the OSCs was simultaneously improved with the PCE degradation significantly suppressed upon using NiOx and SnO2. After 10 days of storage and measurement under ambient conditions, the PCE degradation was dramatically decreased from 49.7% to 20.3%, which was induced by the high intrinsic stability of NiOx and SnO2. The best OSC using the CTLs of NiOx and SnO2 showed a champion PCE of 16.6%, with a stable power output and negligible hysteresis.","container-title":"Physical Chemistry Chemical Physics","DOI":"10.1039/D3CP01454A","ISSN":"1463-9084","issue":"22","journalAbbreviation":"Phys. Chem. Chem. Phys.","language":"en","note":"publisher: The Royal Society of Chemistry","page":"15263-15270","source":"pubs.rsc.org","title":"Improving the performance of ternary organic solar cells using metal oxides as charge-transport layers","volume":"25","author":[{"family":"Liu","given":"Zhihai"},{"family":"Wang","given":"Lei"},{"family":"Xie","given":"Xiaoyin"},{"family":"Chen","given":"Ping"}],"issued":{"date-parts":[["2023",6,7]]}}}],"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[237]</w:t>
            </w:r>
            <w:r w:rsidRPr="00B55044">
              <w:rPr>
                <w:rFonts w:eastAsia="Times New Roman"/>
                <w:color w:val="0000FF"/>
                <w:sz w:val="16"/>
                <w:szCs w:val="16"/>
              </w:rPr>
              <w:fldChar w:fldCharType="end"/>
            </w:r>
          </w:p>
        </w:tc>
      </w:tr>
      <w:tr w:rsidR="00D47774" w:rsidRPr="00B55044" w14:paraId="1D306144" w14:textId="77777777" w:rsidTr="00242AA5">
        <w:trPr>
          <w:trHeight w:val="315"/>
        </w:trPr>
        <w:tc>
          <w:tcPr>
            <w:tcW w:w="293" w:type="pct"/>
            <w:tcBorders>
              <w:top w:val="single" w:sz="4" w:space="0" w:color="auto"/>
              <w:left w:val="nil"/>
              <w:bottom w:val="single" w:sz="4" w:space="0" w:color="auto"/>
              <w:right w:val="nil"/>
            </w:tcBorders>
            <w:shd w:val="clear" w:color="auto" w:fill="auto"/>
            <w:noWrap/>
            <w:vAlign w:val="bottom"/>
            <w:hideMark/>
          </w:tcPr>
          <w:p w14:paraId="7C3810C5" w14:textId="77777777" w:rsidR="003D460F" w:rsidRPr="00B55044" w:rsidRDefault="003D460F" w:rsidP="00F26985">
            <w:pPr>
              <w:spacing w:line="360" w:lineRule="auto"/>
              <w:rPr>
                <w:rFonts w:eastAsia="Times New Roman"/>
                <w:color w:val="000000"/>
                <w:sz w:val="16"/>
                <w:szCs w:val="16"/>
              </w:rPr>
            </w:pPr>
            <w:r w:rsidRPr="00B55044">
              <w:rPr>
                <w:rFonts w:eastAsia="Times New Roman"/>
                <w:color w:val="000000"/>
                <w:sz w:val="16"/>
                <w:szCs w:val="16"/>
              </w:rPr>
              <w:t>462</w:t>
            </w:r>
          </w:p>
        </w:tc>
        <w:tc>
          <w:tcPr>
            <w:tcW w:w="1525" w:type="pct"/>
            <w:tcBorders>
              <w:top w:val="single" w:sz="4" w:space="0" w:color="auto"/>
              <w:left w:val="nil"/>
              <w:bottom w:val="single" w:sz="4" w:space="0" w:color="auto"/>
              <w:right w:val="nil"/>
            </w:tcBorders>
            <w:shd w:val="clear" w:color="auto" w:fill="auto"/>
            <w:noWrap/>
            <w:vAlign w:val="bottom"/>
            <w:hideMark/>
          </w:tcPr>
          <w:p w14:paraId="0DE85D31"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FTO/NiOX/AL/SnO</w:t>
            </w:r>
            <w:r w:rsidRPr="00B55044">
              <w:rPr>
                <w:rFonts w:eastAsia="Times New Roman"/>
                <w:sz w:val="16"/>
                <w:szCs w:val="16"/>
                <w:vertAlign w:val="subscript"/>
              </w:rPr>
              <w:t>2</w:t>
            </w:r>
            <w:r w:rsidRPr="00B55044">
              <w:rPr>
                <w:rFonts w:eastAsia="Times New Roman"/>
                <w:sz w:val="16"/>
                <w:szCs w:val="16"/>
              </w:rPr>
              <w:t>/Ag</w:t>
            </w:r>
          </w:p>
        </w:tc>
        <w:tc>
          <w:tcPr>
            <w:tcW w:w="1288" w:type="pct"/>
            <w:tcBorders>
              <w:top w:val="single" w:sz="4" w:space="0" w:color="auto"/>
              <w:left w:val="nil"/>
              <w:bottom w:val="single" w:sz="4" w:space="0" w:color="auto"/>
              <w:right w:val="nil"/>
            </w:tcBorders>
            <w:shd w:val="clear" w:color="auto" w:fill="auto"/>
            <w:noWrap/>
            <w:vAlign w:val="bottom"/>
            <w:hideMark/>
          </w:tcPr>
          <w:p w14:paraId="264BCB96"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PM6:IDIC:Y6</w:t>
            </w:r>
          </w:p>
        </w:tc>
        <w:tc>
          <w:tcPr>
            <w:tcW w:w="379" w:type="pct"/>
            <w:tcBorders>
              <w:top w:val="single" w:sz="4" w:space="0" w:color="auto"/>
              <w:left w:val="nil"/>
              <w:bottom w:val="single" w:sz="4" w:space="0" w:color="auto"/>
              <w:right w:val="nil"/>
            </w:tcBorders>
            <w:shd w:val="clear" w:color="auto" w:fill="auto"/>
            <w:noWrap/>
            <w:vAlign w:val="bottom"/>
            <w:hideMark/>
          </w:tcPr>
          <w:p w14:paraId="44CE0877"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0.88</w:t>
            </w:r>
          </w:p>
        </w:tc>
        <w:tc>
          <w:tcPr>
            <w:tcW w:w="379" w:type="pct"/>
            <w:tcBorders>
              <w:top w:val="single" w:sz="4" w:space="0" w:color="auto"/>
              <w:left w:val="nil"/>
              <w:bottom w:val="single" w:sz="4" w:space="0" w:color="auto"/>
              <w:right w:val="nil"/>
            </w:tcBorders>
            <w:shd w:val="clear" w:color="auto" w:fill="auto"/>
            <w:noWrap/>
            <w:vAlign w:val="bottom"/>
            <w:hideMark/>
          </w:tcPr>
          <w:p w14:paraId="2F27A84E"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25.2</w:t>
            </w:r>
          </w:p>
        </w:tc>
        <w:tc>
          <w:tcPr>
            <w:tcW w:w="378" w:type="pct"/>
            <w:tcBorders>
              <w:top w:val="single" w:sz="4" w:space="0" w:color="auto"/>
              <w:left w:val="nil"/>
              <w:bottom w:val="single" w:sz="4" w:space="0" w:color="auto"/>
              <w:right w:val="nil"/>
            </w:tcBorders>
            <w:shd w:val="clear" w:color="auto" w:fill="auto"/>
            <w:noWrap/>
            <w:vAlign w:val="bottom"/>
            <w:hideMark/>
          </w:tcPr>
          <w:p w14:paraId="1F708178"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73.2</w:t>
            </w:r>
          </w:p>
        </w:tc>
        <w:tc>
          <w:tcPr>
            <w:tcW w:w="381" w:type="pct"/>
            <w:tcBorders>
              <w:top w:val="single" w:sz="4" w:space="0" w:color="auto"/>
              <w:left w:val="nil"/>
              <w:bottom w:val="single" w:sz="4" w:space="0" w:color="auto"/>
              <w:right w:val="nil"/>
            </w:tcBorders>
            <w:shd w:val="clear" w:color="auto" w:fill="auto"/>
            <w:noWrap/>
            <w:vAlign w:val="bottom"/>
            <w:hideMark/>
          </w:tcPr>
          <w:p w14:paraId="3A2396DC" w14:textId="77777777" w:rsidR="003D460F" w:rsidRPr="00B55044" w:rsidRDefault="003D460F" w:rsidP="00F26985">
            <w:pPr>
              <w:spacing w:line="360" w:lineRule="auto"/>
              <w:rPr>
                <w:rFonts w:eastAsia="Times New Roman"/>
                <w:sz w:val="16"/>
                <w:szCs w:val="16"/>
              </w:rPr>
            </w:pPr>
            <w:r w:rsidRPr="00B55044">
              <w:rPr>
                <w:rFonts w:eastAsia="Times New Roman"/>
                <w:sz w:val="16"/>
                <w:szCs w:val="16"/>
              </w:rPr>
              <w:t>16.6</w:t>
            </w:r>
          </w:p>
        </w:tc>
        <w:tc>
          <w:tcPr>
            <w:tcW w:w="378" w:type="pct"/>
            <w:tcBorders>
              <w:top w:val="single" w:sz="4" w:space="0" w:color="auto"/>
              <w:left w:val="nil"/>
              <w:bottom w:val="single" w:sz="4" w:space="0" w:color="auto"/>
              <w:right w:val="nil"/>
            </w:tcBorders>
            <w:shd w:val="clear" w:color="auto" w:fill="auto"/>
            <w:noWrap/>
            <w:vAlign w:val="bottom"/>
            <w:hideMark/>
          </w:tcPr>
          <w:p w14:paraId="025F4D98" w14:textId="77777777" w:rsidR="003D460F" w:rsidRPr="00B55044" w:rsidRDefault="003F3787" w:rsidP="00F26985">
            <w:pPr>
              <w:spacing w:line="360" w:lineRule="auto"/>
              <w:rPr>
                <w:rFonts w:eastAsia="Times New Roman"/>
                <w:color w:val="0000FF"/>
                <w:sz w:val="16"/>
                <w:szCs w:val="16"/>
              </w:rPr>
            </w:pPr>
            <w:r w:rsidRPr="00B55044">
              <w:rPr>
                <w:rFonts w:eastAsia="Times New Roman"/>
                <w:color w:val="0000FF"/>
                <w:sz w:val="16"/>
                <w:szCs w:val="16"/>
              </w:rPr>
              <w:fldChar w:fldCharType="begin"/>
            </w:r>
            <w:r w:rsidR="001F36B1" w:rsidRPr="00B55044">
              <w:rPr>
                <w:rFonts w:eastAsia="Times New Roman"/>
                <w:color w:val="0000FF"/>
                <w:sz w:val="16"/>
                <w:szCs w:val="16"/>
              </w:rPr>
              <w:instrText xml:space="preserve"> ADDIN ZOTERO_ITEM CSL_CITATION {"citationID":"a1clmsbq790","properties":{"formattedCitation":"[237]","plainCitation":"[237]","noteIndex":0},"citationItems":[{"id":150,"uris":["http://zotero.org/users/12909065/items/FWT34UWQ"],"itemData":{"id":150,"type":"article-journal","abstract":"In this study, we improved the performance of ternary organic solar cells (OSCs) using metal oxides (p-type NiOx and n-type SnO2) as the charge-transport layers (CTLs). The use of NiOx and SnO2 can facilitate charge transportation and suppress charge recombination in PM6:IDIC:Y6-based ternary OSCs, which is beneficial for boosting their performance. As a result, the OSCs with CTLs of NiOx and SnO2 exhibited an improved power conversion efficiency (PCE) of 16.2% (on average), which is higher than that (15.1%) of the control OSCs using poly(3,4-ethylenedioxythiophene):poly(styrene sulfonate) and LiF as the CTLs. The stability of the OSCs was simultaneously improved with the PCE degradation significantly suppressed upon using NiOx and SnO2. After 10 days of storage and measurement under ambient conditions, the PCE degradation was dramatically decreased from 49.7% to 20.3%, which was induced by the high intrinsic stability of NiOx and SnO2. The best OSC using the CTLs of NiOx and SnO2 showed a champion PCE of 16.6%, with a stable power output and negligible hysteresis.","container-title":"Physical Chemistry Chemical Physics","DOI":"10.1039/D3CP01454A","ISSN":"1463-9084","issue":"22","journalAbbreviation":"Phys. Chem. Chem. Phys.","language":"en","note":"publisher: The Royal Society of Chemistry","page":"15263-15270","source":"pubs.rsc.org","title":"Improving the performance of ternary organic solar cells using metal oxides as charge-transport layers","volume":"25","author":[{"family":"Liu","given":"Zhihai"},{"family":"Wang","given":"Lei"},{"family":"Xie","given":"Xiaoyin"},{"family":"Chen","given":"Ping"}],"issued":{"date-parts":[["2023",6,7]]}}}],"schema":"https://github.com/citation-style-language/schema/raw/master/csl-citation.json"} </w:instrText>
            </w:r>
            <w:r w:rsidRPr="00B55044">
              <w:rPr>
                <w:rFonts w:eastAsia="Times New Roman"/>
                <w:color w:val="0000FF"/>
                <w:sz w:val="16"/>
                <w:szCs w:val="16"/>
              </w:rPr>
              <w:fldChar w:fldCharType="separate"/>
            </w:r>
            <w:r w:rsidR="00B452EB" w:rsidRPr="00B55044">
              <w:rPr>
                <w:color w:val="0000FF"/>
                <w:sz w:val="16"/>
              </w:rPr>
              <w:t>[237]</w:t>
            </w:r>
            <w:r w:rsidRPr="00B55044">
              <w:rPr>
                <w:rFonts w:eastAsia="Times New Roman"/>
                <w:color w:val="0000FF"/>
                <w:sz w:val="16"/>
                <w:szCs w:val="16"/>
              </w:rPr>
              <w:fldChar w:fldCharType="end"/>
            </w:r>
          </w:p>
        </w:tc>
      </w:tr>
    </w:tbl>
    <w:p w14:paraId="64102527" w14:textId="77777777" w:rsidR="003D460F" w:rsidRPr="00791B40" w:rsidRDefault="003D460F" w:rsidP="00094610">
      <w:pPr>
        <w:spacing w:line="360" w:lineRule="auto"/>
        <w:jc w:val="both"/>
      </w:pPr>
    </w:p>
    <w:p w14:paraId="5A6E2388" w14:textId="77777777" w:rsidR="007F2960" w:rsidRPr="00791B40" w:rsidRDefault="007F2960" w:rsidP="0000017B">
      <w:pPr>
        <w:spacing w:line="360" w:lineRule="auto"/>
        <w:jc w:val="both"/>
        <w:rPr>
          <w:b/>
          <w:bCs/>
        </w:rPr>
      </w:pPr>
    </w:p>
    <w:p w14:paraId="4E55F47E" w14:textId="77777777" w:rsidR="00D47774" w:rsidRPr="00791B40" w:rsidRDefault="00D47774" w:rsidP="00094610">
      <w:pPr>
        <w:spacing w:line="360" w:lineRule="auto"/>
        <w:jc w:val="both"/>
        <w:rPr>
          <w:b/>
          <w:bCs/>
        </w:rPr>
      </w:pPr>
    </w:p>
    <w:p w14:paraId="529168AE" w14:textId="77777777" w:rsidR="00D47774" w:rsidRPr="00791B40" w:rsidRDefault="00D47774" w:rsidP="00094610">
      <w:pPr>
        <w:spacing w:line="360" w:lineRule="auto"/>
        <w:jc w:val="both"/>
        <w:rPr>
          <w:b/>
          <w:bCs/>
        </w:rPr>
      </w:pPr>
    </w:p>
    <w:p w14:paraId="2F69AC0F" w14:textId="77777777" w:rsidR="00D47774" w:rsidRPr="00791B40" w:rsidRDefault="00D47774" w:rsidP="00094610">
      <w:pPr>
        <w:spacing w:line="360" w:lineRule="auto"/>
        <w:jc w:val="both"/>
        <w:rPr>
          <w:b/>
          <w:bCs/>
        </w:rPr>
      </w:pPr>
    </w:p>
    <w:p w14:paraId="03FA94EB" w14:textId="77777777" w:rsidR="00D47774" w:rsidRPr="00791B40" w:rsidRDefault="00D47774" w:rsidP="00094610">
      <w:pPr>
        <w:spacing w:line="360" w:lineRule="auto"/>
        <w:jc w:val="both"/>
        <w:rPr>
          <w:b/>
          <w:bCs/>
        </w:rPr>
      </w:pPr>
    </w:p>
    <w:p w14:paraId="3F2FAA34" w14:textId="77777777" w:rsidR="00D47774" w:rsidRPr="00791B40" w:rsidRDefault="00D47774" w:rsidP="00094610">
      <w:pPr>
        <w:spacing w:line="360" w:lineRule="auto"/>
        <w:jc w:val="both"/>
        <w:rPr>
          <w:b/>
          <w:bCs/>
        </w:rPr>
      </w:pPr>
    </w:p>
    <w:p w14:paraId="22A15486" w14:textId="77777777" w:rsidR="00D47774" w:rsidRPr="00791B40" w:rsidRDefault="00D47774" w:rsidP="00094610">
      <w:pPr>
        <w:spacing w:line="360" w:lineRule="auto"/>
        <w:jc w:val="both"/>
        <w:rPr>
          <w:b/>
          <w:bCs/>
        </w:rPr>
      </w:pPr>
    </w:p>
    <w:p w14:paraId="22346509" w14:textId="77777777" w:rsidR="00D47774" w:rsidRPr="00791B40" w:rsidRDefault="00D47774" w:rsidP="00094610">
      <w:pPr>
        <w:spacing w:line="360" w:lineRule="auto"/>
        <w:jc w:val="both"/>
        <w:rPr>
          <w:b/>
          <w:bCs/>
        </w:rPr>
      </w:pPr>
    </w:p>
    <w:p w14:paraId="4F14C144" w14:textId="77777777" w:rsidR="00D47774" w:rsidRPr="00791B40" w:rsidRDefault="00D47774" w:rsidP="00094610">
      <w:pPr>
        <w:spacing w:line="360" w:lineRule="auto"/>
        <w:jc w:val="both"/>
        <w:rPr>
          <w:b/>
          <w:bCs/>
        </w:rPr>
      </w:pPr>
    </w:p>
    <w:p w14:paraId="6A4733FA" w14:textId="77777777" w:rsidR="00D47774" w:rsidRPr="00791B40" w:rsidRDefault="00D47774" w:rsidP="00094610">
      <w:pPr>
        <w:spacing w:line="360" w:lineRule="auto"/>
        <w:jc w:val="both"/>
        <w:rPr>
          <w:b/>
          <w:bCs/>
        </w:rPr>
      </w:pPr>
    </w:p>
    <w:p w14:paraId="48A1FBB3" w14:textId="77777777" w:rsidR="00D47774" w:rsidRDefault="00D47774" w:rsidP="00094610">
      <w:pPr>
        <w:spacing w:line="360" w:lineRule="auto"/>
        <w:jc w:val="both"/>
        <w:rPr>
          <w:b/>
          <w:bCs/>
        </w:rPr>
      </w:pPr>
    </w:p>
    <w:p w14:paraId="0941E1DD" w14:textId="77777777" w:rsidR="00B55044" w:rsidRDefault="00B55044" w:rsidP="00094610">
      <w:pPr>
        <w:spacing w:line="360" w:lineRule="auto"/>
        <w:jc w:val="both"/>
        <w:rPr>
          <w:b/>
          <w:bCs/>
        </w:rPr>
      </w:pPr>
    </w:p>
    <w:p w14:paraId="3F829AF9" w14:textId="77777777" w:rsidR="000A5D30" w:rsidRDefault="000A5D30" w:rsidP="00094610">
      <w:pPr>
        <w:spacing w:line="360" w:lineRule="auto"/>
        <w:jc w:val="both"/>
        <w:rPr>
          <w:b/>
          <w:bCs/>
        </w:rPr>
      </w:pPr>
    </w:p>
    <w:p w14:paraId="10802B6F" w14:textId="77777777" w:rsidR="000A5D30" w:rsidRDefault="000A5D30" w:rsidP="00094610">
      <w:pPr>
        <w:spacing w:line="360" w:lineRule="auto"/>
        <w:jc w:val="both"/>
        <w:rPr>
          <w:b/>
          <w:bCs/>
        </w:rPr>
      </w:pPr>
    </w:p>
    <w:p w14:paraId="200F0729" w14:textId="77777777" w:rsidR="000A5D30" w:rsidRDefault="000A5D30" w:rsidP="00094610">
      <w:pPr>
        <w:spacing w:line="360" w:lineRule="auto"/>
        <w:jc w:val="both"/>
        <w:rPr>
          <w:b/>
          <w:bCs/>
        </w:rPr>
      </w:pPr>
    </w:p>
    <w:p w14:paraId="08ED3B44" w14:textId="77777777" w:rsidR="001A0164" w:rsidRDefault="001A0164" w:rsidP="00094610">
      <w:pPr>
        <w:spacing w:line="360" w:lineRule="auto"/>
        <w:jc w:val="both"/>
        <w:rPr>
          <w:rFonts w:eastAsiaTheme="minorEastAsia"/>
          <w:b/>
          <w:bCs/>
          <w:lang w:eastAsia="ko-KR"/>
        </w:rPr>
      </w:pPr>
    </w:p>
    <w:p w14:paraId="05F923A3" w14:textId="37E5E0C8" w:rsidR="005452A7" w:rsidRPr="00791B40" w:rsidRDefault="005452A7" w:rsidP="00094610">
      <w:pPr>
        <w:spacing w:line="360" w:lineRule="auto"/>
        <w:jc w:val="both"/>
      </w:pPr>
      <w:r w:rsidRPr="00791B40">
        <w:rPr>
          <w:b/>
          <w:bCs/>
        </w:rPr>
        <w:lastRenderedPageBreak/>
        <w:t>Table S</w:t>
      </w:r>
      <w:r w:rsidR="008D39C8" w:rsidRPr="00791B40">
        <w:rPr>
          <w:b/>
          <w:bCs/>
        </w:rPr>
        <w:t>2</w:t>
      </w:r>
      <w:r w:rsidRPr="00791B40">
        <w:rPr>
          <w:b/>
          <w:bCs/>
        </w:rPr>
        <w:t>.</w:t>
      </w:r>
      <w:r w:rsidRPr="00791B40">
        <w:t xml:space="preserve"> Performance of different models </w:t>
      </w:r>
      <w:r w:rsidR="00593700" w:rsidRPr="00791B40">
        <w:t>using all defined descriptor</w:t>
      </w:r>
      <w:r w:rsidR="00D742F9" w:rsidRPr="00791B40">
        <w:t>s</w:t>
      </w:r>
      <w:r w:rsidR="00593700" w:rsidRPr="00791B40">
        <w:t xml:space="preserve"> set </w:t>
      </w:r>
      <w:r w:rsidRPr="00791B40">
        <w:t>analyzed by Pearson</w:t>
      </w:r>
      <w:r w:rsidR="00D742F9" w:rsidRPr="00791B40">
        <w:t>’</w:t>
      </w:r>
      <w:r w:rsidRPr="00791B40">
        <w:t>s r</w:t>
      </w:r>
      <w:r w:rsidR="002634AF" w:rsidRPr="00791B40">
        <w:t xml:space="preserve">, </w:t>
      </w:r>
      <w:r w:rsidRPr="00791B40">
        <w:t>Adj.R</w:t>
      </w:r>
      <w:r w:rsidRPr="00791B40">
        <w:rPr>
          <w:vertAlign w:val="superscript"/>
        </w:rPr>
        <w:t>2</w:t>
      </w:r>
      <w:r w:rsidR="002634AF" w:rsidRPr="00791B40">
        <w:t xml:space="preserve"> </w:t>
      </w:r>
      <w:r w:rsidRPr="00791B40">
        <w:t>and RMSE.</w:t>
      </w:r>
      <w:bookmarkEnd w:id="2"/>
      <w:bookmarkEnd w:id="3"/>
      <w:bookmarkEnd w:id="6"/>
      <w:bookmarkEnd w:id="7"/>
      <w:bookmarkEnd w:id="18"/>
      <w:r w:rsidR="001E616A" w:rsidRPr="00791B40">
        <w:t xml:space="preserve"> </w:t>
      </w:r>
    </w:p>
    <w:tbl>
      <w:tblPr>
        <w:tblStyle w:val="TableGrid"/>
        <w:tblW w:w="0" w:type="auto"/>
        <w:jc w:val="center"/>
        <w:tblLook w:val="04A0" w:firstRow="1" w:lastRow="0" w:firstColumn="1" w:lastColumn="0" w:noHBand="0" w:noVBand="1"/>
      </w:tblPr>
      <w:tblGrid>
        <w:gridCol w:w="2013"/>
        <w:gridCol w:w="1774"/>
        <w:gridCol w:w="1968"/>
        <w:gridCol w:w="1844"/>
        <w:gridCol w:w="1761"/>
      </w:tblGrid>
      <w:tr w:rsidR="006F1DD1" w:rsidRPr="00B55044" w14:paraId="74B840A8" w14:textId="77777777" w:rsidTr="00F8558F">
        <w:trPr>
          <w:trHeight w:val="260"/>
          <w:jc w:val="center"/>
        </w:trPr>
        <w:tc>
          <w:tcPr>
            <w:tcW w:w="2058" w:type="dxa"/>
            <w:tcBorders>
              <w:left w:val="nil"/>
              <w:bottom w:val="single" w:sz="4" w:space="0" w:color="auto"/>
              <w:right w:val="nil"/>
            </w:tcBorders>
          </w:tcPr>
          <w:p w14:paraId="22CFD4DD" w14:textId="77777777" w:rsidR="006F1DD1" w:rsidRPr="005151A6" w:rsidRDefault="006F1DD1" w:rsidP="00F8558F">
            <w:pPr>
              <w:pStyle w:val="ListParagraph"/>
              <w:spacing w:line="360" w:lineRule="auto"/>
              <w:ind w:left="0"/>
              <w:jc w:val="center"/>
              <w:rPr>
                <w:sz w:val="16"/>
                <w:szCs w:val="16"/>
              </w:rPr>
            </w:pPr>
            <w:r w:rsidRPr="005151A6">
              <w:rPr>
                <w:sz w:val="16"/>
                <w:szCs w:val="16"/>
              </w:rPr>
              <w:t>ML techniques</w:t>
            </w:r>
          </w:p>
        </w:tc>
        <w:tc>
          <w:tcPr>
            <w:tcW w:w="1808" w:type="dxa"/>
            <w:tcBorders>
              <w:left w:val="nil"/>
              <w:bottom w:val="single" w:sz="4" w:space="0" w:color="auto"/>
              <w:right w:val="nil"/>
            </w:tcBorders>
          </w:tcPr>
          <w:p w14:paraId="1A25E6C6" w14:textId="77777777" w:rsidR="006F1DD1" w:rsidRPr="005151A6" w:rsidRDefault="006F1DD1" w:rsidP="00F8558F">
            <w:pPr>
              <w:pStyle w:val="ListParagraph"/>
              <w:spacing w:line="360" w:lineRule="auto"/>
              <w:ind w:left="0"/>
              <w:jc w:val="center"/>
              <w:rPr>
                <w:sz w:val="16"/>
                <w:szCs w:val="16"/>
              </w:rPr>
            </w:pPr>
            <w:r w:rsidRPr="005151A6">
              <w:rPr>
                <w:sz w:val="16"/>
                <w:szCs w:val="16"/>
              </w:rPr>
              <w:t>Device parameters</w:t>
            </w:r>
          </w:p>
        </w:tc>
        <w:tc>
          <w:tcPr>
            <w:tcW w:w="2013" w:type="dxa"/>
            <w:tcBorders>
              <w:left w:val="nil"/>
              <w:bottom w:val="single" w:sz="4" w:space="0" w:color="auto"/>
              <w:right w:val="nil"/>
            </w:tcBorders>
          </w:tcPr>
          <w:p w14:paraId="3B12EE28" w14:textId="77777777" w:rsidR="006F1DD1" w:rsidRPr="005151A6" w:rsidRDefault="006F1DD1" w:rsidP="00F8558F">
            <w:pPr>
              <w:pStyle w:val="ListParagraph"/>
              <w:spacing w:line="360" w:lineRule="auto"/>
              <w:ind w:left="0"/>
              <w:jc w:val="center"/>
              <w:rPr>
                <w:sz w:val="16"/>
                <w:szCs w:val="16"/>
              </w:rPr>
            </w:pPr>
            <w:r w:rsidRPr="005151A6">
              <w:rPr>
                <w:sz w:val="16"/>
                <w:szCs w:val="16"/>
              </w:rPr>
              <w:t>Pearson’s r</w:t>
            </w:r>
          </w:p>
        </w:tc>
        <w:tc>
          <w:tcPr>
            <w:tcW w:w="1892" w:type="dxa"/>
            <w:tcBorders>
              <w:left w:val="nil"/>
              <w:bottom w:val="single" w:sz="4" w:space="0" w:color="auto"/>
              <w:right w:val="nil"/>
            </w:tcBorders>
          </w:tcPr>
          <w:p w14:paraId="60473F28" w14:textId="77777777" w:rsidR="006F1DD1" w:rsidRPr="005151A6" w:rsidRDefault="006F1DD1" w:rsidP="00F8558F">
            <w:pPr>
              <w:pStyle w:val="ListParagraph"/>
              <w:spacing w:line="360" w:lineRule="auto"/>
              <w:ind w:left="0"/>
              <w:jc w:val="center"/>
              <w:rPr>
                <w:sz w:val="16"/>
                <w:szCs w:val="16"/>
              </w:rPr>
            </w:pPr>
            <w:r w:rsidRPr="005151A6">
              <w:rPr>
                <w:sz w:val="16"/>
                <w:szCs w:val="16"/>
              </w:rPr>
              <w:t>Adj.R</w:t>
            </w:r>
            <w:r w:rsidRPr="005151A6">
              <w:rPr>
                <w:sz w:val="16"/>
                <w:szCs w:val="16"/>
                <w:vertAlign w:val="superscript"/>
              </w:rPr>
              <w:t>2</w:t>
            </w:r>
          </w:p>
        </w:tc>
        <w:tc>
          <w:tcPr>
            <w:tcW w:w="1805" w:type="dxa"/>
            <w:tcBorders>
              <w:left w:val="nil"/>
              <w:bottom w:val="single" w:sz="4" w:space="0" w:color="auto"/>
              <w:right w:val="nil"/>
            </w:tcBorders>
          </w:tcPr>
          <w:p w14:paraId="284EDE70" w14:textId="77777777" w:rsidR="006F1DD1" w:rsidRPr="005151A6" w:rsidRDefault="006F1DD1" w:rsidP="00F8558F">
            <w:pPr>
              <w:pStyle w:val="ListParagraph"/>
              <w:spacing w:line="360" w:lineRule="auto"/>
              <w:ind w:left="0"/>
              <w:jc w:val="center"/>
              <w:rPr>
                <w:sz w:val="16"/>
                <w:szCs w:val="16"/>
              </w:rPr>
            </w:pPr>
            <w:r w:rsidRPr="005151A6">
              <w:rPr>
                <w:sz w:val="16"/>
                <w:szCs w:val="16"/>
              </w:rPr>
              <w:t>RMSE</w:t>
            </w:r>
          </w:p>
        </w:tc>
      </w:tr>
      <w:tr w:rsidR="006F1DD1" w:rsidRPr="00B55044" w14:paraId="2CE81F76" w14:textId="77777777" w:rsidTr="00F8558F">
        <w:trPr>
          <w:jc w:val="center"/>
        </w:trPr>
        <w:tc>
          <w:tcPr>
            <w:tcW w:w="2058" w:type="dxa"/>
            <w:vMerge w:val="restart"/>
            <w:tcBorders>
              <w:left w:val="nil"/>
              <w:right w:val="nil"/>
            </w:tcBorders>
          </w:tcPr>
          <w:p w14:paraId="5B95624B" w14:textId="77777777" w:rsidR="006F1DD1" w:rsidRPr="005151A6" w:rsidRDefault="006F1DD1" w:rsidP="00F8558F">
            <w:pPr>
              <w:pStyle w:val="ListParagraph"/>
              <w:spacing w:line="360" w:lineRule="auto"/>
              <w:ind w:left="0"/>
              <w:jc w:val="center"/>
              <w:rPr>
                <w:sz w:val="16"/>
                <w:szCs w:val="16"/>
              </w:rPr>
            </w:pPr>
          </w:p>
          <w:p w14:paraId="0CE8BB6E" w14:textId="77777777" w:rsidR="006F1DD1" w:rsidRPr="005151A6" w:rsidRDefault="006F1DD1" w:rsidP="00F8558F">
            <w:pPr>
              <w:pStyle w:val="ListParagraph"/>
              <w:spacing w:line="360" w:lineRule="auto"/>
              <w:ind w:left="0"/>
              <w:jc w:val="center"/>
              <w:rPr>
                <w:sz w:val="16"/>
                <w:szCs w:val="16"/>
              </w:rPr>
            </w:pPr>
            <w:r w:rsidRPr="005151A6">
              <w:rPr>
                <w:sz w:val="16"/>
                <w:szCs w:val="16"/>
              </w:rPr>
              <w:t>Random Forest</w:t>
            </w:r>
          </w:p>
        </w:tc>
        <w:tc>
          <w:tcPr>
            <w:tcW w:w="1808" w:type="dxa"/>
            <w:tcBorders>
              <w:left w:val="nil"/>
              <w:bottom w:val="single" w:sz="4" w:space="0" w:color="auto"/>
              <w:right w:val="nil"/>
            </w:tcBorders>
          </w:tcPr>
          <w:p w14:paraId="576B18D1" w14:textId="77777777" w:rsidR="006F1DD1" w:rsidRPr="005151A6" w:rsidRDefault="006F1DD1" w:rsidP="00F8558F">
            <w:pPr>
              <w:pStyle w:val="ListParagraph"/>
              <w:spacing w:line="360" w:lineRule="auto"/>
              <w:ind w:left="0"/>
              <w:jc w:val="center"/>
              <w:rPr>
                <w:sz w:val="16"/>
                <w:szCs w:val="16"/>
              </w:rPr>
            </w:pPr>
            <w:r w:rsidRPr="005151A6">
              <w:rPr>
                <w:sz w:val="16"/>
                <w:szCs w:val="16"/>
              </w:rPr>
              <w:t>PCE</w:t>
            </w:r>
          </w:p>
        </w:tc>
        <w:tc>
          <w:tcPr>
            <w:tcW w:w="2013" w:type="dxa"/>
            <w:tcBorders>
              <w:left w:val="nil"/>
              <w:bottom w:val="single" w:sz="4" w:space="0" w:color="auto"/>
              <w:right w:val="nil"/>
            </w:tcBorders>
          </w:tcPr>
          <w:p w14:paraId="42A3EA0F" w14:textId="77777777" w:rsidR="006F1DD1" w:rsidRPr="005151A6" w:rsidRDefault="006F1DD1" w:rsidP="00F8558F">
            <w:pPr>
              <w:pStyle w:val="ListParagraph"/>
              <w:spacing w:line="360" w:lineRule="auto"/>
              <w:ind w:left="0"/>
              <w:jc w:val="center"/>
              <w:rPr>
                <w:sz w:val="16"/>
                <w:szCs w:val="16"/>
              </w:rPr>
            </w:pPr>
            <w:r w:rsidRPr="005151A6">
              <w:rPr>
                <w:sz w:val="16"/>
                <w:szCs w:val="16"/>
              </w:rPr>
              <w:t>0.6059</w:t>
            </w:r>
          </w:p>
        </w:tc>
        <w:tc>
          <w:tcPr>
            <w:tcW w:w="1892" w:type="dxa"/>
            <w:tcBorders>
              <w:left w:val="nil"/>
              <w:bottom w:val="single" w:sz="4" w:space="0" w:color="auto"/>
              <w:right w:val="nil"/>
            </w:tcBorders>
          </w:tcPr>
          <w:p w14:paraId="25571D03" w14:textId="77777777" w:rsidR="006F1DD1" w:rsidRPr="005151A6" w:rsidRDefault="006F1DD1" w:rsidP="00F8558F">
            <w:pPr>
              <w:pStyle w:val="ListParagraph"/>
              <w:spacing w:line="360" w:lineRule="auto"/>
              <w:ind w:left="0"/>
              <w:jc w:val="center"/>
              <w:rPr>
                <w:sz w:val="16"/>
                <w:szCs w:val="16"/>
              </w:rPr>
            </w:pPr>
            <w:r w:rsidRPr="005151A6">
              <w:rPr>
                <w:sz w:val="16"/>
                <w:szCs w:val="16"/>
              </w:rPr>
              <w:t>0.3671</w:t>
            </w:r>
          </w:p>
        </w:tc>
        <w:tc>
          <w:tcPr>
            <w:tcW w:w="1805" w:type="dxa"/>
            <w:tcBorders>
              <w:left w:val="nil"/>
              <w:bottom w:val="single" w:sz="4" w:space="0" w:color="auto"/>
              <w:right w:val="nil"/>
            </w:tcBorders>
          </w:tcPr>
          <w:p w14:paraId="1A00D495" w14:textId="77777777" w:rsidR="006F1DD1" w:rsidRPr="005151A6" w:rsidRDefault="006F1DD1" w:rsidP="00F8558F">
            <w:pPr>
              <w:pStyle w:val="ListParagraph"/>
              <w:spacing w:line="360" w:lineRule="auto"/>
              <w:ind w:left="0"/>
              <w:jc w:val="center"/>
              <w:rPr>
                <w:sz w:val="16"/>
                <w:szCs w:val="16"/>
              </w:rPr>
            </w:pPr>
            <w:r w:rsidRPr="005151A6">
              <w:rPr>
                <w:sz w:val="16"/>
                <w:szCs w:val="16"/>
              </w:rPr>
              <w:t>2.0263</w:t>
            </w:r>
          </w:p>
        </w:tc>
      </w:tr>
      <w:tr w:rsidR="006F1DD1" w:rsidRPr="00B55044" w14:paraId="0BEC0351" w14:textId="77777777" w:rsidTr="00F8558F">
        <w:trPr>
          <w:jc w:val="center"/>
        </w:trPr>
        <w:tc>
          <w:tcPr>
            <w:tcW w:w="2058" w:type="dxa"/>
            <w:vMerge/>
            <w:tcBorders>
              <w:left w:val="nil"/>
              <w:right w:val="nil"/>
            </w:tcBorders>
          </w:tcPr>
          <w:p w14:paraId="600BC8B5" w14:textId="77777777" w:rsidR="006F1DD1" w:rsidRPr="005151A6" w:rsidRDefault="006F1DD1" w:rsidP="00F8558F">
            <w:pPr>
              <w:pStyle w:val="ListParagraph"/>
              <w:spacing w:line="360" w:lineRule="auto"/>
              <w:ind w:left="0"/>
              <w:jc w:val="center"/>
              <w:rPr>
                <w:sz w:val="16"/>
                <w:szCs w:val="16"/>
              </w:rPr>
            </w:pPr>
          </w:p>
        </w:tc>
        <w:tc>
          <w:tcPr>
            <w:tcW w:w="1808" w:type="dxa"/>
            <w:tcBorders>
              <w:left w:val="nil"/>
              <w:bottom w:val="single" w:sz="4" w:space="0" w:color="auto"/>
              <w:right w:val="nil"/>
            </w:tcBorders>
          </w:tcPr>
          <w:p w14:paraId="3F1FB599" w14:textId="77777777" w:rsidR="006F1DD1" w:rsidRPr="005151A6" w:rsidRDefault="006F1DD1" w:rsidP="00F8558F">
            <w:pPr>
              <w:pStyle w:val="ListParagraph"/>
              <w:spacing w:line="360" w:lineRule="auto"/>
              <w:ind w:left="0"/>
              <w:jc w:val="center"/>
              <w:rPr>
                <w:sz w:val="16"/>
                <w:szCs w:val="16"/>
              </w:rPr>
            </w:pPr>
            <w:r w:rsidRPr="005151A6">
              <w:rPr>
                <w:i/>
                <w:iCs/>
                <w:sz w:val="16"/>
                <w:szCs w:val="16"/>
              </w:rPr>
              <w:t>J</w:t>
            </w:r>
            <w:r w:rsidRPr="005151A6">
              <w:rPr>
                <w:sz w:val="16"/>
                <w:szCs w:val="16"/>
                <w:vertAlign w:val="subscript"/>
              </w:rPr>
              <w:t>SC</w:t>
            </w:r>
          </w:p>
        </w:tc>
        <w:tc>
          <w:tcPr>
            <w:tcW w:w="2013" w:type="dxa"/>
            <w:tcBorders>
              <w:left w:val="nil"/>
              <w:bottom w:val="single" w:sz="4" w:space="0" w:color="auto"/>
              <w:right w:val="nil"/>
            </w:tcBorders>
          </w:tcPr>
          <w:p w14:paraId="3E86935C" w14:textId="77777777" w:rsidR="006F1DD1" w:rsidRPr="005151A6" w:rsidRDefault="006F1DD1" w:rsidP="00F8558F">
            <w:pPr>
              <w:pStyle w:val="ListParagraph"/>
              <w:spacing w:line="360" w:lineRule="auto"/>
              <w:ind w:left="0"/>
              <w:jc w:val="center"/>
              <w:rPr>
                <w:sz w:val="16"/>
                <w:szCs w:val="16"/>
              </w:rPr>
            </w:pPr>
            <w:r w:rsidRPr="005151A6">
              <w:rPr>
                <w:sz w:val="16"/>
                <w:szCs w:val="16"/>
              </w:rPr>
              <w:t>0.6820</w:t>
            </w:r>
          </w:p>
        </w:tc>
        <w:tc>
          <w:tcPr>
            <w:tcW w:w="1892" w:type="dxa"/>
            <w:tcBorders>
              <w:left w:val="nil"/>
              <w:bottom w:val="single" w:sz="4" w:space="0" w:color="auto"/>
              <w:right w:val="nil"/>
            </w:tcBorders>
          </w:tcPr>
          <w:p w14:paraId="4BD01606" w14:textId="77777777" w:rsidR="006F1DD1" w:rsidRPr="005151A6" w:rsidRDefault="006F1DD1" w:rsidP="00F8558F">
            <w:pPr>
              <w:pStyle w:val="ListParagraph"/>
              <w:spacing w:line="360" w:lineRule="auto"/>
              <w:ind w:left="0"/>
              <w:jc w:val="center"/>
              <w:rPr>
                <w:sz w:val="16"/>
                <w:szCs w:val="16"/>
              </w:rPr>
            </w:pPr>
            <w:r w:rsidRPr="005151A6">
              <w:rPr>
                <w:sz w:val="16"/>
                <w:szCs w:val="16"/>
              </w:rPr>
              <w:t>0.4612</w:t>
            </w:r>
          </w:p>
        </w:tc>
        <w:tc>
          <w:tcPr>
            <w:tcW w:w="1805" w:type="dxa"/>
            <w:tcBorders>
              <w:left w:val="nil"/>
              <w:bottom w:val="single" w:sz="4" w:space="0" w:color="auto"/>
              <w:right w:val="nil"/>
            </w:tcBorders>
          </w:tcPr>
          <w:p w14:paraId="08E9C9B6" w14:textId="77777777" w:rsidR="006F1DD1" w:rsidRPr="005151A6" w:rsidRDefault="006F1DD1" w:rsidP="00F8558F">
            <w:pPr>
              <w:pStyle w:val="ListParagraph"/>
              <w:spacing w:line="360" w:lineRule="auto"/>
              <w:ind w:left="0"/>
              <w:jc w:val="center"/>
              <w:rPr>
                <w:sz w:val="16"/>
                <w:szCs w:val="16"/>
              </w:rPr>
            </w:pPr>
            <w:r w:rsidRPr="005151A6">
              <w:rPr>
                <w:sz w:val="16"/>
                <w:szCs w:val="16"/>
              </w:rPr>
              <w:t>1.9221</w:t>
            </w:r>
          </w:p>
        </w:tc>
      </w:tr>
      <w:tr w:rsidR="006F1DD1" w:rsidRPr="00B55044" w14:paraId="321418B6" w14:textId="77777777" w:rsidTr="00F8558F">
        <w:trPr>
          <w:jc w:val="center"/>
        </w:trPr>
        <w:tc>
          <w:tcPr>
            <w:tcW w:w="2058" w:type="dxa"/>
            <w:vMerge/>
            <w:tcBorders>
              <w:left w:val="nil"/>
              <w:right w:val="nil"/>
            </w:tcBorders>
          </w:tcPr>
          <w:p w14:paraId="7847F6BD" w14:textId="77777777" w:rsidR="006F1DD1" w:rsidRPr="005151A6" w:rsidRDefault="006F1DD1" w:rsidP="00F8558F">
            <w:pPr>
              <w:pStyle w:val="ListParagraph"/>
              <w:spacing w:line="360" w:lineRule="auto"/>
              <w:ind w:left="0"/>
              <w:jc w:val="center"/>
              <w:rPr>
                <w:sz w:val="16"/>
                <w:szCs w:val="16"/>
              </w:rPr>
            </w:pPr>
          </w:p>
        </w:tc>
        <w:tc>
          <w:tcPr>
            <w:tcW w:w="1808" w:type="dxa"/>
            <w:tcBorders>
              <w:left w:val="nil"/>
              <w:bottom w:val="single" w:sz="4" w:space="0" w:color="auto"/>
              <w:right w:val="nil"/>
            </w:tcBorders>
          </w:tcPr>
          <w:p w14:paraId="7BD1B953" w14:textId="77777777" w:rsidR="006F1DD1" w:rsidRPr="005151A6" w:rsidRDefault="006F1DD1" w:rsidP="00F8558F">
            <w:pPr>
              <w:pStyle w:val="ListParagraph"/>
              <w:spacing w:line="360" w:lineRule="auto"/>
              <w:ind w:left="0"/>
              <w:jc w:val="center"/>
              <w:rPr>
                <w:i/>
                <w:iCs/>
                <w:sz w:val="16"/>
                <w:szCs w:val="16"/>
              </w:rPr>
            </w:pPr>
            <w:r w:rsidRPr="005151A6">
              <w:rPr>
                <w:i/>
                <w:iCs/>
                <w:sz w:val="16"/>
                <w:szCs w:val="16"/>
              </w:rPr>
              <w:t>V</w:t>
            </w:r>
            <w:r w:rsidRPr="005151A6">
              <w:rPr>
                <w:sz w:val="16"/>
                <w:szCs w:val="16"/>
                <w:vertAlign w:val="subscript"/>
              </w:rPr>
              <w:t>OC</w:t>
            </w:r>
          </w:p>
        </w:tc>
        <w:tc>
          <w:tcPr>
            <w:tcW w:w="2013" w:type="dxa"/>
            <w:tcBorders>
              <w:left w:val="nil"/>
              <w:bottom w:val="single" w:sz="4" w:space="0" w:color="auto"/>
              <w:right w:val="nil"/>
            </w:tcBorders>
          </w:tcPr>
          <w:p w14:paraId="37BFB158" w14:textId="77777777" w:rsidR="006F1DD1" w:rsidRPr="005151A6" w:rsidRDefault="006F1DD1" w:rsidP="00F8558F">
            <w:pPr>
              <w:pStyle w:val="ListParagraph"/>
              <w:spacing w:line="360" w:lineRule="auto"/>
              <w:ind w:left="0"/>
              <w:jc w:val="center"/>
              <w:rPr>
                <w:sz w:val="16"/>
                <w:szCs w:val="16"/>
              </w:rPr>
            </w:pPr>
            <w:r w:rsidRPr="005151A6">
              <w:rPr>
                <w:sz w:val="16"/>
                <w:szCs w:val="16"/>
              </w:rPr>
              <w:t>0.6068</w:t>
            </w:r>
          </w:p>
        </w:tc>
        <w:tc>
          <w:tcPr>
            <w:tcW w:w="1892" w:type="dxa"/>
            <w:tcBorders>
              <w:left w:val="nil"/>
              <w:bottom w:val="single" w:sz="4" w:space="0" w:color="auto"/>
              <w:right w:val="nil"/>
            </w:tcBorders>
          </w:tcPr>
          <w:p w14:paraId="5003511D" w14:textId="77777777" w:rsidR="006F1DD1" w:rsidRPr="005151A6" w:rsidRDefault="006F1DD1" w:rsidP="00F8558F">
            <w:pPr>
              <w:pStyle w:val="ListParagraph"/>
              <w:spacing w:line="360" w:lineRule="auto"/>
              <w:ind w:left="0"/>
              <w:jc w:val="center"/>
              <w:rPr>
                <w:sz w:val="16"/>
                <w:szCs w:val="16"/>
              </w:rPr>
            </w:pPr>
            <w:r w:rsidRPr="005151A6">
              <w:rPr>
                <w:sz w:val="16"/>
                <w:szCs w:val="16"/>
              </w:rPr>
              <w:t>0.3647</w:t>
            </w:r>
          </w:p>
        </w:tc>
        <w:tc>
          <w:tcPr>
            <w:tcW w:w="1805" w:type="dxa"/>
            <w:tcBorders>
              <w:left w:val="nil"/>
              <w:bottom w:val="single" w:sz="4" w:space="0" w:color="auto"/>
              <w:right w:val="nil"/>
            </w:tcBorders>
          </w:tcPr>
          <w:p w14:paraId="2A4B9EB4" w14:textId="77777777" w:rsidR="006F1DD1" w:rsidRPr="005151A6" w:rsidRDefault="006F1DD1" w:rsidP="00F8558F">
            <w:pPr>
              <w:pStyle w:val="ListParagraph"/>
              <w:spacing w:line="360" w:lineRule="auto"/>
              <w:ind w:left="0"/>
              <w:jc w:val="center"/>
              <w:rPr>
                <w:sz w:val="16"/>
                <w:szCs w:val="16"/>
              </w:rPr>
            </w:pPr>
            <w:r w:rsidRPr="005151A6">
              <w:rPr>
                <w:sz w:val="16"/>
                <w:szCs w:val="16"/>
              </w:rPr>
              <w:t>0.0285</w:t>
            </w:r>
          </w:p>
        </w:tc>
      </w:tr>
      <w:tr w:rsidR="006F1DD1" w:rsidRPr="00B55044" w14:paraId="71557F9F" w14:textId="77777777" w:rsidTr="00F8558F">
        <w:trPr>
          <w:jc w:val="center"/>
        </w:trPr>
        <w:tc>
          <w:tcPr>
            <w:tcW w:w="2058" w:type="dxa"/>
            <w:vMerge/>
            <w:tcBorders>
              <w:left w:val="nil"/>
              <w:bottom w:val="single" w:sz="4" w:space="0" w:color="auto"/>
              <w:right w:val="nil"/>
            </w:tcBorders>
          </w:tcPr>
          <w:p w14:paraId="4804D63C" w14:textId="77777777" w:rsidR="006F1DD1" w:rsidRPr="005151A6" w:rsidRDefault="006F1DD1" w:rsidP="00F8558F">
            <w:pPr>
              <w:pStyle w:val="ListParagraph"/>
              <w:spacing w:line="360" w:lineRule="auto"/>
              <w:ind w:left="0"/>
              <w:jc w:val="center"/>
              <w:rPr>
                <w:sz w:val="16"/>
                <w:szCs w:val="16"/>
              </w:rPr>
            </w:pPr>
          </w:p>
        </w:tc>
        <w:tc>
          <w:tcPr>
            <w:tcW w:w="1808" w:type="dxa"/>
            <w:tcBorders>
              <w:left w:val="nil"/>
              <w:bottom w:val="single" w:sz="4" w:space="0" w:color="auto"/>
              <w:right w:val="nil"/>
            </w:tcBorders>
          </w:tcPr>
          <w:p w14:paraId="7C9B86A6" w14:textId="77777777" w:rsidR="006F1DD1" w:rsidRPr="005151A6" w:rsidRDefault="006F1DD1" w:rsidP="00F8558F">
            <w:pPr>
              <w:pStyle w:val="ListParagraph"/>
              <w:spacing w:line="360" w:lineRule="auto"/>
              <w:ind w:left="0"/>
              <w:jc w:val="center"/>
              <w:rPr>
                <w:sz w:val="16"/>
                <w:szCs w:val="16"/>
              </w:rPr>
            </w:pPr>
            <w:r w:rsidRPr="005151A6">
              <w:rPr>
                <w:sz w:val="16"/>
                <w:szCs w:val="16"/>
              </w:rPr>
              <w:t>FF</w:t>
            </w:r>
          </w:p>
        </w:tc>
        <w:tc>
          <w:tcPr>
            <w:tcW w:w="2013" w:type="dxa"/>
            <w:tcBorders>
              <w:left w:val="nil"/>
              <w:bottom w:val="single" w:sz="4" w:space="0" w:color="auto"/>
              <w:right w:val="nil"/>
            </w:tcBorders>
          </w:tcPr>
          <w:p w14:paraId="758979C0" w14:textId="77777777" w:rsidR="006F1DD1" w:rsidRPr="005151A6" w:rsidRDefault="006F1DD1" w:rsidP="00F8558F">
            <w:pPr>
              <w:pStyle w:val="ListParagraph"/>
              <w:spacing w:line="360" w:lineRule="auto"/>
              <w:ind w:left="0"/>
              <w:jc w:val="center"/>
              <w:rPr>
                <w:sz w:val="16"/>
                <w:szCs w:val="16"/>
              </w:rPr>
            </w:pPr>
            <w:r w:rsidRPr="005151A6">
              <w:rPr>
                <w:sz w:val="16"/>
                <w:szCs w:val="16"/>
              </w:rPr>
              <w:t>0.5885</w:t>
            </w:r>
          </w:p>
        </w:tc>
        <w:tc>
          <w:tcPr>
            <w:tcW w:w="1892" w:type="dxa"/>
            <w:tcBorders>
              <w:left w:val="nil"/>
              <w:bottom w:val="single" w:sz="4" w:space="0" w:color="auto"/>
              <w:right w:val="nil"/>
            </w:tcBorders>
          </w:tcPr>
          <w:p w14:paraId="3610A6DF" w14:textId="77777777" w:rsidR="006F1DD1" w:rsidRPr="005151A6" w:rsidRDefault="006F1DD1" w:rsidP="00F8558F">
            <w:pPr>
              <w:pStyle w:val="ListParagraph"/>
              <w:spacing w:line="360" w:lineRule="auto"/>
              <w:ind w:left="0"/>
              <w:jc w:val="center"/>
              <w:rPr>
                <w:sz w:val="16"/>
                <w:szCs w:val="16"/>
              </w:rPr>
            </w:pPr>
            <w:r w:rsidRPr="005151A6">
              <w:rPr>
                <w:sz w:val="16"/>
                <w:szCs w:val="16"/>
              </w:rPr>
              <w:t>0.3428</w:t>
            </w:r>
          </w:p>
        </w:tc>
        <w:tc>
          <w:tcPr>
            <w:tcW w:w="1805" w:type="dxa"/>
            <w:tcBorders>
              <w:left w:val="nil"/>
              <w:bottom w:val="single" w:sz="4" w:space="0" w:color="auto"/>
              <w:right w:val="nil"/>
            </w:tcBorders>
          </w:tcPr>
          <w:p w14:paraId="37DE970C" w14:textId="77777777" w:rsidR="006F1DD1" w:rsidRPr="005151A6" w:rsidRDefault="006F1DD1" w:rsidP="00F8558F">
            <w:pPr>
              <w:pStyle w:val="ListParagraph"/>
              <w:spacing w:line="360" w:lineRule="auto"/>
              <w:ind w:left="0"/>
              <w:jc w:val="center"/>
              <w:rPr>
                <w:sz w:val="16"/>
                <w:szCs w:val="16"/>
              </w:rPr>
            </w:pPr>
            <w:r w:rsidRPr="005151A6">
              <w:rPr>
                <w:sz w:val="16"/>
                <w:szCs w:val="16"/>
              </w:rPr>
              <w:t>5.0531</w:t>
            </w:r>
          </w:p>
        </w:tc>
      </w:tr>
      <w:tr w:rsidR="006F1DD1" w:rsidRPr="00B55044" w14:paraId="74134E59" w14:textId="77777777" w:rsidTr="00F8558F">
        <w:trPr>
          <w:jc w:val="center"/>
        </w:trPr>
        <w:tc>
          <w:tcPr>
            <w:tcW w:w="2058" w:type="dxa"/>
            <w:vMerge w:val="restart"/>
            <w:tcBorders>
              <w:top w:val="single" w:sz="4" w:space="0" w:color="auto"/>
              <w:left w:val="nil"/>
              <w:right w:val="nil"/>
            </w:tcBorders>
          </w:tcPr>
          <w:p w14:paraId="780DF5E9" w14:textId="77777777" w:rsidR="006F1DD1" w:rsidRPr="005151A6" w:rsidRDefault="006F1DD1" w:rsidP="00F8558F">
            <w:pPr>
              <w:pStyle w:val="ListParagraph"/>
              <w:spacing w:line="360" w:lineRule="auto"/>
              <w:ind w:left="0"/>
              <w:jc w:val="center"/>
              <w:rPr>
                <w:sz w:val="16"/>
                <w:szCs w:val="16"/>
              </w:rPr>
            </w:pPr>
          </w:p>
          <w:p w14:paraId="4A9FF54A" w14:textId="77777777" w:rsidR="006F1DD1" w:rsidRPr="005151A6" w:rsidRDefault="006F1DD1" w:rsidP="00F8558F">
            <w:pPr>
              <w:pStyle w:val="ListParagraph"/>
              <w:spacing w:line="360" w:lineRule="auto"/>
              <w:ind w:left="0"/>
              <w:jc w:val="center"/>
              <w:rPr>
                <w:sz w:val="16"/>
                <w:szCs w:val="16"/>
              </w:rPr>
            </w:pPr>
            <w:r w:rsidRPr="005151A6">
              <w:rPr>
                <w:sz w:val="16"/>
                <w:szCs w:val="16"/>
              </w:rPr>
              <w:t>ANN</w:t>
            </w:r>
          </w:p>
        </w:tc>
        <w:tc>
          <w:tcPr>
            <w:tcW w:w="1808" w:type="dxa"/>
            <w:tcBorders>
              <w:top w:val="single" w:sz="4" w:space="0" w:color="auto"/>
              <w:left w:val="nil"/>
              <w:bottom w:val="single" w:sz="4" w:space="0" w:color="auto"/>
              <w:right w:val="nil"/>
            </w:tcBorders>
          </w:tcPr>
          <w:p w14:paraId="7591E548" w14:textId="77777777" w:rsidR="006F1DD1" w:rsidRPr="005151A6" w:rsidRDefault="006F1DD1" w:rsidP="00F8558F">
            <w:pPr>
              <w:pStyle w:val="ListParagraph"/>
              <w:spacing w:line="360" w:lineRule="auto"/>
              <w:ind w:left="0"/>
              <w:jc w:val="center"/>
              <w:rPr>
                <w:sz w:val="16"/>
                <w:szCs w:val="16"/>
              </w:rPr>
            </w:pPr>
            <w:r w:rsidRPr="005151A6">
              <w:rPr>
                <w:sz w:val="16"/>
                <w:szCs w:val="16"/>
              </w:rPr>
              <w:t>PCE</w:t>
            </w:r>
          </w:p>
        </w:tc>
        <w:tc>
          <w:tcPr>
            <w:tcW w:w="2013" w:type="dxa"/>
            <w:tcBorders>
              <w:top w:val="single" w:sz="4" w:space="0" w:color="auto"/>
              <w:left w:val="nil"/>
              <w:bottom w:val="single" w:sz="4" w:space="0" w:color="auto"/>
              <w:right w:val="nil"/>
            </w:tcBorders>
          </w:tcPr>
          <w:p w14:paraId="7915ED58" w14:textId="77777777" w:rsidR="006F1DD1" w:rsidRPr="005151A6" w:rsidRDefault="006F1DD1" w:rsidP="00F8558F">
            <w:pPr>
              <w:pStyle w:val="ListParagraph"/>
              <w:spacing w:line="360" w:lineRule="auto"/>
              <w:ind w:left="0"/>
              <w:jc w:val="center"/>
              <w:rPr>
                <w:sz w:val="16"/>
                <w:szCs w:val="16"/>
              </w:rPr>
            </w:pPr>
            <w:r w:rsidRPr="005151A6">
              <w:rPr>
                <w:sz w:val="16"/>
                <w:szCs w:val="16"/>
              </w:rPr>
              <w:t>0.3665</w:t>
            </w:r>
          </w:p>
        </w:tc>
        <w:tc>
          <w:tcPr>
            <w:tcW w:w="1892" w:type="dxa"/>
            <w:tcBorders>
              <w:top w:val="single" w:sz="4" w:space="0" w:color="auto"/>
              <w:left w:val="nil"/>
              <w:bottom w:val="single" w:sz="4" w:space="0" w:color="auto"/>
              <w:right w:val="nil"/>
            </w:tcBorders>
          </w:tcPr>
          <w:p w14:paraId="593F4247" w14:textId="77777777" w:rsidR="006F1DD1" w:rsidRPr="005151A6" w:rsidRDefault="006F1DD1" w:rsidP="00F8558F">
            <w:pPr>
              <w:pStyle w:val="ListParagraph"/>
              <w:spacing w:line="360" w:lineRule="auto"/>
              <w:ind w:left="0"/>
              <w:jc w:val="center"/>
              <w:rPr>
                <w:sz w:val="16"/>
                <w:szCs w:val="16"/>
              </w:rPr>
            </w:pPr>
            <w:r w:rsidRPr="005151A6">
              <w:rPr>
                <w:sz w:val="16"/>
                <w:szCs w:val="16"/>
              </w:rPr>
              <w:t>0.1280</w:t>
            </w:r>
          </w:p>
        </w:tc>
        <w:tc>
          <w:tcPr>
            <w:tcW w:w="1805" w:type="dxa"/>
            <w:tcBorders>
              <w:top w:val="single" w:sz="4" w:space="0" w:color="auto"/>
              <w:left w:val="nil"/>
              <w:bottom w:val="single" w:sz="4" w:space="0" w:color="auto"/>
              <w:right w:val="nil"/>
            </w:tcBorders>
          </w:tcPr>
          <w:p w14:paraId="6ADE7AA0" w14:textId="77777777" w:rsidR="006F1DD1" w:rsidRPr="005151A6" w:rsidRDefault="006F1DD1" w:rsidP="00F8558F">
            <w:pPr>
              <w:pStyle w:val="ListParagraph"/>
              <w:spacing w:line="360" w:lineRule="auto"/>
              <w:ind w:left="0"/>
              <w:jc w:val="center"/>
              <w:rPr>
                <w:sz w:val="16"/>
                <w:szCs w:val="16"/>
              </w:rPr>
            </w:pPr>
            <w:r w:rsidRPr="005151A6">
              <w:rPr>
                <w:sz w:val="16"/>
                <w:szCs w:val="16"/>
              </w:rPr>
              <w:t>1.3252</w:t>
            </w:r>
          </w:p>
        </w:tc>
      </w:tr>
      <w:tr w:rsidR="006F1DD1" w:rsidRPr="00B55044" w14:paraId="36883195" w14:textId="77777777" w:rsidTr="00F8558F">
        <w:trPr>
          <w:jc w:val="center"/>
        </w:trPr>
        <w:tc>
          <w:tcPr>
            <w:tcW w:w="2058" w:type="dxa"/>
            <w:vMerge/>
            <w:tcBorders>
              <w:left w:val="nil"/>
              <w:right w:val="nil"/>
            </w:tcBorders>
          </w:tcPr>
          <w:p w14:paraId="23B1A0D9" w14:textId="77777777" w:rsidR="006F1DD1" w:rsidRPr="005151A6" w:rsidRDefault="006F1DD1" w:rsidP="00F8558F">
            <w:pPr>
              <w:pStyle w:val="ListParagraph"/>
              <w:spacing w:line="360" w:lineRule="auto"/>
              <w:ind w:left="0"/>
              <w:jc w:val="center"/>
              <w:rPr>
                <w:sz w:val="16"/>
                <w:szCs w:val="16"/>
              </w:rPr>
            </w:pPr>
          </w:p>
        </w:tc>
        <w:tc>
          <w:tcPr>
            <w:tcW w:w="1808" w:type="dxa"/>
            <w:tcBorders>
              <w:top w:val="single" w:sz="4" w:space="0" w:color="auto"/>
              <w:left w:val="nil"/>
              <w:bottom w:val="single" w:sz="4" w:space="0" w:color="auto"/>
              <w:right w:val="nil"/>
            </w:tcBorders>
          </w:tcPr>
          <w:p w14:paraId="707469B0" w14:textId="77777777" w:rsidR="006F1DD1" w:rsidRPr="005151A6" w:rsidRDefault="006F1DD1" w:rsidP="00F8558F">
            <w:pPr>
              <w:pStyle w:val="ListParagraph"/>
              <w:spacing w:line="360" w:lineRule="auto"/>
              <w:ind w:left="0"/>
              <w:jc w:val="center"/>
              <w:rPr>
                <w:sz w:val="16"/>
                <w:szCs w:val="16"/>
              </w:rPr>
            </w:pPr>
            <w:r w:rsidRPr="005151A6">
              <w:rPr>
                <w:i/>
                <w:iCs/>
                <w:sz w:val="16"/>
                <w:szCs w:val="16"/>
              </w:rPr>
              <w:t>J</w:t>
            </w:r>
            <w:r w:rsidRPr="005151A6">
              <w:rPr>
                <w:sz w:val="16"/>
                <w:szCs w:val="16"/>
                <w:vertAlign w:val="subscript"/>
              </w:rPr>
              <w:t>SC</w:t>
            </w:r>
          </w:p>
        </w:tc>
        <w:tc>
          <w:tcPr>
            <w:tcW w:w="2013" w:type="dxa"/>
            <w:tcBorders>
              <w:top w:val="single" w:sz="4" w:space="0" w:color="auto"/>
              <w:left w:val="nil"/>
              <w:bottom w:val="single" w:sz="4" w:space="0" w:color="auto"/>
              <w:right w:val="nil"/>
            </w:tcBorders>
          </w:tcPr>
          <w:p w14:paraId="3D07825E" w14:textId="77777777" w:rsidR="006F1DD1" w:rsidRPr="005151A6" w:rsidRDefault="006F1DD1" w:rsidP="00F8558F">
            <w:pPr>
              <w:pStyle w:val="ListParagraph"/>
              <w:spacing w:line="360" w:lineRule="auto"/>
              <w:ind w:left="0"/>
              <w:jc w:val="center"/>
              <w:rPr>
                <w:sz w:val="16"/>
                <w:szCs w:val="16"/>
              </w:rPr>
            </w:pPr>
            <w:r w:rsidRPr="005151A6">
              <w:rPr>
                <w:sz w:val="16"/>
                <w:szCs w:val="16"/>
              </w:rPr>
              <w:t>0.1708</w:t>
            </w:r>
          </w:p>
        </w:tc>
        <w:tc>
          <w:tcPr>
            <w:tcW w:w="1892" w:type="dxa"/>
            <w:tcBorders>
              <w:top w:val="single" w:sz="4" w:space="0" w:color="auto"/>
              <w:left w:val="nil"/>
              <w:bottom w:val="single" w:sz="4" w:space="0" w:color="auto"/>
              <w:right w:val="nil"/>
            </w:tcBorders>
          </w:tcPr>
          <w:p w14:paraId="64212CAF" w14:textId="77777777" w:rsidR="006F1DD1" w:rsidRPr="005151A6" w:rsidRDefault="006F1DD1" w:rsidP="00F8558F">
            <w:pPr>
              <w:pStyle w:val="ListParagraph"/>
              <w:spacing w:line="360" w:lineRule="auto"/>
              <w:ind w:left="0"/>
              <w:jc w:val="center"/>
              <w:rPr>
                <w:sz w:val="16"/>
                <w:szCs w:val="16"/>
              </w:rPr>
            </w:pPr>
            <w:r w:rsidRPr="005151A6">
              <w:rPr>
                <w:sz w:val="16"/>
                <w:szCs w:val="16"/>
              </w:rPr>
              <w:t>0.0221</w:t>
            </w:r>
          </w:p>
        </w:tc>
        <w:tc>
          <w:tcPr>
            <w:tcW w:w="1805" w:type="dxa"/>
            <w:tcBorders>
              <w:top w:val="single" w:sz="4" w:space="0" w:color="auto"/>
              <w:left w:val="nil"/>
              <w:bottom w:val="single" w:sz="4" w:space="0" w:color="auto"/>
              <w:right w:val="nil"/>
            </w:tcBorders>
          </w:tcPr>
          <w:p w14:paraId="67BC1BED" w14:textId="77777777" w:rsidR="006F1DD1" w:rsidRPr="005151A6" w:rsidRDefault="006F1DD1" w:rsidP="00F8558F">
            <w:pPr>
              <w:pStyle w:val="ListParagraph"/>
              <w:spacing w:line="360" w:lineRule="auto"/>
              <w:ind w:left="0"/>
              <w:jc w:val="center"/>
              <w:rPr>
                <w:sz w:val="16"/>
                <w:szCs w:val="16"/>
              </w:rPr>
            </w:pPr>
            <w:r w:rsidRPr="005151A6">
              <w:rPr>
                <w:sz w:val="16"/>
                <w:szCs w:val="16"/>
              </w:rPr>
              <w:t>2.6321</w:t>
            </w:r>
          </w:p>
        </w:tc>
      </w:tr>
      <w:tr w:rsidR="006F1DD1" w:rsidRPr="00B55044" w14:paraId="0B58F543" w14:textId="77777777" w:rsidTr="00F8558F">
        <w:trPr>
          <w:jc w:val="center"/>
        </w:trPr>
        <w:tc>
          <w:tcPr>
            <w:tcW w:w="2058" w:type="dxa"/>
            <w:vMerge/>
            <w:tcBorders>
              <w:left w:val="nil"/>
              <w:right w:val="nil"/>
            </w:tcBorders>
          </w:tcPr>
          <w:p w14:paraId="21E2FCD8" w14:textId="77777777" w:rsidR="006F1DD1" w:rsidRPr="005151A6" w:rsidRDefault="006F1DD1" w:rsidP="00F8558F">
            <w:pPr>
              <w:pStyle w:val="ListParagraph"/>
              <w:spacing w:line="360" w:lineRule="auto"/>
              <w:ind w:left="0"/>
              <w:jc w:val="center"/>
              <w:rPr>
                <w:sz w:val="16"/>
                <w:szCs w:val="16"/>
              </w:rPr>
            </w:pPr>
          </w:p>
        </w:tc>
        <w:tc>
          <w:tcPr>
            <w:tcW w:w="1808" w:type="dxa"/>
            <w:tcBorders>
              <w:top w:val="single" w:sz="4" w:space="0" w:color="auto"/>
              <w:left w:val="nil"/>
              <w:bottom w:val="single" w:sz="4" w:space="0" w:color="auto"/>
              <w:right w:val="nil"/>
            </w:tcBorders>
          </w:tcPr>
          <w:p w14:paraId="1C0AAA89" w14:textId="77777777" w:rsidR="006F1DD1" w:rsidRPr="005151A6" w:rsidRDefault="006F1DD1" w:rsidP="00F8558F">
            <w:pPr>
              <w:pStyle w:val="ListParagraph"/>
              <w:spacing w:line="360" w:lineRule="auto"/>
              <w:ind w:left="0"/>
              <w:jc w:val="center"/>
              <w:rPr>
                <w:sz w:val="16"/>
                <w:szCs w:val="16"/>
              </w:rPr>
            </w:pPr>
            <w:r w:rsidRPr="005151A6">
              <w:rPr>
                <w:i/>
                <w:iCs/>
                <w:sz w:val="16"/>
                <w:szCs w:val="16"/>
              </w:rPr>
              <w:t>V</w:t>
            </w:r>
            <w:r w:rsidRPr="005151A6">
              <w:rPr>
                <w:sz w:val="16"/>
                <w:szCs w:val="16"/>
                <w:vertAlign w:val="subscript"/>
              </w:rPr>
              <w:t>OC</w:t>
            </w:r>
          </w:p>
        </w:tc>
        <w:tc>
          <w:tcPr>
            <w:tcW w:w="2013" w:type="dxa"/>
            <w:tcBorders>
              <w:top w:val="single" w:sz="4" w:space="0" w:color="auto"/>
              <w:left w:val="nil"/>
              <w:bottom w:val="single" w:sz="4" w:space="0" w:color="auto"/>
              <w:right w:val="nil"/>
            </w:tcBorders>
          </w:tcPr>
          <w:p w14:paraId="603D08DC" w14:textId="77777777" w:rsidR="006F1DD1" w:rsidRPr="005151A6" w:rsidRDefault="006F1DD1" w:rsidP="00F8558F">
            <w:pPr>
              <w:pStyle w:val="ListParagraph"/>
              <w:spacing w:line="360" w:lineRule="auto"/>
              <w:ind w:left="0"/>
              <w:jc w:val="center"/>
              <w:rPr>
                <w:sz w:val="16"/>
                <w:szCs w:val="16"/>
              </w:rPr>
            </w:pPr>
            <w:r w:rsidRPr="005151A6">
              <w:rPr>
                <w:sz w:val="16"/>
                <w:szCs w:val="16"/>
              </w:rPr>
              <w:t>0.3459</w:t>
            </w:r>
          </w:p>
        </w:tc>
        <w:tc>
          <w:tcPr>
            <w:tcW w:w="1892" w:type="dxa"/>
            <w:tcBorders>
              <w:top w:val="single" w:sz="4" w:space="0" w:color="auto"/>
              <w:left w:val="nil"/>
              <w:bottom w:val="single" w:sz="4" w:space="0" w:color="auto"/>
              <w:right w:val="nil"/>
            </w:tcBorders>
          </w:tcPr>
          <w:p w14:paraId="2089B784" w14:textId="77777777" w:rsidR="006F1DD1" w:rsidRPr="005151A6" w:rsidRDefault="006F1DD1" w:rsidP="00F8558F">
            <w:pPr>
              <w:pStyle w:val="ListParagraph"/>
              <w:spacing w:line="360" w:lineRule="auto"/>
              <w:ind w:left="0"/>
              <w:jc w:val="center"/>
              <w:rPr>
                <w:sz w:val="16"/>
                <w:szCs w:val="16"/>
              </w:rPr>
            </w:pPr>
            <w:r w:rsidRPr="005151A6">
              <w:rPr>
                <w:sz w:val="16"/>
                <w:szCs w:val="16"/>
              </w:rPr>
              <w:t>0.1132</w:t>
            </w:r>
          </w:p>
        </w:tc>
        <w:tc>
          <w:tcPr>
            <w:tcW w:w="1805" w:type="dxa"/>
            <w:tcBorders>
              <w:top w:val="single" w:sz="4" w:space="0" w:color="auto"/>
              <w:left w:val="nil"/>
              <w:bottom w:val="single" w:sz="4" w:space="0" w:color="auto"/>
              <w:right w:val="nil"/>
            </w:tcBorders>
          </w:tcPr>
          <w:p w14:paraId="5E520364" w14:textId="77777777" w:rsidR="006F1DD1" w:rsidRPr="005151A6" w:rsidRDefault="006F1DD1" w:rsidP="00F8558F">
            <w:pPr>
              <w:pStyle w:val="ListParagraph"/>
              <w:spacing w:line="360" w:lineRule="auto"/>
              <w:ind w:left="0"/>
              <w:jc w:val="center"/>
              <w:rPr>
                <w:sz w:val="16"/>
                <w:szCs w:val="16"/>
              </w:rPr>
            </w:pPr>
            <w:r w:rsidRPr="005151A6">
              <w:rPr>
                <w:sz w:val="16"/>
                <w:szCs w:val="16"/>
              </w:rPr>
              <w:t>0.0277</w:t>
            </w:r>
          </w:p>
        </w:tc>
      </w:tr>
      <w:tr w:rsidR="006F1DD1" w:rsidRPr="00B55044" w14:paraId="73998253" w14:textId="77777777" w:rsidTr="00F8558F">
        <w:trPr>
          <w:jc w:val="center"/>
        </w:trPr>
        <w:tc>
          <w:tcPr>
            <w:tcW w:w="2058" w:type="dxa"/>
            <w:vMerge/>
            <w:tcBorders>
              <w:left w:val="nil"/>
              <w:bottom w:val="single" w:sz="4" w:space="0" w:color="auto"/>
              <w:right w:val="nil"/>
            </w:tcBorders>
          </w:tcPr>
          <w:p w14:paraId="6EC5CE53" w14:textId="77777777" w:rsidR="006F1DD1" w:rsidRPr="005151A6" w:rsidRDefault="006F1DD1" w:rsidP="00F8558F">
            <w:pPr>
              <w:pStyle w:val="ListParagraph"/>
              <w:spacing w:line="360" w:lineRule="auto"/>
              <w:ind w:left="0"/>
              <w:jc w:val="center"/>
              <w:rPr>
                <w:sz w:val="16"/>
                <w:szCs w:val="16"/>
              </w:rPr>
            </w:pPr>
          </w:p>
        </w:tc>
        <w:tc>
          <w:tcPr>
            <w:tcW w:w="1808" w:type="dxa"/>
            <w:tcBorders>
              <w:top w:val="single" w:sz="4" w:space="0" w:color="auto"/>
              <w:left w:val="nil"/>
              <w:bottom w:val="single" w:sz="4" w:space="0" w:color="auto"/>
              <w:right w:val="nil"/>
            </w:tcBorders>
          </w:tcPr>
          <w:p w14:paraId="35892ED4" w14:textId="77777777" w:rsidR="006F1DD1" w:rsidRPr="005151A6" w:rsidRDefault="006F1DD1" w:rsidP="00F8558F">
            <w:pPr>
              <w:pStyle w:val="ListParagraph"/>
              <w:spacing w:line="360" w:lineRule="auto"/>
              <w:ind w:left="0"/>
              <w:jc w:val="center"/>
              <w:rPr>
                <w:sz w:val="16"/>
                <w:szCs w:val="16"/>
              </w:rPr>
            </w:pPr>
            <w:r w:rsidRPr="005151A6">
              <w:rPr>
                <w:sz w:val="16"/>
                <w:szCs w:val="16"/>
              </w:rPr>
              <w:t>FF</w:t>
            </w:r>
          </w:p>
        </w:tc>
        <w:tc>
          <w:tcPr>
            <w:tcW w:w="2013" w:type="dxa"/>
            <w:tcBorders>
              <w:top w:val="single" w:sz="4" w:space="0" w:color="auto"/>
              <w:left w:val="nil"/>
              <w:bottom w:val="single" w:sz="4" w:space="0" w:color="auto"/>
              <w:right w:val="nil"/>
            </w:tcBorders>
          </w:tcPr>
          <w:p w14:paraId="6AD64B69" w14:textId="77777777" w:rsidR="006F1DD1" w:rsidRPr="005151A6" w:rsidRDefault="006F1DD1" w:rsidP="00F8558F">
            <w:pPr>
              <w:pStyle w:val="ListParagraph"/>
              <w:spacing w:line="360" w:lineRule="auto"/>
              <w:ind w:left="0"/>
              <w:jc w:val="center"/>
              <w:rPr>
                <w:sz w:val="16"/>
                <w:szCs w:val="16"/>
              </w:rPr>
            </w:pPr>
            <w:r w:rsidRPr="005151A6">
              <w:rPr>
                <w:sz w:val="16"/>
                <w:szCs w:val="16"/>
              </w:rPr>
              <w:t>0.2063</w:t>
            </w:r>
          </w:p>
        </w:tc>
        <w:tc>
          <w:tcPr>
            <w:tcW w:w="1892" w:type="dxa"/>
            <w:tcBorders>
              <w:top w:val="single" w:sz="4" w:space="0" w:color="auto"/>
              <w:left w:val="nil"/>
              <w:bottom w:val="single" w:sz="4" w:space="0" w:color="auto"/>
              <w:right w:val="nil"/>
            </w:tcBorders>
          </w:tcPr>
          <w:p w14:paraId="3A17F787" w14:textId="77777777" w:rsidR="006F1DD1" w:rsidRPr="005151A6" w:rsidRDefault="006F1DD1" w:rsidP="00F8558F">
            <w:pPr>
              <w:pStyle w:val="ListParagraph"/>
              <w:spacing w:line="360" w:lineRule="auto"/>
              <w:ind w:left="0"/>
              <w:jc w:val="center"/>
              <w:rPr>
                <w:sz w:val="16"/>
                <w:szCs w:val="16"/>
              </w:rPr>
            </w:pPr>
            <w:r w:rsidRPr="005151A6">
              <w:rPr>
                <w:sz w:val="16"/>
                <w:szCs w:val="16"/>
              </w:rPr>
              <w:t>0.0355</w:t>
            </w:r>
          </w:p>
        </w:tc>
        <w:tc>
          <w:tcPr>
            <w:tcW w:w="1805" w:type="dxa"/>
            <w:tcBorders>
              <w:top w:val="single" w:sz="4" w:space="0" w:color="auto"/>
              <w:left w:val="nil"/>
              <w:bottom w:val="single" w:sz="4" w:space="0" w:color="auto"/>
              <w:right w:val="nil"/>
            </w:tcBorders>
          </w:tcPr>
          <w:p w14:paraId="447FBD99" w14:textId="77777777" w:rsidR="006F1DD1" w:rsidRPr="005151A6" w:rsidRDefault="006F1DD1" w:rsidP="00F8558F">
            <w:pPr>
              <w:pStyle w:val="ListParagraph"/>
              <w:spacing w:line="360" w:lineRule="auto"/>
              <w:ind w:left="0"/>
              <w:jc w:val="center"/>
              <w:rPr>
                <w:sz w:val="16"/>
                <w:szCs w:val="16"/>
              </w:rPr>
            </w:pPr>
            <w:r w:rsidRPr="005151A6">
              <w:rPr>
                <w:sz w:val="16"/>
                <w:szCs w:val="16"/>
              </w:rPr>
              <w:t>7.4137</w:t>
            </w:r>
          </w:p>
        </w:tc>
      </w:tr>
      <w:tr w:rsidR="006F1DD1" w:rsidRPr="00B55044" w14:paraId="0D406DCC" w14:textId="77777777" w:rsidTr="00F8558F">
        <w:trPr>
          <w:jc w:val="center"/>
        </w:trPr>
        <w:tc>
          <w:tcPr>
            <w:tcW w:w="2058" w:type="dxa"/>
            <w:vMerge w:val="restart"/>
            <w:tcBorders>
              <w:left w:val="nil"/>
              <w:right w:val="nil"/>
            </w:tcBorders>
          </w:tcPr>
          <w:p w14:paraId="6329B1FF" w14:textId="77777777" w:rsidR="006F1DD1" w:rsidRPr="005151A6" w:rsidRDefault="006F1DD1" w:rsidP="00F8558F">
            <w:pPr>
              <w:pStyle w:val="ListParagraph"/>
              <w:spacing w:line="360" w:lineRule="auto"/>
              <w:ind w:left="0"/>
              <w:jc w:val="center"/>
              <w:rPr>
                <w:sz w:val="16"/>
                <w:szCs w:val="16"/>
              </w:rPr>
            </w:pPr>
          </w:p>
          <w:p w14:paraId="519E699D" w14:textId="77777777" w:rsidR="006F1DD1" w:rsidRPr="005151A6" w:rsidRDefault="006F1DD1" w:rsidP="00F8558F">
            <w:pPr>
              <w:pStyle w:val="ListParagraph"/>
              <w:spacing w:line="360" w:lineRule="auto"/>
              <w:ind w:left="0"/>
              <w:jc w:val="center"/>
              <w:rPr>
                <w:sz w:val="16"/>
                <w:szCs w:val="16"/>
              </w:rPr>
            </w:pPr>
            <w:r w:rsidRPr="005151A6">
              <w:rPr>
                <w:sz w:val="16"/>
                <w:szCs w:val="16"/>
              </w:rPr>
              <w:t>Linear Model</w:t>
            </w:r>
          </w:p>
        </w:tc>
        <w:tc>
          <w:tcPr>
            <w:tcW w:w="1808" w:type="dxa"/>
            <w:tcBorders>
              <w:top w:val="single" w:sz="4" w:space="0" w:color="auto"/>
              <w:left w:val="nil"/>
              <w:bottom w:val="single" w:sz="4" w:space="0" w:color="auto"/>
              <w:right w:val="nil"/>
            </w:tcBorders>
          </w:tcPr>
          <w:p w14:paraId="45468E0B" w14:textId="77777777" w:rsidR="006F1DD1" w:rsidRPr="005151A6" w:rsidRDefault="006F1DD1" w:rsidP="00F8558F">
            <w:pPr>
              <w:pStyle w:val="ListParagraph"/>
              <w:spacing w:line="360" w:lineRule="auto"/>
              <w:ind w:left="0"/>
              <w:jc w:val="center"/>
              <w:rPr>
                <w:sz w:val="16"/>
                <w:szCs w:val="16"/>
              </w:rPr>
            </w:pPr>
            <w:r w:rsidRPr="005151A6">
              <w:rPr>
                <w:sz w:val="16"/>
                <w:szCs w:val="16"/>
              </w:rPr>
              <w:t>PCE</w:t>
            </w:r>
          </w:p>
        </w:tc>
        <w:tc>
          <w:tcPr>
            <w:tcW w:w="2013" w:type="dxa"/>
            <w:tcBorders>
              <w:top w:val="single" w:sz="4" w:space="0" w:color="auto"/>
              <w:left w:val="nil"/>
              <w:bottom w:val="single" w:sz="4" w:space="0" w:color="auto"/>
              <w:right w:val="nil"/>
            </w:tcBorders>
          </w:tcPr>
          <w:p w14:paraId="3EC405F3" w14:textId="77777777" w:rsidR="006F1DD1" w:rsidRPr="005151A6" w:rsidRDefault="006F1DD1" w:rsidP="00F8558F">
            <w:pPr>
              <w:pStyle w:val="ListParagraph"/>
              <w:spacing w:line="360" w:lineRule="auto"/>
              <w:ind w:left="0"/>
              <w:jc w:val="center"/>
              <w:rPr>
                <w:sz w:val="16"/>
                <w:szCs w:val="16"/>
              </w:rPr>
            </w:pPr>
            <w:r w:rsidRPr="005151A6">
              <w:rPr>
                <w:sz w:val="16"/>
                <w:szCs w:val="16"/>
              </w:rPr>
              <w:t>0.4203</w:t>
            </w:r>
          </w:p>
        </w:tc>
        <w:tc>
          <w:tcPr>
            <w:tcW w:w="1892" w:type="dxa"/>
            <w:tcBorders>
              <w:top w:val="single" w:sz="4" w:space="0" w:color="auto"/>
              <w:left w:val="nil"/>
              <w:bottom w:val="single" w:sz="4" w:space="0" w:color="auto"/>
              <w:right w:val="nil"/>
            </w:tcBorders>
          </w:tcPr>
          <w:p w14:paraId="01251FD6" w14:textId="77777777" w:rsidR="006F1DD1" w:rsidRPr="005151A6" w:rsidRDefault="006F1DD1" w:rsidP="00F8558F">
            <w:pPr>
              <w:pStyle w:val="ListParagraph"/>
              <w:spacing w:line="360" w:lineRule="auto"/>
              <w:ind w:left="0"/>
              <w:jc w:val="center"/>
              <w:rPr>
                <w:sz w:val="16"/>
                <w:szCs w:val="16"/>
              </w:rPr>
            </w:pPr>
            <w:r w:rsidRPr="005151A6">
              <w:rPr>
                <w:sz w:val="16"/>
                <w:szCs w:val="16"/>
              </w:rPr>
              <w:t>0.1707</w:t>
            </w:r>
          </w:p>
        </w:tc>
        <w:tc>
          <w:tcPr>
            <w:tcW w:w="1805" w:type="dxa"/>
            <w:tcBorders>
              <w:top w:val="single" w:sz="4" w:space="0" w:color="auto"/>
              <w:left w:val="nil"/>
              <w:bottom w:val="single" w:sz="4" w:space="0" w:color="auto"/>
              <w:right w:val="nil"/>
            </w:tcBorders>
          </w:tcPr>
          <w:p w14:paraId="0842FF15" w14:textId="77777777" w:rsidR="006F1DD1" w:rsidRPr="005151A6" w:rsidRDefault="006F1DD1" w:rsidP="00F8558F">
            <w:pPr>
              <w:pStyle w:val="ListParagraph"/>
              <w:spacing w:line="360" w:lineRule="auto"/>
              <w:ind w:left="0"/>
              <w:jc w:val="center"/>
              <w:rPr>
                <w:sz w:val="16"/>
                <w:szCs w:val="16"/>
              </w:rPr>
            </w:pPr>
            <w:r w:rsidRPr="005151A6">
              <w:rPr>
                <w:sz w:val="16"/>
                <w:szCs w:val="16"/>
              </w:rPr>
              <w:t>0.9096</w:t>
            </w:r>
          </w:p>
        </w:tc>
      </w:tr>
      <w:tr w:rsidR="006F1DD1" w:rsidRPr="00B55044" w14:paraId="3077FF9F" w14:textId="77777777" w:rsidTr="00F8558F">
        <w:trPr>
          <w:jc w:val="center"/>
        </w:trPr>
        <w:tc>
          <w:tcPr>
            <w:tcW w:w="2058" w:type="dxa"/>
            <w:vMerge/>
            <w:tcBorders>
              <w:left w:val="nil"/>
              <w:right w:val="nil"/>
            </w:tcBorders>
          </w:tcPr>
          <w:p w14:paraId="7BC0EDAE" w14:textId="77777777" w:rsidR="006F1DD1" w:rsidRPr="005151A6" w:rsidRDefault="006F1DD1" w:rsidP="00F8558F">
            <w:pPr>
              <w:pStyle w:val="ListParagraph"/>
              <w:spacing w:line="360" w:lineRule="auto"/>
              <w:ind w:left="0"/>
              <w:jc w:val="center"/>
              <w:rPr>
                <w:sz w:val="16"/>
                <w:szCs w:val="16"/>
              </w:rPr>
            </w:pPr>
          </w:p>
        </w:tc>
        <w:tc>
          <w:tcPr>
            <w:tcW w:w="1808" w:type="dxa"/>
            <w:tcBorders>
              <w:top w:val="single" w:sz="4" w:space="0" w:color="auto"/>
              <w:left w:val="nil"/>
              <w:bottom w:val="single" w:sz="4" w:space="0" w:color="auto"/>
              <w:right w:val="nil"/>
            </w:tcBorders>
          </w:tcPr>
          <w:p w14:paraId="336B281B" w14:textId="77777777" w:rsidR="006F1DD1" w:rsidRPr="005151A6" w:rsidRDefault="006F1DD1" w:rsidP="00F8558F">
            <w:pPr>
              <w:pStyle w:val="ListParagraph"/>
              <w:spacing w:line="360" w:lineRule="auto"/>
              <w:ind w:left="0"/>
              <w:jc w:val="center"/>
              <w:rPr>
                <w:sz w:val="16"/>
                <w:szCs w:val="16"/>
              </w:rPr>
            </w:pPr>
            <w:r w:rsidRPr="005151A6">
              <w:rPr>
                <w:i/>
                <w:iCs/>
                <w:sz w:val="16"/>
                <w:szCs w:val="16"/>
              </w:rPr>
              <w:t>J</w:t>
            </w:r>
            <w:r w:rsidRPr="005151A6">
              <w:rPr>
                <w:sz w:val="16"/>
                <w:szCs w:val="16"/>
                <w:vertAlign w:val="subscript"/>
              </w:rPr>
              <w:t>SC</w:t>
            </w:r>
          </w:p>
        </w:tc>
        <w:tc>
          <w:tcPr>
            <w:tcW w:w="2013" w:type="dxa"/>
            <w:tcBorders>
              <w:top w:val="single" w:sz="4" w:space="0" w:color="auto"/>
              <w:left w:val="nil"/>
              <w:bottom w:val="single" w:sz="4" w:space="0" w:color="auto"/>
              <w:right w:val="nil"/>
            </w:tcBorders>
          </w:tcPr>
          <w:p w14:paraId="30EE67A8" w14:textId="77777777" w:rsidR="006F1DD1" w:rsidRPr="005151A6" w:rsidRDefault="006F1DD1" w:rsidP="00F8558F">
            <w:pPr>
              <w:pStyle w:val="ListParagraph"/>
              <w:spacing w:line="360" w:lineRule="auto"/>
              <w:ind w:left="0"/>
              <w:jc w:val="center"/>
              <w:rPr>
                <w:sz w:val="16"/>
                <w:szCs w:val="16"/>
              </w:rPr>
            </w:pPr>
            <w:r w:rsidRPr="005151A6">
              <w:rPr>
                <w:sz w:val="16"/>
                <w:szCs w:val="16"/>
              </w:rPr>
              <w:t>0.3475</w:t>
            </w:r>
          </w:p>
        </w:tc>
        <w:tc>
          <w:tcPr>
            <w:tcW w:w="1892" w:type="dxa"/>
            <w:tcBorders>
              <w:top w:val="single" w:sz="4" w:space="0" w:color="auto"/>
              <w:left w:val="nil"/>
              <w:bottom w:val="single" w:sz="4" w:space="0" w:color="auto"/>
              <w:right w:val="nil"/>
            </w:tcBorders>
          </w:tcPr>
          <w:p w14:paraId="450B5553" w14:textId="77777777" w:rsidR="006F1DD1" w:rsidRPr="005151A6" w:rsidRDefault="006F1DD1" w:rsidP="00F8558F">
            <w:pPr>
              <w:pStyle w:val="ListParagraph"/>
              <w:spacing w:line="360" w:lineRule="auto"/>
              <w:ind w:left="0"/>
              <w:jc w:val="center"/>
              <w:rPr>
                <w:sz w:val="16"/>
                <w:szCs w:val="16"/>
              </w:rPr>
            </w:pPr>
            <w:r w:rsidRPr="005151A6">
              <w:rPr>
                <w:sz w:val="16"/>
                <w:szCs w:val="16"/>
              </w:rPr>
              <w:t>0.1143</w:t>
            </w:r>
          </w:p>
        </w:tc>
        <w:tc>
          <w:tcPr>
            <w:tcW w:w="1805" w:type="dxa"/>
            <w:tcBorders>
              <w:top w:val="single" w:sz="4" w:space="0" w:color="auto"/>
              <w:left w:val="nil"/>
              <w:bottom w:val="single" w:sz="4" w:space="0" w:color="auto"/>
              <w:right w:val="nil"/>
            </w:tcBorders>
          </w:tcPr>
          <w:p w14:paraId="5ED51AF5" w14:textId="77777777" w:rsidR="006F1DD1" w:rsidRPr="005151A6" w:rsidRDefault="006F1DD1" w:rsidP="00F8558F">
            <w:pPr>
              <w:pStyle w:val="ListParagraph"/>
              <w:spacing w:line="360" w:lineRule="auto"/>
              <w:ind w:left="0"/>
              <w:jc w:val="center"/>
              <w:rPr>
                <w:sz w:val="16"/>
                <w:szCs w:val="16"/>
              </w:rPr>
            </w:pPr>
            <w:r w:rsidRPr="005151A6">
              <w:rPr>
                <w:sz w:val="16"/>
                <w:szCs w:val="16"/>
              </w:rPr>
              <w:t>1.1224</w:t>
            </w:r>
          </w:p>
        </w:tc>
      </w:tr>
      <w:tr w:rsidR="006F1DD1" w:rsidRPr="00B55044" w14:paraId="579688B2" w14:textId="77777777" w:rsidTr="00F8558F">
        <w:trPr>
          <w:jc w:val="center"/>
        </w:trPr>
        <w:tc>
          <w:tcPr>
            <w:tcW w:w="2058" w:type="dxa"/>
            <w:vMerge/>
            <w:tcBorders>
              <w:left w:val="nil"/>
              <w:right w:val="nil"/>
            </w:tcBorders>
          </w:tcPr>
          <w:p w14:paraId="06964FB5" w14:textId="77777777" w:rsidR="006F1DD1" w:rsidRPr="005151A6" w:rsidRDefault="006F1DD1" w:rsidP="00F8558F">
            <w:pPr>
              <w:pStyle w:val="ListParagraph"/>
              <w:spacing w:line="360" w:lineRule="auto"/>
              <w:ind w:left="0"/>
              <w:jc w:val="center"/>
              <w:rPr>
                <w:sz w:val="16"/>
                <w:szCs w:val="16"/>
              </w:rPr>
            </w:pPr>
          </w:p>
        </w:tc>
        <w:tc>
          <w:tcPr>
            <w:tcW w:w="1808" w:type="dxa"/>
            <w:tcBorders>
              <w:top w:val="single" w:sz="4" w:space="0" w:color="auto"/>
              <w:left w:val="nil"/>
              <w:bottom w:val="single" w:sz="4" w:space="0" w:color="auto"/>
              <w:right w:val="nil"/>
            </w:tcBorders>
          </w:tcPr>
          <w:p w14:paraId="4F7C772B" w14:textId="77777777" w:rsidR="006F1DD1" w:rsidRPr="005151A6" w:rsidRDefault="006F1DD1" w:rsidP="00F8558F">
            <w:pPr>
              <w:pStyle w:val="ListParagraph"/>
              <w:spacing w:line="360" w:lineRule="auto"/>
              <w:ind w:left="0"/>
              <w:jc w:val="center"/>
              <w:rPr>
                <w:sz w:val="16"/>
                <w:szCs w:val="16"/>
              </w:rPr>
            </w:pPr>
            <w:r w:rsidRPr="005151A6">
              <w:rPr>
                <w:i/>
                <w:iCs/>
                <w:sz w:val="16"/>
                <w:szCs w:val="16"/>
              </w:rPr>
              <w:t>V</w:t>
            </w:r>
            <w:r w:rsidRPr="005151A6">
              <w:rPr>
                <w:sz w:val="16"/>
                <w:szCs w:val="16"/>
                <w:vertAlign w:val="subscript"/>
              </w:rPr>
              <w:t>OC</w:t>
            </w:r>
          </w:p>
        </w:tc>
        <w:tc>
          <w:tcPr>
            <w:tcW w:w="2013" w:type="dxa"/>
            <w:tcBorders>
              <w:top w:val="single" w:sz="4" w:space="0" w:color="auto"/>
              <w:left w:val="nil"/>
              <w:bottom w:val="single" w:sz="4" w:space="0" w:color="auto"/>
              <w:right w:val="nil"/>
            </w:tcBorders>
          </w:tcPr>
          <w:p w14:paraId="74F49119" w14:textId="77777777" w:rsidR="006F1DD1" w:rsidRPr="005151A6" w:rsidRDefault="006F1DD1" w:rsidP="00F8558F">
            <w:pPr>
              <w:pStyle w:val="ListParagraph"/>
              <w:spacing w:line="360" w:lineRule="auto"/>
              <w:ind w:left="0"/>
              <w:jc w:val="center"/>
              <w:rPr>
                <w:sz w:val="16"/>
                <w:szCs w:val="16"/>
              </w:rPr>
            </w:pPr>
            <w:r w:rsidRPr="005151A6">
              <w:rPr>
                <w:sz w:val="16"/>
                <w:szCs w:val="16"/>
              </w:rPr>
              <w:t>0.3959</w:t>
            </w:r>
          </w:p>
        </w:tc>
        <w:tc>
          <w:tcPr>
            <w:tcW w:w="1892" w:type="dxa"/>
            <w:tcBorders>
              <w:top w:val="single" w:sz="4" w:space="0" w:color="auto"/>
              <w:left w:val="nil"/>
              <w:bottom w:val="single" w:sz="4" w:space="0" w:color="auto"/>
              <w:right w:val="nil"/>
            </w:tcBorders>
          </w:tcPr>
          <w:p w14:paraId="656F5C2C" w14:textId="77777777" w:rsidR="006F1DD1" w:rsidRPr="005151A6" w:rsidRDefault="006F1DD1" w:rsidP="00F8558F">
            <w:pPr>
              <w:pStyle w:val="ListParagraph"/>
              <w:spacing w:line="360" w:lineRule="auto"/>
              <w:ind w:left="0"/>
              <w:jc w:val="center"/>
              <w:rPr>
                <w:sz w:val="16"/>
                <w:szCs w:val="16"/>
              </w:rPr>
            </w:pPr>
            <w:r w:rsidRPr="005151A6">
              <w:rPr>
                <w:sz w:val="16"/>
                <w:szCs w:val="16"/>
              </w:rPr>
              <w:t>0.1506</w:t>
            </w:r>
          </w:p>
        </w:tc>
        <w:tc>
          <w:tcPr>
            <w:tcW w:w="1805" w:type="dxa"/>
            <w:tcBorders>
              <w:top w:val="single" w:sz="4" w:space="0" w:color="auto"/>
              <w:left w:val="nil"/>
              <w:bottom w:val="single" w:sz="4" w:space="0" w:color="auto"/>
              <w:right w:val="nil"/>
            </w:tcBorders>
          </w:tcPr>
          <w:p w14:paraId="7C2FF9FE" w14:textId="77777777" w:rsidR="006F1DD1" w:rsidRPr="005151A6" w:rsidRDefault="006F1DD1" w:rsidP="00F8558F">
            <w:pPr>
              <w:pStyle w:val="ListParagraph"/>
              <w:spacing w:line="360" w:lineRule="auto"/>
              <w:ind w:left="0"/>
              <w:jc w:val="center"/>
              <w:rPr>
                <w:sz w:val="16"/>
                <w:szCs w:val="16"/>
              </w:rPr>
            </w:pPr>
            <w:r w:rsidRPr="005151A6">
              <w:rPr>
                <w:sz w:val="16"/>
                <w:szCs w:val="16"/>
              </w:rPr>
              <w:t>0.0170</w:t>
            </w:r>
          </w:p>
        </w:tc>
      </w:tr>
      <w:tr w:rsidR="006F1DD1" w:rsidRPr="00B55044" w14:paraId="53A3FD9D" w14:textId="77777777" w:rsidTr="00F8558F">
        <w:trPr>
          <w:jc w:val="center"/>
        </w:trPr>
        <w:tc>
          <w:tcPr>
            <w:tcW w:w="2058" w:type="dxa"/>
            <w:vMerge/>
            <w:tcBorders>
              <w:left w:val="nil"/>
              <w:bottom w:val="single" w:sz="4" w:space="0" w:color="auto"/>
              <w:right w:val="nil"/>
            </w:tcBorders>
          </w:tcPr>
          <w:p w14:paraId="45070595" w14:textId="77777777" w:rsidR="006F1DD1" w:rsidRPr="005151A6" w:rsidRDefault="006F1DD1" w:rsidP="00F8558F">
            <w:pPr>
              <w:pStyle w:val="ListParagraph"/>
              <w:spacing w:line="360" w:lineRule="auto"/>
              <w:ind w:left="0"/>
              <w:jc w:val="center"/>
              <w:rPr>
                <w:sz w:val="16"/>
                <w:szCs w:val="16"/>
              </w:rPr>
            </w:pPr>
          </w:p>
        </w:tc>
        <w:tc>
          <w:tcPr>
            <w:tcW w:w="1808" w:type="dxa"/>
            <w:tcBorders>
              <w:top w:val="single" w:sz="4" w:space="0" w:color="auto"/>
              <w:left w:val="nil"/>
              <w:bottom w:val="single" w:sz="4" w:space="0" w:color="auto"/>
              <w:right w:val="nil"/>
            </w:tcBorders>
          </w:tcPr>
          <w:p w14:paraId="396DF4B4" w14:textId="77777777" w:rsidR="006F1DD1" w:rsidRPr="005151A6" w:rsidRDefault="006F1DD1" w:rsidP="00F8558F">
            <w:pPr>
              <w:pStyle w:val="ListParagraph"/>
              <w:spacing w:line="360" w:lineRule="auto"/>
              <w:ind w:left="0"/>
              <w:jc w:val="center"/>
              <w:rPr>
                <w:sz w:val="16"/>
                <w:szCs w:val="16"/>
              </w:rPr>
            </w:pPr>
            <w:r w:rsidRPr="005151A6">
              <w:rPr>
                <w:sz w:val="16"/>
                <w:szCs w:val="16"/>
              </w:rPr>
              <w:t>FF</w:t>
            </w:r>
          </w:p>
        </w:tc>
        <w:tc>
          <w:tcPr>
            <w:tcW w:w="2013" w:type="dxa"/>
            <w:tcBorders>
              <w:top w:val="single" w:sz="4" w:space="0" w:color="auto"/>
              <w:left w:val="nil"/>
              <w:bottom w:val="single" w:sz="4" w:space="0" w:color="auto"/>
              <w:right w:val="nil"/>
            </w:tcBorders>
          </w:tcPr>
          <w:p w14:paraId="4A51737C" w14:textId="77777777" w:rsidR="006F1DD1" w:rsidRPr="005151A6" w:rsidRDefault="006F1DD1" w:rsidP="00F8558F">
            <w:pPr>
              <w:pStyle w:val="ListParagraph"/>
              <w:spacing w:line="360" w:lineRule="auto"/>
              <w:ind w:left="0"/>
              <w:jc w:val="center"/>
              <w:rPr>
                <w:sz w:val="16"/>
                <w:szCs w:val="16"/>
              </w:rPr>
            </w:pPr>
            <w:r w:rsidRPr="005151A6">
              <w:rPr>
                <w:sz w:val="16"/>
                <w:szCs w:val="16"/>
              </w:rPr>
              <w:t>0.3963</w:t>
            </w:r>
          </w:p>
        </w:tc>
        <w:tc>
          <w:tcPr>
            <w:tcW w:w="1892" w:type="dxa"/>
            <w:tcBorders>
              <w:top w:val="single" w:sz="4" w:space="0" w:color="auto"/>
              <w:left w:val="nil"/>
              <w:bottom w:val="single" w:sz="4" w:space="0" w:color="auto"/>
              <w:right w:val="nil"/>
            </w:tcBorders>
          </w:tcPr>
          <w:p w14:paraId="31C82A93" w14:textId="77777777" w:rsidR="006F1DD1" w:rsidRPr="005151A6" w:rsidRDefault="006F1DD1" w:rsidP="00F8558F">
            <w:pPr>
              <w:pStyle w:val="ListParagraph"/>
              <w:spacing w:line="360" w:lineRule="auto"/>
              <w:ind w:left="0"/>
              <w:jc w:val="center"/>
              <w:rPr>
                <w:sz w:val="16"/>
                <w:szCs w:val="16"/>
              </w:rPr>
            </w:pPr>
            <w:r w:rsidRPr="005151A6">
              <w:rPr>
                <w:sz w:val="16"/>
                <w:szCs w:val="16"/>
              </w:rPr>
              <w:t>0.1509</w:t>
            </w:r>
          </w:p>
        </w:tc>
        <w:tc>
          <w:tcPr>
            <w:tcW w:w="1805" w:type="dxa"/>
            <w:tcBorders>
              <w:top w:val="single" w:sz="4" w:space="0" w:color="auto"/>
              <w:left w:val="nil"/>
              <w:bottom w:val="single" w:sz="4" w:space="0" w:color="auto"/>
              <w:right w:val="nil"/>
            </w:tcBorders>
          </w:tcPr>
          <w:p w14:paraId="67160AAA" w14:textId="77777777" w:rsidR="006F1DD1" w:rsidRPr="005151A6" w:rsidRDefault="006F1DD1" w:rsidP="00F8558F">
            <w:pPr>
              <w:pStyle w:val="ListParagraph"/>
              <w:spacing w:line="360" w:lineRule="auto"/>
              <w:ind w:left="0"/>
              <w:jc w:val="center"/>
              <w:rPr>
                <w:sz w:val="16"/>
                <w:szCs w:val="16"/>
              </w:rPr>
            </w:pPr>
            <w:r w:rsidRPr="005151A6">
              <w:rPr>
                <w:sz w:val="16"/>
                <w:szCs w:val="16"/>
              </w:rPr>
              <w:t>2.1033</w:t>
            </w:r>
          </w:p>
        </w:tc>
      </w:tr>
      <w:tr w:rsidR="006F1DD1" w:rsidRPr="00B55044" w14:paraId="7C3DB099" w14:textId="77777777" w:rsidTr="00F8558F">
        <w:trPr>
          <w:jc w:val="center"/>
        </w:trPr>
        <w:tc>
          <w:tcPr>
            <w:tcW w:w="2058" w:type="dxa"/>
            <w:vMerge w:val="restart"/>
            <w:tcBorders>
              <w:top w:val="single" w:sz="4" w:space="0" w:color="auto"/>
              <w:left w:val="nil"/>
              <w:right w:val="nil"/>
            </w:tcBorders>
          </w:tcPr>
          <w:p w14:paraId="5545526A" w14:textId="77777777" w:rsidR="006F1DD1" w:rsidRPr="005151A6" w:rsidRDefault="006F1DD1" w:rsidP="00F8558F">
            <w:pPr>
              <w:pStyle w:val="ListParagraph"/>
              <w:spacing w:line="360" w:lineRule="auto"/>
              <w:ind w:left="0"/>
              <w:jc w:val="center"/>
              <w:rPr>
                <w:sz w:val="16"/>
                <w:szCs w:val="16"/>
              </w:rPr>
            </w:pPr>
          </w:p>
          <w:p w14:paraId="5F77994D" w14:textId="77777777" w:rsidR="006F1DD1" w:rsidRPr="005151A6" w:rsidRDefault="006F1DD1" w:rsidP="00F8558F">
            <w:pPr>
              <w:pStyle w:val="ListParagraph"/>
              <w:spacing w:line="360" w:lineRule="auto"/>
              <w:ind w:left="0"/>
              <w:jc w:val="center"/>
              <w:rPr>
                <w:sz w:val="16"/>
                <w:szCs w:val="16"/>
              </w:rPr>
            </w:pPr>
            <w:r w:rsidRPr="005151A6">
              <w:rPr>
                <w:sz w:val="16"/>
                <w:szCs w:val="16"/>
              </w:rPr>
              <w:t>Gradient Boosting</w:t>
            </w:r>
          </w:p>
        </w:tc>
        <w:tc>
          <w:tcPr>
            <w:tcW w:w="1808" w:type="dxa"/>
            <w:tcBorders>
              <w:top w:val="single" w:sz="4" w:space="0" w:color="auto"/>
              <w:left w:val="nil"/>
              <w:bottom w:val="single" w:sz="4" w:space="0" w:color="auto"/>
              <w:right w:val="nil"/>
            </w:tcBorders>
          </w:tcPr>
          <w:p w14:paraId="0A41154A" w14:textId="77777777" w:rsidR="006F1DD1" w:rsidRPr="005151A6" w:rsidRDefault="006F1DD1" w:rsidP="00F8558F">
            <w:pPr>
              <w:pStyle w:val="ListParagraph"/>
              <w:spacing w:line="360" w:lineRule="auto"/>
              <w:ind w:left="0"/>
              <w:jc w:val="center"/>
              <w:rPr>
                <w:sz w:val="16"/>
                <w:szCs w:val="16"/>
              </w:rPr>
            </w:pPr>
            <w:r w:rsidRPr="005151A6">
              <w:rPr>
                <w:sz w:val="16"/>
                <w:szCs w:val="16"/>
              </w:rPr>
              <w:t>PCE</w:t>
            </w:r>
          </w:p>
        </w:tc>
        <w:tc>
          <w:tcPr>
            <w:tcW w:w="2013" w:type="dxa"/>
            <w:tcBorders>
              <w:top w:val="single" w:sz="4" w:space="0" w:color="auto"/>
              <w:left w:val="nil"/>
              <w:bottom w:val="single" w:sz="4" w:space="0" w:color="auto"/>
              <w:right w:val="nil"/>
            </w:tcBorders>
          </w:tcPr>
          <w:p w14:paraId="7DDA6416" w14:textId="77777777" w:rsidR="006F1DD1" w:rsidRPr="005151A6" w:rsidRDefault="006F1DD1" w:rsidP="00F8558F">
            <w:pPr>
              <w:pStyle w:val="ListParagraph"/>
              <w:spacing w:line="360" w:lineRule="auto"/>
              <w:ind w:left="0"/>
              <w:jc w:val="center"/>
              <w:rPr>
                <w:sz w:val="16"/>
                <w:szCs w:val="16"/>
              </w:rPr>
            </w:pPr>
            <w:r w:rsidRPr="005151A6">
              <w:rPr>
                <w:sz w:val="16"/>
                <w:szCs w:val="16"/>
              </w:rPr>
              <w:t>0.3954</w:t>
            </w:r>
          </w:p>
        </w:tc>
        <w:tc>
          <w:tcPr>
            <w:tcW w:w="1892" w:type="dxa"/>
            <w:tcBorders>
              <w:top w:val="single" w:sz="4" w:space="0" w:color="auto"/>
              <w:left w:val="nil"/>
              <w:bottom w:val="single" w:sz="4" w:space="0" w:color="auto"/>
              <w:right w:val="nil"/>
            </w:tcBorders>
          </w:tcPr>
          <w:p w14:paraId="3E3EA6A4" w14:textId="77777777" w:rsidR="006F1DD1" w:rsidRPr="005151A6" w:rsidRDefault="006F1DD1" w:rsidP="00F8558F">
            <w:pPr>
              <w:pStyle w:val="ListParagraph"/>
              <w:spacing w:line="360" w:lineRule="auto"/>
              <w:ind w:left="0"/>
              <w:jc w:val="center"/>
              <w:rPr>
                <w:sz w:val="16"/>
                <w:szCs w:val="16"/>
              </w:rPr>
            </w:pPr>
            <w:r w:rsidRPr="005151A6">
              <w:rPr>
                <w:sz w:val="16"/>
                <w:szCs w:val="16"/>
              </w:rPr>
              <w:t>0.1502</w:t>
            </w:r>
          </w:p>
        </w:tc>
        <w:tc>
          <w:tcPr>
            <w:tcW w:w="1805" w:type="dxa"/>
            <w:tcBorders>
              <w:top w:val="single" w:sz="4" w:space="0" w:color="auto"/>
              <w:left w:val="nil"/>
              <w:bottom w:val="single" w:sz="4" w:space="0" w:color="auto"/>
              <w:right w:val="nil"/>
            </w:tcBorders>
          </w:tcPr>
          <w:p w14:paraId="048BA4CB" w14:textId="77777777" w:rsidR="006F1DD1" w:rsidRPr="005151A6" w:rsidRDefault="006F1DD1" w:rsidP="00F8558F">
            <w:pPr>
              <w:pStyle w:val="ListParagraph"/>
              <w:spacing w:line="360" w:lineRule="auto"/>
              <w:ind w:left="0"/>
              <w:jc w:val="center"/>
              <w:rPr>
                <w:sz w:val="16"/>
                <w:szCs w:val="16"/>
              </w:rPr>
            </w:pPr>
            <w:r w:rsidRPr="005151A6">
              <w:rPr>
                <w:sz w:val="16"/>
                <w:szCs w:val="16"/>
              </w:rPr>
              <w:t>0.7002</w:t>
            </w:r>
          </w:p>
        </w:tc>
      </w:tr>
      <w:tr w:rsidR="006F1DD1" w:rsidRPr="00B55044" w14:paraId="2ADF6AC7" w14:textId="77777777" w:rsidTr="00F8558F">
        <w:trPr>
          <w:jc w:val="center"/>
        </w:trPr>
        <w:tc>
          <w:tcPr>
            <w:tcW w:w="2058" w:type="dxa"/>
            <w:vMerge/>
            <w:tcBorders>
              <w:left w:val="nil"/>
              <w:right w:val="nil"/>
            </w:tcBorders>
          </w:tcPr>
          <w:p w14:paraId="65ACC7E7" w14:textId="77777777" w:rsidR="006F1DD1" w:rsidRPr="005151A6" w:rsidRDefault="006F1DD1" w:rsidP="00F8558F">
            <w:pPr>
              <w:pStyle w:val="ListParagraph"/>
              <w:spacing w:line="360" w:lineRule="auto"/>
              <w:ind w:left="0"/>
              <w:jc w:val="center"/>
              <w:rPr>
                <w:sz w:val="16"/>
                <w:szCs w:val="16"/>
              </w:rPr>
            </w:pPr>
          </w:p>
        </w:tc>
        <w:tc>
          <w:tcPr>
            <w:tcW w:w="1808" w:type="dxa"/>
            <w:tcBorders>
              <w:top w:val="single" w:sz="4" w:space="0" w:color="auto"/>
              <w:left w:val="nil"/>
              <w:bottom w:val="single" w:sz="4" w:space="0" w:color="auto"/>
              <w:right w:val="nil"/>
            </w:tcBorders>
          </w:tcPr>
          <w:p w14:paraId="307DDF88" w14:textId="77777777" w:rsidR="006F1DD1" w:rsidRPr="005151A6" w:rsidRDefault="006F1DD1" w:rsidP="00F8558F">
            <w:pPr>
              <w:pStyle w:val="ListParagraph"/>
              <w:spacing w:line="360" w:lineRule="auto"/>
              <w:ind w:left="0"/>
              <w:jc w:val="center"/>
              <w:rPr>
                <w:sz w:val="16"/>
                <w:szCs w:val="16"/>
              </w:rPr>
            </w:pPr>
            <w:r w:rsidRPr="005151A6">
              <w:rPr>
                <w:i/>
                <w:iCs/>
                <w:sz w:val="16"/>
                <w:szCs w:val="16"/>
              </w:rPr>
              <w:t>J</w:t>
            </w:r>
            <w:r w:rsidRPr="005151A6">
              <w:rPr>
                <w:sz w:val="16"/>
                <w:szCs w:val="16"/>
                <w:vertAlign w:val="subscript"/>
              </w:rPr>
              <w:t>SC</w:t>
            </w:r>
          </w:p>
        </w:tc>
        <w:tc>
          <w:tcPr>
            <w:tcW w:w="2013" w:type="dxa"/>
            <w:tcBorders>
              <w:top w:val="single" w:sz="4" w:space="0" w:color="auto"/>
              <w:left w:val="nil"/>
              <w:bottom w:val="single" w:sz="4" w:space="0" w:color="auto"/>
              <w:right w:val="nil"/>
            </w:tcBorders>
          </w:tcPr>
          <w:p w14:paraId="67F52C7C" w14:textId="77777777" w:rsidR="006F1DD1" w:rsidRPr="005151A6" w:rsidRDefault="006F1DD1" w:rsidP="00F8558F">
            <w:pPr>
              <w:pStyle w:val="ListParagraph"/>
              <w:spacing w:line="360" w:lineRule="auto"/>
              <w:ind w:left="0"/>
              <w:jc w:val="center"/>
              <w:rPr>
                <w:sz w:val="16"/>
                <w:szCs w:val="16"/>
              </w:rPr>
            </w:pPr>
            <w:r w:rsidRPr="005151A6">
              <w:rPr>
                <w:sz w:val="16"/>
                <w:szCs w:val="16"/>
              </w:rPr>
              <w:t>0.4052</w:t>
            </w:r>
          </w:p>
        </w:tc>
        <w:tc>
          <w:tcPr>
            <w:tcW w:w="1892" w:type="dxa"/>
            <w:tcBorders>
              <w:top w:val="single" w:sz="4" w:space="0" w:color="auto"/>
              <w:left w:val="nil"/>
              <w:bottom w:val="single" w:sz="4" w:space="0" w:color="auto"/>
              <w:right w:val="nil"/>
            </w:tcBorders>
          </w:tcPr>
          <w:p w14:paraId="43B88735" w14:textId="77777777" w:rsidR="006F1DD1" w:rsidRPr="005151A6" w:rsidRDefault="006F1DD1" w:rsidP="00F8558F">
            <w:pPr>
              <w:pStyle w:val="ListParagraph"/>
              <w:spacing w:line="360" w:lineRule="auto"/>
              <w:ind w:left="0"/>
              <w:jc w:val="center"/>
              <w:rPr>
                <w:sz w:val="16"/>
                <w:szCs w:val="16"/>
              </w:rPr>
            </w:pPr>
            <w:r w:rsidRPr="005151A6">
              <w:rPr>
                <w:sz w:val="16"/>
                <w:szCs w:val="16"/>
              </w:rPr>
              <w:t>0.1581</w:t>
            </w:r>
          </w:p>
        </w:tc>
        <w:tc>
          <w:tcPr>
            <w:tcW w:w="1805" w:type="dxa"/>
            <w:tcBorders>
              <w:top w:val="single" w:sz="4" w:space="0" w:color="auto"/>
              <w:left w:val="nil"/>
              <w:bottom w:val="single" w:sz="4" w:space="0" w:color="auto"/>
              <w:right w:val="nil"/>
            </w:tcBorders>
          </w:tcPr>
          <w:p w14:paraId="1927E741" w14:textId="77777777" w:rsidR="006F1DD1" w:rsidRPr="005151A6" w:rsidRDefault="006F1DD1" w:rsidP="00F8558F">
            <w:pPr>
              <w:pStyle w:val="ListParagraph"/>
              <w:spacing w:line="360" w:lineRule="auto"/>
              <w:ind w:left="0"/>
              <w:jc w:val="center"/>
              <w:rPr>
                <w:sz w:val="16"/>
                <w:szCs w:val="16"/>
              </w:rPr>
            </w:pPr>
            <w:r w:rsidRPr="005151A6">
              <w:rPr>
                <w:sz w:val="16"/>
                <w:szCs w:val="16"/>
              </w:rPr>
              <w:t>0.9716</w:t>
            </w:r>
          </w:p>
        </w:tc>
      </w:tr>
      <w:tr w:rsidR="006F1DD1" w:rsidRPr="00B55044" w14:paraId="3E4BD4C4" w14:textId="77777777" w:rsidTr="00F8558F">
        <w:trPr>
          <w:jc w:val="center"/>
        </w:trPr>
        <w:tc>
          <w:tcPr>
            <w:tcW w:w="2058" w:type="dxa"/>
            <w:vMerge/>
            <w:tcBorders>
              <w:left w:val="nil"/>
              <w:right w:val="nil"/>
            </w:tcBorders>
          </w:tcPr>
          <w:p w14:paraId="581016AE" w14:textId="77777777" w:rsidR="006F1DD1" w:rsidRPr="005151A6" w:rsidRDefault="006F1DD1" w:rsidP="00F8558F">
            <w:pPr>
              <w:pStyle w:val="ListParagraph"/>
              <w:spacing w:line="360" w:lineRule="auto"/>
              <w:ind w:left="0"/>
              <w:jc w:val="center"/>
              <w:rPr>
                <w:sz w:val="16"/>
                <w:szCs w:val="16"/>
              </w:rPr>
            </w:pPr>
          </w:p>
        </w:tc>
        <w:tc>
          <w:tcPr>
            <w:tcW w:w="1808" w:type="dxa"/>
            <w:tcBorders>
              <w:top w:val="single" w:sz="4" w:space="0" w:color="auto"/>
              <w:left w:val="nil"/>
              <w:bottom w:val="single" w:sz="4" w:space="0" w:color="auto"/>
              <w:right w:val="nil"/>
            </w:tcBorders>
          </w:tcPr>
          <w:p w14:paraId="7C42E880" w14:textId="77777777" w:rsidR="006F1DD1" w:rsidRPr="005151A6" w:rsidRDefault="006F1DD1" w:rsidP="00F8558F">
            <w:pPr>
              <w:pStyle w:val="ListParagraph"/>
              <w:spacing w:line="360" w:lineRule="auto"/>
              <w:ind w:left="0"/>
              <w:jc w:val="center"/>
              <w:rPr>
                <w:sz w:val="16"/>
                <w:szCs w:val="16"/>
              </w:rPr>
            </w:pPr>
            <w:r w:rsidRPr="005151A6">
              <w:rPr>
                <w:i/>
                <w:iCs/>
                <w:sz w:val="16"/>
                <w:szCs w:val="16"/>
              </w:rPr>
              <w:t>V</w:t>
            </w:r>
            <w:r w:rsidRPr="005151A6">
              <w:rPr>
                <w:sz w:val="16"/>
                <w:szCs w:val="16"/>
                <w:vertAlign w:val="subscript"/>
              </w:rPr>
              <w:t>OC</w:t>
            </w:r>
          </w:p>
        </w:tc>
        <w:tc>
          <w:tcPr>
            <w:tcW w:w="2013" w:type="dxa"/>
            <w:tcBorders>
              <w:top w:val="single" w:sz="4" w:space="0" w:color="auto"/>
              <w:left w:val="nil"/>
              <w:bottom w:val="single" w:sz="4" w:space="0" w:color="auto"/>
              <w:right w:val="nil"/>
            </w:tcBorders>
          </w:tcPr>
          <w:p w14:paraId="2DDE67CB" w14:textId="77777777" w:rsidR="006F1DD1" w:rsidRPr="005151A6" w:rsidRDefault="006F1DD1" w:rsidP="00F8558F">
            <w:pPr>
              <w:pStyle w:val="ListParagraph"/>
              <w:spacing w:line="360" w:lineRule="auto"/>
              <w:ind w:left="0"/>
              <w:jc w:val="center"/>
              <w:rPr>
                <w:sz w:val="16"/>
                <w:szCs w:val="16"/>
              </w:rPr>
            </w:pPr>
            <w:r w:rsidRPr="005151A6">
              <w:rPr>
                <w:sz w:val="16"/>
                <w:szCs w:val="16"/>
              </w:rPr>
              <w:t>0.4593</w:t>
            </w:r>
          </w:p>
        </w:tc>
        <w:tc>
          <w:tcPr>
            <w:tcW w:w="1892" w:type="dxa"/>
            <w:tcBorders>
              <w:top w:val="single" w:sz="4" w:space="0" w:color="auto"/>
              <w:left w:val="nil"/>
              <w:bottom w:val="single" w:sz="4" w:space="0" w:color="auto"/>
              <w:right w:val="nil"/>
            </w:tcBorders>
          </w:tcPr>
          <w:p w14:paraId="4840A2CC" w14:textId="77777777" w:rsidR="006F1DD1" w:rsidRPr="005151A6" w:rsidRDefault="006F1DD1" w:rsidP="00F8558F">
            <w:pPr>
              <w:pStyle w:val="ListParagraph"/>
              <w:spacing w:line="360" w:lineRule="auto"/>
              <w:ind w:left="0"/>
              <w:jc w:val="center"/>
              <w:rPr>
                <w:sz w:val="16"/>
                <w:szCs w:val="16"/>
              </w:rPr>
            </w:pPr>
            <w:r w:rsidRPr="005151A6">
              <w:rPr>
                <w:sz w:val="16"/>
                <w:szCs w:val="16"/>
              </w:rPr>
              <w:t>0.2047</w:t>
            </w:r>
          </w:p>
        </w:tc>
        <w:tc>
          <w:tcPr>
            <w:tcW w:w="1805" w:type="dxa"/>
            <w:tcBorders>
              <w:top w:val="single" w:sz="4" w:space="0" w:color="auto"/>
              <w:left w:val="nil"/>
              <w:bottom w:val="single" w:sz="4" w:space="0" w:color="auto"/>
              <w:right w:val="nil"/>
            </w:tcBorders>
          </w:tcPr>
          <w:p w14:paraId="72B253F5" w14:textId="77777777" w:rsidR="006F1DD1" w:rsidRPr="005151A6" w:rsidRDefault="006F1DD1" w:rsidP="00F8558F">
            <w:pPr>
              <w:pStyle w:val="ListParagraph"/>
              <w:spacing w:line="360" w:lineRule="auto"/>
              <w:ind w:left="0"/>
              <w:jc w:val="center"/>
              <w:rPr>
                <w:sz w:val="16"/>
                <w:szCs w:val="16"/>
              </w:rPr>
            </w:pPr>
            <w:r w:rsidRPr="005151A6">
              <w:rPr>
                <w:sz w:val="16"/>
                <w:szCs w:val="16"/>
              </w:rPr>
              <w:t>0.0125</w:t>
            </w:r>
          </w:p>
        </w:tc>
      </w:tr>
      <w:tr w:rsidR="006F1DD1" w:rsidRPr="00B55044" w14:paraId="477F7ADE" w14:textId="77777777" w:rsidTr="00F8558F">
        <w:trPr>
          <w:jc w:val="center"/>
        </w:trPr>
        <w:tc>
          <w:tcPr>
            <w:tcW w:w="2058" w:type="dxa"/>
            <w:vMerge/>
            <w:tcBorders>
              <w:left w:val="nil"/>
              <w:right w:val="nil"/>
            </w:tcBorders>
          </w:tcPr>
          <w:p w14:paraId="7E2E394B" w14:textId="77777777" w:rsidR="006F1DD1" w:rsidRPr="005151A6" w:rsidRDefault="006F1DD1" w:rsidP="00F8558F">
            <w:pPr>
              <w:pStyle w:val="ListParagraph"/>
              <w:spacing w:line="360" w:lineRule="auto"/>
              <w:ind w:left="0"/>
              <w:jc w:val="center"/>
              <w:rPr>
                <w:sz w:val="16"/>
                <w:szCs w:val="16"/>
              </w:rPr>
            </w:pPr>
          </w:p>
        </w:tc>
        <w:tc>
          <w:tcPr>
            <w:tcW w:w="1808" w:type="dxa"/>
            <w:tcBorders>
              <w:top w:val="single" w:sz="4" w:space="0" w:color="auto"/>
              <w:left w:val="nil"/>
              <w:right w:val="nil"/>
            </w:tcBorders>
          </w:tcPr>
          <w:p w14:paraId="4E58E722" w14:textId="77777777" w:rsidR="006F1DD1" w:rsidRPr="005151A6" w:rsidRDefault="006F1DD1" w:rsidP="00F8558F">
            <w:pPr>
              <w:pStyle w:val="ListParagraph"/>
              <w:spacing w:line="360" w:lineRule="auto"/>
              <w:ind w:left="0"/>
              <w:jc w:val="center"/>
              <w:rPr>
                <w:sz w:val="16"/>
                <w:szCs w:val="16"/>
              </w:rPr>
            </w:pPr>
            <w:r w:rsidRPr="005151A6">
              <w:rPr>
                <w:sz w:val="16"/>
                <w:szCs w:val="16"/>
              </w:rPr>
              <w:t>FF</w:t>
            </w:r>
          </w:p>
        </w:tc>
        <w:tc>
          <w:tcPr>
            <w:tcW w:w="2013" w:type="dxa"/>
            <w:tcBorders>
              <w:top w:val="single" w:sz="4" w:space="0" w:color="auto"/>
              <w:left w:val="nil"/>
              <w:right w:val="nil"/>
            </w:tcBorders>
          </w:tcPr>
          <w:p w14:paraId="43A7EAFA" w14:textId="77777777" w:rsidR="006F1DD1" w:rsidRPr="005151A6" w:rsidRDefault="006F1DD1" w:rsidP="00F8558F">
            <w:pPr>
              <w:pStyle w:val="ListParagraph"/>
              <w:spacing w:line="360" w:lineRule="auto"/>
              <w:ind w:left="0"/>
              <w:jc w:val="center"/>
              <w:rPr>
                <w:sz w:val="16"/>
                <w:szCs w:val="16"/>
              </w:rPr>
            </w:pPr>
            <w:r w:rsidRPr="005151A6">
              <w:rPr>
                <w:sz w:val="16"/>
                <w:szCs w:val="16"/>
              </w:rPr>
              <w:t>0.3683</w:t>
            </w:r>
          </w:p>
        </w:tc>
        <w:tc>
          <w:tcPr>
            <w:tcW w:w="1892" w:type="dxa"/>
            <w:tcBorders>
              <w:top w:val="single" w:sz="4" w:space="0" w:color="auto"/>
              <w:left w:val="nil"/>
              <w:right w:val="nil"/>
            </w:tcBorders>
          </w:tcPr>
          <w:p w14:paraId="1BEE5AAE" w14:textId="77777777" w:rsidR="006F1DD1" w:rsidRPr="005151A6" w:rsidRDefault="006F1DD1" w:rsidP="00F8558F">
            <w:pPr>
              <w:pStyle w:val="ListParagraph"/>
              <w:spacing w:line="360" w:lineRule="auto"/>
              <w:ind w:left="0"/>
              <w:jc w:val="center"/>
              <w:rPr>
                <w:sz w:val="16"/>
                <w:szCs w:val="16"/>
              </w:rPr>
            </w:pPr>
            <w:r w:rsidRPr="005151A6">
              <w:rPr>
                <w:sz w:val="16"/>
                <w:szCs w:val="16"/>
              </w:rPr>
              <w:t>0.1293</w:t>
            </w:r>
          </w:p>
        </w:tc>
        <w:tc>
          <w:tcPr>
            <w:tcW w:w="1805" w:type="dxa"/>
            <w:tcBorders>
              <w:top w:val="single" w:sz="4" w:space="0" w:color="auto"/>
              <w:left w:val="nil"/>
              <w:right w:val="nil"/>
            </w:tcBorders>
          </w:tcPr>
          <w:p w14:paraId="2219813B" w14:textId="77777777" w:rsidR="006F1DD1" w:rsidRPr="005151A6" w:rsidRDefault="006F1DD1" w:rsidP="00F8558F">
            <w:pPr>
              <w:pStyle w:val="ListParagraph"/>
              <w:spacing w:line="360" w:lineRule="auto"/>
              <w:ind w:left="0"/>
              <w:jc w:val="center"/>
              <w:rPr>
                <w:sz w:val="16"/>
                <w:szCs w:val="16"/>
              </w:rPr>
            </w:pPr>
            <w:r w:rsidRPr="005151A6">
              <w:rPr>
                <w:sz w:val="16"/>
                <w:szCs w:val="16"/>
              </w:rPr>
              <w:t>1.1246</w:t>
            </w:r>
          </w:p>
        </w:tc>
      </w:tr>
    </w:tbl>
    <w:p w14:paraId="46E2028F" w14:textId="77777777" w:rsidR="003D460F" w:rsidRPr="00791B40" w:rsidRDefault="003D460F" w:rsidP="00094610">
      <w:pPr>
        <w:spacing w:line="360" w:lineRule="auto"/>
        <w:jc w:val="both"/>
      </w:pPr>
    </w:p>
    <w:p w14:paraId="6788F725" w14:textId="77777777" w:rsidR="00311B2C" w:rsidRPr="00791B40" w:rsidRDefault="00311B2C" w:rsidP="00ED395C">
      <w:pPr>
        <w:spacing w:line="360" w:lineRule="auto"/>
      </w:pPr>
    </w:p>
    <w:p w14:paraId="0C7E466C" w14:textId="77777777" w:rsidR="00B452EB" w:rsidRPr="00791B40" w:rsidRDefault="00B452EB" w:rsidP="00094610">
      <w:pPr>
        <w:spacing w:line="360" w:lineRule="auto"/>
        <w:jc w:val="both"/>
        <w:rPr>
          <w:b/>
          <w:bCs/>
        </w:rPr>
      </w:pPr>
    </w:p>
    <w:p w14:paraId="63605A00" w14:textId="77777777" w:rsidR="00B452EB" w:rsidRPr="00791B40" w:rsidRDefault="00B452EB" w:rsidP="00094610">
      <w:pPr>
        <w:spacing w:line="360" w:lineRule="auto"/>
        <w:jc w:val="both"/>
        <w:rPr>
          <w:b/>
          <w:bCs/>
        </w:rPr>
      </w:pPr>
    </w:p>
    <w:p w14:paraId="026997C2" w14:textId="77777777" w:rsidR="00B452EB" w:rsidRPr="00791B40" w:rsidRDefault="00B452EB" w:rsidP="00094610">
      <w:pPr>
        <w:spacing w:line="360" w:lineRule="auto"/>
        <w:jc w:val="both"/>
        <w:rPr>
          <w:b/>
          <w:bCs/>
        </w:rPr>
      </w:pPr>
    </w:p>
    <w:p w14:paraId="27EF9437" w14:textId="77777777" w:rsidR="00B452EB" w:rsidRPr="00791B40" w:rsidRDefault="00B452EB" w:rsidP="00094610">
      <w:pPr>
        <w:spacing w:line="360" w:lineRule="auto"/>
        <w:jc w:val="both"/>
        <w:rPr>
          <w:b/>
          <w:bCs/>
        </w:rPr>
      </w:pPr>
    </w:p>
    <w:p w14:paraId="2D15D84D" w14:textId="77777777" w:rsidR="00B452EB" w:rsidRPr="00791B40" w:rsidRDefault="00B452EB" w:rsidP="00094610">
      <w:pPr>
        <w:spacing w:line="360" w:lineRule="auto"/>
        <w:jc w:val="both"/>
        <w:rPr>
          <w:b/>
          <w:bCs/>
        </w:rPr>
      </w:pPr>
    </w:p>
    <w:p w14:paraId="3A17D60B" w14:textId="77777777" w:rsidR="00B452EB" w:rsidRPr="00791B40" w:rsidRDefault="00B452EB" w:rsidP="00094610">
      <w:pPr>
        <w:spacing w:line="360" w:lineRule="auto"/>
        <w:jc w:val="both"/>
        <w:rPr>
          <w:b/>
          <w:bCs/>
        </w:rPr>
      </w:pPr>
    </w:p>
    <w:p w14:paraId="3F7B3631" w14:textId="77777777" w:rsidR="00B452EB" w:rsidRPr="00791B40" w:rsidRDefault="00B452EB" w:rsidP="00094610">
      <w:pPr>
        <w:spacing w:line="360" w:lineRule="auto"/>
        <w:jc w:val="both"/>
        <w:rPr>
          <w:b/>
          <w:bCs/>
        </w:rPr>
      </w:pPr>
    </w:p>
    <w:p w14:paraId="74DAD99A" w14:textId="77777777" w:rsidR="00B452EB" w:rsidRDefault="00B452EB" w:rsidP="00094610">
      <w:pPr>
        <w:spacing w:line="360" w:lineRule="auto"/>
        <w:jc w:val="both"/>
        <w:rPr>
          <w:b/>
          <w:bCs/>
        </w:rPr>
      </w:pPr>
    </w:p>
    <w:p w14:paraId="5B940781" w14:textId="77777777" w:rsidR="00D8127A" w:rsidRDefault="00D8127A" w:rsidP="00094610">
      <w:pPr>
        <w:spacing w:line="360" w:lineRule="auto"/>
        <w:jc w:val="both"/>
        <w:rPr>
          <w:b/>
          <w:bCs/>
        </w:rPr>
      </w:pPr>
    </w:p>
    <w:p w14:paraId="540180DC" w14:textId="77777777" w:rsidR="00D8127A" w:rsidRDefault="00D8127A" w:rsidP="00094610">
      <w:pPr>
        <w:spacing w:line="360" w:lineRule="auto"/>
        <w:jc w:val="both"/>
        <w:rPr>
          <w:b/>
          <w:bCs/>
        </w:rPr>
      </w:pPr>
    </w:p>
    <w:p w14:paraId="4B4C2E9D" w14:textId="77777777" w:rsidR="00D8127A" w:rsidRDefault="00D8127A" w:rsidP="00094610">
      <w:pPr>
        <w:spacing w:line="360" w:lineRule="auto"/>
        <w:jc w:val="both"/>
        <w:rPr>
          <w:b/>
          <w:bCs/>
        </w:rPr>
      </w:pPr>
    </w:p>
    <w:p w14:paraId="2E276DBA" w14:textId="77777777" w:rsidR="00D8127A" w:rsidRDefault="00D8127A" w:rsidP="00094610">
      <w:pPr>
        <w:spacing w:line="360" w:lineRule="auto"/>
        <w:jc w:val="both"/>
        <w:rPr>
          <w:b/>
          <w:bCs/>
        </w:rPr>
      </w:pPr>
    </w:p>
    <w:p w14:paraId="27661DB5" w14:textId="77777777" w:rsidR="006F1DD1" w:rsidRDefault="006F1DD1" w:rsidP="00094610">
      <w:pPr>
        <w:spacing w:line="360" w:lineRule="auto"/>
        <w:jc w:val="both"/>
        <w:rPr>
          <w:b/>
          <w:bCs/>
        </w:rPr>
      </w:pPr>
    </w:p>
    <w:p w14:paraId="2967C19D" w14:textId="77777777" w:rsidR="006F1DD1" w:rsidRDefault="006F1DD1" w:rsidP="00094610">
      <w:pPr>
        <w:spacing w:line="360" w:lineRule="auto"/>
        <w:jc w:val="both"/>
        <w:rPr>
          <w:b/>
          <w:bCs/>
        </w:rPr>
      </w:pPr>
    </w:p>
    <w:p w14:paraId="75B60D48" w14:textId="77777777" w:rsidR="006F1DD1" w:rsidRDefault="006F1DD1" w:rsidP="00094610">
      <w:pPr>
        <w:spacing w:line="360" w:lineRule="auto"/>
        <w:jc w:val="both"/>
        <w:rPr>
          <w:b/>
          <w:bCs/>
        </w:rPr>
      </w:pPr>
    </w:p>
    <w:p w14:paraId="1B7FF4A5" w14:textId="0C7B6A9F" w:rsidR="00C84A57" w:rsidRPr="00791B40" w:rsidRDefault="00C84A57" w:rsidP="00094610">
      <w:pPr>
        <w:spacing w:line="360" w:lineRule="auto"/>
        <w:jc w:val="both"/>
      </w:pPr>
      <w:r w:rsidRPr="00791B40">
        <w:rPr>
          <w:b/>
          <w:bCs/>
        </w:rPr>
        <w:lastRenderedPageBreak/>
        <w:t>Table S</w:t>
      </w:r>
      <w:r w:rsidR="008D39C8" w:rsidRPr="00791B40">
        <w:rPr>
          <w:b/>
          <w:bCs/>
        </w:rPr>
        <w:t>3</w:t>
      </w:r>
      <w:r w:rsidRPr="00791B40">
        <w:t xml:space="preserve">. Prediction results </w:t>
      </w:r>
      <w:r w:rsidR="00DB2EBF" w:rsidRPr="00791B40">
        <w:t xml:space="preserve">of PCE </w:t>
      </w:r>
      <w:r w:rsidRPr="00791B40">
        <w:t>from CART and experiment observations</w:t>
      </w:r>
      <w:r w:rsidR="008D39C8" w:rsidRPr="00791B40">
        <w:t>.</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729"/>
        <w:gridCol w:w="2885"/>
        <w:gridCol w:w="2428"/>
      </w:tblGrid>
      <w:tr w:rsidR="00217F0F" w:rsidRPr="00B55044" w14:paraId="5EA28835" w14:textId="77777777" w:rsidTr="00EC1854">
        <w:trPr>
          <w:trHeight w:val="468"/>
          <w:jc w:val="center"/>
        </w:trPr>
        <w:tc>
          <w:tcPr>
            <w:tcW w:w="3729" w:type="dxa"/>
            <w:tcBorders>
              <w:bottom w:val="single" w:sz="4" w:space="0" w:color="auto"/>
            </w:tcBorders>
          </w:tcPr>
          <w:p w14:paraId="629B80FA" w14:textId="77777777" w:rsidR="00217F0F" w:rsidRPr="005151A6" w:rsidRDefault="00217F0F" w:rsidP="00EC1854">
            <w:pPr>
              <w:spacing w:line="360" w:lineRule="auto"/>
              <w:jc w:val="center"/>
              <w:rPr>
                <w:sz w:val="16"/>
                <w:szCs w:val="16"/>
              </w:rPr>
            </w:pPr>
            <w:r w:rsidRPr="005151A6">
              <w:rPr>
                <w:sz w:val="16"/>
                <w:szCs w:val="16"/>
              </w:rPr>
              <w:t>Decision Rule</w:t>
            </w:r>
          </w:p>
        </w:tc>
        <w:tc>
          <w:tcPr>
            <w:tcW w:w="2885" w:type="dxa"/>
            <w:tcBorders>
              <w:bottom w:val="single" w:sz="4" w:space="0" w:color="auto"/>
            </w:tcBorders>
          </w:tcPr>
          <w:p w14:paraId="02AFF06F" w14:textId="77777777" w:rsidR="00217F0F" w:rsidRPr="005151A6" w:rsidRDefault="00217F0F" w:rsidP="00EC1854">
            <w:pPr>
              <w:spacing w:line="360" w:lineRule="auto"/>
              <w:jc w:val="center"/>
              <w:rPr>
                <w:sz w:val="16"/>
                <w:szCs w:val="16"/>
              </w:rPr>
            </w:pPr>
            <w:r w:rsidRPr="005151A6">
              <w:rPr>
                <w:sz w:val="16"/>
                <w:szCs w:val="16"/>
              </w:rPr>
              <w:t>Predicted PCE (%)</w:t>
            </w:r>
          </w:p>
        </w:tc>
        <w:tc>
          <w:tcPr>
            <w:tcW w:w="2428" w:type="dxa"/>
            <w:tcBorders>
              <w:bottom w:val="single" w:sz="4" w:space="0" w:color="auto"/>
            </w:tcBorders>
          </w:tcPr>
          <w:p w14:paraId="32A77E3C" w14:textId="77777777" w:rsidR="00217F0F" w:rsidRPr="005151A6" w:rsidRDefault="00217F0F" w:rsidP="00EC1854">
            <w:pPr>
              <w:spacing w:line="360" w:lineRule="auto"/>
              <w:jc w:val="center"/>
              <w:rPr>
                <w:sz w:val="16"/>
                <w:szCs w:val="16"/>
              </w:rPr>
            </w:pPr>
            <w:r w:rsidRPr="005151A6">
              <w:rPr>
                <w:sz w:val="16"/>
                <w:szCs w:val="16"/>
              </w:rPr>
              <w:t>Experimental PCE (%)</w:t>
            </w:r>
          </w:p>
        </w:tc>
      </w:tr>
      <w:tr w:rsidR="00217F0F" w:rsidRPr="00B55044" w14:paraId="2B37287D" w14:textId="77777777" w:rsidTr="00EC1854">
        <w:trPr>
          <w:trHeight w:val="234"/>
          <w:jc w:val="center"/>
        </w:trPr>
        <w:tc>
          <w:tcPr>
            <w:tcW w:w="3729" w:type="dxa"/>
            <w:tcBorders>
              <w:bottom w:val="single" w:sz="4" w:space="0" w:color="auto"/>
            </w:tcBorders>
          </w:tcPr>
          <w:p w14:paraId="1C5043E1" w14:textId="77777777" w:rsidR="00217F0F" w:rsidRPr="005151A6" w:rsidRDefault="00217F0F" w:rsidP="00EC1854">
            <w:pPr>
              <w:spacing w:line="360" w:lineRule="auto"/>
              <w:jc w:val="center"/>
              <w:rPr>
                <w:sz w:val="16"/>
                <w:szCs w:val="16"/>
              </w:rPr>
            </w:pPr>
            <w:r w:rsidRPr="005151A6">
              <w:rPr>
                <w:sz w:val="16"/>
                <w:szCs w:val="16"/>
              </w:rPr>
              <w:t>Blend Proportion ≠ 1:1, 1:1.5, &gt;1:1.6 wt%</w:t>
            </w:r>
          </w:p>
        </w:tc>
        <w:tc>
          <w:tcPr>
            <w:tcW w:w="2885" w:type="dxa"/>
            <w:tcBorders>
              <w:bottom w:val="single" w:sz="4" w:space="0" w:color="auto"/>
            </w:tcBorders>
          </w:tcPr>
          <w:p w14:paraId="4E48D46C" w14:textId="77777777" w:rsidR="00217F0F" w:rsidRPr="005151A6" w:rsidRDefault="00217F0F" w:rsidP="00EC1854">
            <w:pPr>
              <w:spacing w:line="360" w:lineRule="auto"/>
              <w:jc w:val="center"/>
              <w:rPr>
                <w:sz w:val="16"/>
                <w:szCs w:val="16"/>
              </w:rPr>
            </w:pPr>
            <w:r w:rsidRPr="005151A6">
              <w:rPr>
                <w:sz w:val="16"/>
                <w:szCs w:val="16"/>
              </w:rPr>
              <w:t>16</w:t>
            </w:r>
          </w:p>
        </w:tc>
        <w:tc>
          <w:tcPr>
            <w:tcW w:w="2428" w:type="dxa"/>
            <w:tcBorders>
              <w:bottom w:val="single" w:sz="4" w:space="0" w:color="auto"/>
            </w:tcBorders>
          </w:tcPr>
          <w:p w14:paraId="5B0A0A3A" w14:textId="77777777" w:rsidR="00217F0F" w:rsidRPr="005151A6" w:rsidRDefault="00217F0F" w:rsidP="00EC1854">
            <w:pPr>
              <w:spacing w:line="360" w:lineRule="auto"/>
              <w:jc w:val="center"/>
              <w:rPr>
                <w:sz w:val="16"/>
                <w:szCs w:val="16"/>
              </w:rPr>
            </w:pPr>
            <w:r w:rsidRPr="005151A6">
              <w:rPr>
                <w:sz w:val="16"/>
                <w:szCs w:val="16"/>
              </w:rPr>
              <w:t>16.06</w:t>
            </w:r>
          </w:p>
        </w:tc>
      </w:tr>
      <w:tr w:rsidR="00217F0F" w:rsidRPr="00B55044" w14:paraId="7E05D4E3" w14:textId="77777777" w:rsidTr="00EC1854">
        <w:trPr>
          <w:trHeight w:val="283"/>
          <w:jc w:val="center"/>
        </w:trPr>
        <w:tc>
          <w:tcPr>
            <w:tcW w:w="3729" w:type="dxa"/>
            <w:tcBorders>
              <w:top w:val="single" w:sz="4" w:space="0" w:color="auto"/>
              <w:bottom w:val="single" w:sz="4" w:space="0" w:color="auto"/>
            </w:tcBorders>
          </w:tcPr>
          <w:p w14:paraId="7E191FF1" w14:textId="77777777" w:rsidR="00217F0F" w:rsidRPr="005151A6" w:rsidRDefault="00217F0F" w:rsidP="00EC1854">
            <w:pPr>
              <w:spacing w:line="360" w:lineRule="auto"/>
              <w:jc w:val="center"/>
              <w:rPr>
                <w:sz w:val="16"/>
                <w:szCs w:val="16"/>
              </w:rPr>
            </w:pPr>
            <w:r w:rsidRPr="005151A6">
              <w:rPr>
                <w:sz w:val="16"/>
                <w:szCs w:val="16"/>
              </w:rPr>
              <w:t>Cathode ≠ Al or others</w:t>
            </w:r>
          </w:p>
        </w:tc>
        <w:tc>
          <w:tcPr>
            <w:tcW w:w="2885" w:type="dxa"/>
            <w:tcBorders>
              <w:top w:val="single" w:sz="4" w:space="0" w:color="auto"/>
              <w:bottom w:val="single" w:sz="4" w:space="0" w:color="auto"/>
            </w:tcBorders>
          </w:tcPr>
          <w:p w14:paraId="24EB6D45" w14:textId="77777777" w:rsidR="00217F0F" w:rsidRPr="005151A6" w:rsidRDefault="00217F0F" w:rsidP="00EC1854">
            <w:pPr>
              <w:spacing w:line="360" w:lineRule="auto"/>
              <w:jc w:val="center"/>
              <w:rPr>
                <w:sz w:val="16"/>
                <w:szCs w:val="16"/>
              </w:rPr>
            </w:pPr>
            <w:r w:rsidRPr="005151A6">
              <w:rPr>
                <w:sz w:val="16"/>
                <w:szCs w:val="16"/>
              </w:rPr>
              <w:t>17</w:t>
            </w:r>
          </w:p>
        </w:tc>
        <w:tc>
          <w:tcPr>
            <w:tcW w:w="2428" w:type="dxa"/>
            <w:tcBorders>
              <w:top w:val="single" w:sz="4" w:space="0" w:color="auto"/>
              <w:bottom w:val="single" w:sz="4" w:space="0" w:color="auto"/>
            </w:tcBorders>
          </w:tcPr>
          <w:p w14:paraId="76CBA856" w14:textId="77777777" w:rsidR="00217F0F" w:rsidRPr="005151A6" w:rsidRDefault="00217F0F" w:rsidP="00EC1854">
            <w:pPr>
              <w:spacing w:line="360" w:lineRule="auto"/>
              <w:jc w:val="center"/>
              <w:rPr>
                <w:sz w:val="16"/>
                <w:szCs w:val="16"/>
              </w:rPr>
            </w:pPr>
            <w:r w:rsidRPr="005151A6">
              <w:rPr>
                <w:sz w:val="16"/>
                <w:szCs w:val="16"/>
              </w:rPr>
              <w:t>17.10</w:t>
            </w:r>
          </w:p>
        </w:tc>
      </w:tr>
      <w:tr w:rsidR="00217F0F" w:rsidRPr="00B55044" w14:paraId="65E634FF" w14:textId="77777777" w:rsidTr="00EC1854">
        <w:trPr>
          <w:trHeight w:val="246"/>
          <w:jc w:val="center"/>
        </w:trPr>
        <w:tc>
          <w:tcPr>
            <w:tcW w:w="3729" w:type="dxa"/>
            <w:tcBorders>
              <w:top w:val="single" w:sz="4" w:space="0" w:color="auto"/>
              <w:bottom w:val="single" w:sz="4" w:space="0" w:color="auto"/>
            </w:tcBorders>
          </w:tcPr>
          <w:p w14:paraId="40C50D2A" w14:textId="77777777" w:rsidR="00217F0F" w:rsidRPr="005151A6" w:rsidRDefault="00217F0F" w:rsidP="00EC1854">
            <w:pPr>
              <w:spacing w:line="360" w:lineRule="auto"/>
              <w:jc w:val="center"/>
              <w:rPr>
                <w:sz w:val="16"/>
                <w:szCs w:val="16"/>
              </w:rPr>
            </w:pPr>
            <w:r w:rsidRPr="005151A6">
              <w:rPr>
                <w:sz w:val="16"/>
                <w:szCs w:val="16"/>
              </w:rPr>
              <w:t>Bandgap PM6 &gt; 1.8 eV</w:t>
            </w:r>
          </w:p>
        </w:tc>
        <w:tc>
          <w:tcPr>
            <w:tcW w:w="2885" w:type="dxa"/>
            <w:tcBorders>
              <w:top w:val="single" w:sz="4" w:space="0" w:color="auto"/>
              <w:bottom w:val="single" w:sz="4" w:space="0" w:color="auto"/>
            </w:tcBorders>
          </w:tcPr>
          <w:p w14:paraId="6296D21B" w14:textId="77777777" w:rsidR="00217F0F" w:rsidRPr="005151A6" w:rsidRDefault="00217F0F" w:rsidP="00EC1854">
            <w:pPr>
              <w:spacing w:line="360" w:lineRule="auto"/>
              <w:jc w:val="center"/>
              <w:rPr>
                <w:sz w:val="16"/>
                <w:szCs w:val="16"/>
              </w:rPr>
            </w:pPr>
            <w:r w:rsidRPr="005151A6">
              <w:rPr>
                <w:sz w:val="16"/>
                <w:szCs w:val="16"/>
              </w:rPr>
              <w:t>17</w:t>
            </w:r>
          </w:p>
        </w:tc>
        <w:tc>
          <w:tcPr>
            <w:tcW w:w="2428" w:type="dxa"/>
            <w:tcBorders>
              <w:top w:val="single" w:sz="4" w:space="0" w:color="auto"/>
              <w:bottom w:val="single" w:sz="4" w:space="0" w:color="auto"/>
            </w:tcBorders>
          </w:tcPr>
          <w:p w14:paraId="4F074B72" w14:textId="77777777" w:rsidR="00217F0F" w:rsidRPr="005151A6" w:rsidRDefault="00217F0F" w:rsidP="00EC1854">
            <w:pPr>
              <w:spacing w:line="360" w:lineRule="auto"/>
              <w:jc w:val="center"/>
              <w:rPr>
                <w:sz w:val="16"/>
                <w:szCs w:val="16"/>
              </w:rPr>
            </w:pPr>
            <w:r w:rsidRPr="005151A6">
              <w:rPr>
                <w:sz w:val="16"/>
                <w:szCs w:val="16"/>
              </w:rPr>
              <w:t>17.03</w:t>
            </w:r>
          </w:p>
        </w:tc>
      </w:tr>
      <w:tr w:rsidR="00217F0F" w:rsidRPr="00B55044" w14:paraId="4307EFF9" w14:textId="77777777" w:rsidTr="00EC1854">
        <w:trPr>
          <w:trHeight w:val="276"/>
          <w:jc w:val="center"/>
        </w:trPr>
        <w:tc>
          <w:tcPr>
            <w:tcW w:w="3729" w:type="dxa"/>
            <w:tcBorders>
              <w:top w:val="single" w:sz="4" w:space="0" w:color="auto"/>
              <w:bottom w:val="single" w:sz="4" w:space="0" w:color="auto"/>
            </w:tcBorders>
          </w:tcPr>
          <w:p w14:paraId="4B8BF9A5" w14:textId="77777777" w:rsidR="00217F0F" w:rsidRPr="005151A6" w:rsidRDefault="00217F0F" w:rsidP="00EC1854">
            <w:pPr>
              <w:spacing w:line="360" w:lineRule="auto"/>
              <w:jc w:val="center"/>
              <w:rPr>
                <w:sz w:val="16"/>
                <w:szCs w:val="16"/>
              </w:rPr>
            </w:pPr>
            <w:r w:rsidRPr="005151A6">
              <w:rPr>
                <w:sz w:val="16"/>
                <w:szCs w:val="16"/>
              </w:rPr>
              <w:t>ETL ≠ metal oxides, PFN family, others</w:t>
            </w:r>
          </w:p>
        </w:tc>
        <w:tc>
          <w:tcPr>
            <w:tcW w:w="2885" w:type="dxa"/>
            <w:tcBorders>
              <w:top w:val="single" w:sz="4" w:space="0" w:color="auto"/>
              <w:bottom w:val="single" w:sz="4" w:space="0" w:color="auto"/>
            </w:tcBorders>
          </w:tcPr>
          <w:p w14:paraId="53F51511" w14:textId="77777777" w:rsidR="00217F0F" w:rsidRPr="005151A6" w:rsidRDefault="00217F0F" w:rsidP="00EC1854">
            <w:pPr>
              <w:spacing w:line="360" w:lineRule="auto"/>
              <w:jc w:val="center"/>
              <w:rPr>
                <w:sz w:val="16"/>
                <w:szCs w:val="16"/>
              </w:rPr>
            </w:pPr>
            <w:r w:rsidRPr="005151A6">
              <w:rPr>
                <w:sz w:val="16"/>
                <w:szCs w:val="16"/>
              </w:rPr>
              <w:t>17</w:t>
            </w:r>
          </w:p>
        </w:tc>
        <w:tc>
          <w:tcPr>
            <w:tcW w:w="2428" w:type="dxa"/>
            <w:tcBorders>
              <w:top w:val="single" w:sz="4" w:space="0" w:color="auto"/>
              <w:bottom w:val="single" w:sz="4" w:space="0" w:color="auto"/>
            </w:tcBorders>
          </w:tcPr>
          <w:p w14:paraId="7C361D1E" w14:textId="77777777" w:rsidR="00217F0F" w:rsidRPr="005151A6" w:rsidRDefault="00217F0F" w:rsidP="00EC1854">
            <w:pPr>
              <w:spacing w:line="360" w:lineRule="auto"/>
              <w:jc w:val="center"/>
              <w:rPr>
                <w:sz w:val="16"/>
                <w:szCs w:val="16"/>
              </w:rPr>
            </w:pPr>
            <w:r w:rsidRPr="005151A6">
              <w:rPr>
                <w:sz w:val="16"/>
                <w:szCs w:val="16"/>
              </w:rPr>
              <w:t>17.11</w:t>
            </w:r>
          </w:p>
        </w:tc>
      </w:tr>
      <w:tr w:rsidR="00217F0F" w:rsidRPr="00B55044" w14:paraId="4262CD50" w14:textId="77777777" w:rsidTr="00EC1854">
        <w:trPr>
          <w:trHeight w:val="273"/>
          <w:jc w:val="center"/>
        </w:trPr>
        <w:tc>
          <w:tcPr>
            <w:tcW w:w="3729" w:type="dxa"/>
            <w:tcBorders>
              <w:top w:val="single" w:sz="4" w:space="0" w:color="auto"/>
            </w:tcBorders>
          </w:tcPr>
          <w:p w14:paraId="228E08D6" w14:textId="77777777" w:rsidR="00217F0F" w:rsidRPr="005151A6" w:rsidRDefault="00217F0F" w:rsidP="00EC1854">
            <w:pPr>
              <w:spacing w:line="360" w:lineRule="auto"/>
              <w:jc w:val="center"/>
              <w:rPr>
                <w:sz w:val="16"/>
                <w:szCs w:val="16"/>
              </w:rPr>
            </w:pPr>
            <w:r w:rsidRPr="005151A6">
              <w:rPr>
                <w:sz w:val="16"/>
                <w:szCs w:val="16"/>
              </w:rPr>
              <w:t>HOMO &gt; -5.5 eV</w:t>
            </w:r>
          </w:p>
        </w:tc>
        <w:tc>
          <w:tcPr>
            <w:tcW w:w="2885" w:type="dxa"/>
            <w:tcBorders>
              <w:top w:val="single" w:sz="4" w:space="0" w:color="auto"/>
            </w:tcBorders>
          </w:tcPr>
          <w:p w14:paraId="3DF5CA5E" w14:textId="77777777" w:rsidR="00217F0F" w:rsidRPr="005151A6" w:rsidRDefault="00217F0F" w:rsidP="00EC1854">
            <w:pPr>
              <w:spacing w:line="360" w:lineRule="auto"/>
              <w:jc w:val="center"/>
              <w:rPr>
                <w:sz w:val="16"/>
                <w:szCs w:val="16"/>
              </w:rPr>
            </w:pPr>
            <w:r w:rsidRPr="005151A6">
              <w:rPr>
                <w:sz w:val="16"/>
                <w:szCs w:val="16"/>
              </w:rPr>
              <w:t>18</w:t>
            </w:r>
          </w:p>
        </w:tc>
        <w:tc>
          <w:tcPr>
            <w:tcW w:w="2428" w:type="dxa"/>
            <w:tcBorders>
              <w:top w:val="single" w:sz="4" w:space="0" w:color="auto"/>
            </w:tcBorders>
          </w:tcPr>
          <w:p w14:paraId="19613CB6" w14:textId="77777777" w:rsidR="00217F0F" w:rsidRPr="005151A6" w:rsidRDefault="00217F0F" w:rsidP="00EC1854">
            <w:pPr>
              <w:spacing w:line="360" w:lineRule="auto"/>
              <w:jc w:val="center"/>
              <w:rPr>
                <w:sz w:val="16"/>
                <w:szCs w:val="16"/>
              </w:rPr>
            </w:pPr>
            <w:r w:rsidRPr="005151A6">
              <w:rPr>
                <w:sz w:val="16"/>
                <w:szCs w:val="16"/>
              </w:rPr>
              <w:t>17.21</w:t>
            </w:r>
          </w:p>
        </w:tc>
      </w:tr>
    </w:tbl>
    <w:p w14:paraId="0AD57719" w14:textId="77777777" w:rsidR="003D460F" w:rsidRPr="00791B40" w:rsidRDefault="003D460F" w:rsidP="00094610">
      <w:pPr>
        <w:spacing w:line="360" w:lineRule="auto"/>
        <w:jc w:val="both"/>
        <w:rPr>
          <w:sz w:val="28"/>
          <w:szCs w:val="28"/>
          <w:vertAlign w:val="subscript"/>
        </w:rPr>
      </w:pPr>
    </w:p>
    <w:p w14:paraId="3A46B9B2" w14:textId="77777777" w:rsidR="003D460F" w:rsidRPr="00791B40" w:rsidRDefault="003D460F" w:rsidP="00094610">
      <w:pPr>
        <w:spacing w:line="360" w:lineRule="auto"/>
        <w:jc w:val="both"/>
        <w:rPr>
          <w:sz w:val="28"/>
          <w:szCs w:val="28"/>
          <w:vertAlign w:val="subscript"/>
        </w:rPr>
      </w:pPr>
    </w:p>
    <w:p w14:paraId="464EC3AC" w14:textId="77777777" w:rsidR="003D460F" w:rsidRPr="00791B40" w:rsidRDefault="003D460F" w:rsidP="00094610">
      <w:pPr>
        <w:spacing w:line="360" w:lineRule="auto"/>
        <w:jc w:val="both"/>
        <w:rPr>
          <w:sz w:val="28"/>
          <w:szCs w:val="28"/>
          <w:vertAlign w:val="subscript"/>
        </w:rPr>
      </w:pPr>
    </w:p>
    <w:p w14:paraId="56B56770" w14:textId="77777777" w:rsidR="00B452EB" w:rsidRPr="00791B40" w:rsidRDefault="00B452EB" w:rsidP="003D460F">
      <w:pPr>
        <w:spacing w:line="360" w:lineRule="auto"/>
      </w:pPr>
    </w:p>
    <w:p w14:paraId="084E183F" w14:textId="77777777" w:rsidR="00B452EB" w:rsidRPr="00791B40" w:rsidRDefault="00B452EB" w:rsidP="003D460F">
      <w:pPr>
        <w:spacing w:line="360" w:lineRule="auto"/>
      </w:pPr>
    </w:p>
    <w:p w14:paraId="3704D339" w14:textId="77777777" w:rsidR="00B452EB" w:rsidRPr="00791B40" w:rsidRDefault="00B452EB" w:rsidP="003D460F">
      <w:pPr>
        <w:spacing w:line="360" w:lineRule="auto"/>
      </w:pPr>
    </w:p>
    <w:p w14:paraId="4F27FD3C" w14:textId="77777777" w:rsidR="00B452EB" w:rsidRPr="00791B40" w:rsidRDefault="00B452EB" w:rsidP="003D460F">
      <w:pPr>
        <w:spacing w:line="360" w:lineRule="auto"/>
      </w:pPr>
    </w:p>
    <w:p w14:paraId="4C2AC43B" w14:textId="77777777" w:rsidR="00B452EB" w:rsidRPr="00791B40" w:rsidRDefault="00B452EB" w:rsidP="003D460F">
      <w:pPr>
        <w:spacing w:line="360" w:lineRule="auto"/>
      </w:pPr>
    </w:p>
    <w:p w14:paraId="1FB6F8AE" w14:textId="77777777" w:rsidR="00B452EB" w:rsidRPr="00791B40" w:rsidRDefault="00B452EB" w:rsidP="003D460F">
      <w:pPr>
        <w:spacing w:line="360" w:lineRule="auto"/>
      </w:pPr>
    </w:p>
    <w:p w14:paraId="496EFE9B" w14:textId="77777777" w:rsidR="00B452EB" w:rsidRPr="00791B40" w:rsidRDefault="00B452EB" w:rsidP="003D460F">
      <w:pPr>
        <w:spacing w:line="360" w:lineRule="auto"/>
      </w:pPr>
    </w:p>
    <w:p w14:paraId="422A6084" w14:textId="77777777" w:rsidR="00B452EB" w:rsidRPr="00791B40" w:rsidRDefault="00B452EB" w:rsidP="003D460F">
      <w:pPr>
        <w:spacing w:line="360" w:lineRule="auto"/>
      </w:pPr>
    </w:p>
    <w:p w14:paraId="6EC58A7B" w14:textId="77777777" w:rsidR="00B452EB" w:rsidRPr="00791B40" w:rsidRDefault="00B452EB" w:rsidP="003D460F">
      <w:pPr>
        <w:spacing w:line="360" w:lineRule="auto"/>
      </w:pPr>
    </w:p>
    <w:p w14:paraId="2B5E8B6B" w14:textId="77777777" w:rsidR="00B452EB" w:rsidRPr="00791B40" w:rsidRDefault="00B452EB" w:rsidP="003D460F">
      <w:pPr>
        <w:spacing w:line="360" w:lineRule="auto"/>
      </w:pPr>
    </w:p>
    <w:p w14:paraId="65174FBA" w14:textId="77777777" w:rsidR="00B452EB" w:rsidRPr="00791B40" w:rsidRDefault="00B452EB" w:rsidP="003D460F">
      <w:pPr>
        <w:spacing w:line="360" w:lineRule="auto"/>
      </w:pPr>
    </w:p>
    <w:p w14:paraId="4A5A73D4" w14:textId="77777777" w:rsidR="00B452EB" w:rsidRPr="00791B40" w:rsidRDefault="00B452EB" w:rsidP="003D460F">
      <w:pPr>
        <w:spacing w:line="360" w:lineRule="auto"/>
      </w:pPr>
    </w:p>
    <w:p w14:paraId="42E1CD07" w14:textId="77777777" w:rsidR="009243F9" w:rsidRDefault="009243F9">
      <w:pPr>
        <w:spacing w:after="160" w:line="259" w:lineRule="auto"/>
        <w:rPr>
          <w:b/>
          <w:bCs/>
        </w:rPr>
      </w:pPr>
      <w:r>
        <w:rPr>
          <w:b/>
          <w:bCs/>
        </w:rPr>
        <w:br w:type="page"/>
      </w:r>
    </w:p>
    <w:p w14:paraId="7E55FD87" w14:textId="3AB167A4" w:rsidR="003D460F" w:rsidRPr="0011125B" w:rsidRDefault="003D460F" w:rsidP="007C3F79">
      <w:pPr>
        <w:jc w:val="both"/>
        <w:rPr>
          <w:b/>
          <w:bCs/>
        </w:rPr>
      </w:pPr>
      <w:r w:rsidRPr="0089501E">
        <w:rPr>
          <w:b/>
          <w:bCs/>
        </w:rPr>
        <w:lastRenderedPageBreak/>
        <w:t>References</w:t>
      </w:r>
    </w:p>
    <w:p w14:paraId="420C0316" w14:textId="2C4C3B98" w:rsidR="006D2A7C" w:rsidRDefault="003F3787" w:rsidP="006D2A7C">
      <w:pPr>
        <w:pStyle w:val="Bibliography"/>
      </w:pPr>
      <w:r w:rsidRPr="0011125B">
        <w:rPr>
          <w:vertAlign w:val="subscript"/>
        </w:rPr>
        <w:fldChar w:fldCharType="begin"/>
      </w:r>
      <w:r w:rsidR="006D2A7C">
        <w:rPr>
          <w:vertAlign w:val="subscript"/>
        </w:rPr>
        <w:instrText xml:space="preserve"> ADDIN ZOTERO_BIBL {"uncited":[],"omitted":[],"custom":[]} CSL_BIBLIOGRAPHY </w:instrText>
      </w:r>
      <w:r w:rsidRPr="0011125B">
        <w:rPr>
          <w:vertAlign w:val="subscript"/>
        </w:rPr>
        <w:fldChar w:fldCharType="separate"/>
      </w:r>
      <w:r w:rsidR="006D2A7C">
        <w:t>[1]</w:t>
      </w:r>
      <w:r w:rsidR="006D2A7C">
        <w:tab/>
        <w:t>M. Keshav, F. Kaka, Sol. Energy Mater. Sol. Cells 254 (2023) 112258.</w:t>
      </w:r>
    </w:p>
    <w:p w14:paraId="61DF2C6C" w14:textId="77398401" w:rsidR="006D2A7C" w:rsidRDefault="006D2A7C" w:rsidP="006D2A7C">
      <w:pPr>
        <w:pStyle w:val="Bibliography"/>
      </w:pPr>
      <w:r>
        <w:t>[2]</w:t>
      </w:r>
      <w:r>
        <w:tab/>
        <w:t>Y. Huang, H. Chen, Q. Fan, Z. Chen, J. Ding, H. Yang, Z. Sun, R. Zhang, W. Chen, C. Yang, F. Gao, Y. Li, Chin. J. Chem. 41 (2023) 1066</w:t>
      </w:r>
      <w:r w:rsidR="00EF7CEC">
        <w:t>-</w:t>
      </w:r>
      <w:r>
        <w:t>1074.</w:t>
      </w:r>
    </w:p>
    <w:p w14:paraId="49B8055F" w14:textId="7798FD46" w:rsidR="006D2A7C" w:rsidRPr="00EF3C4D" w:rsidRDefault="006D2A7C" w:rsidP="006D2A7C">
      <w:pPr>
        <w:pStyle w:val="Bibliography"/>
      </w:pPr>
      <w:r w:rsidRPr="00EF3C4D">
        <w:t>[3]</w:t>
      </w:r>
      <w:r w:rsidRPr="00EF3C4D">
        <w:tab/>
        <w:t>W. Zhang, J. Huang, X. Lv, M. Zhang, W. Liu, T. Xu, J. Ning, A. Hexig, F. Liu, A. Xu, C. Zhan, Chin. Chem. Lett. 34 (2023)</w:t>
      </w:r>
      <w:r w:rsidR="00EF3C4D" w:rsidRPr="00EF3C4D">
        <w:t xml:space="preserve"> 107436</w:t>
      </w:r>
      <w:r w:rsidRPr="00EF3C4D">
        <w:t>.</w:t>
      </w:r>
    </w:p>
    <w:p w14:paraId="33B2FB0F" w14:textId="76C3A963" w:rsidR="006D2A7C" w:rsidRDefault="006D2A7C" w:rsidP="006D2A7C">
      <w:pPr>
        <w:pStyle w:val="Bibliography"/>
      </w:pPr>
      <w:r>
        <w:t>[4]</w:t>
      </w:r>
      <w:r>
        <w:tab/>
        <w:t>N. Su, J. Chen, M. Peng, G. Li, R.M. Pankow, D. Zheng, J. Ding, A. Facchetti, T.J. Marks, J. Energy Chem. 79 (2023) 321</w:t>
      </w:r>
      <w:r w:rsidR="004C6460">
        <w:t>-</w:t>
      </w:r>
      <w:r>
        <w:t>329.</w:t>
      </w:r>
    </w:p>
    <w:p w14:paraId="7456375A" w14:textId="79F4E45C" w:rsidR="006D2A7C" w:rsidRDefault="006D2A7C" w:rsidP="006D2A7C">
      <w:pPr>
        <w:pStyle w:val="Bibliography"/>
      </w:pPr>
      <w:r>
        <w:t>[5]</w:t>
      </w:r>
      <w:r>
        <w:tab/>
        <w:t>M. Deng, X. Xu, Y. Duan, L. Yu, R. Li, Q. Peng, Adv. Funct. Mater. 33 (2023)</w:t>
      </w:r>
      <w:r w:rsidR="00EF7CEC">
        <w:t xml:space="preserve"> </w:t>
      </w:r>
      <w:r w:rsidR="00EF7CEC" w:rsidRPr="00EF7CEC">
        <w:t>202212290</w:t>
      </w:r>
      <w:r>
        <w:t>.</w:t>
      </w:r>
    </w:p>
    <w:p w14:paraId="2A966DC9" w14:textId="51C57723" w:rsidR="006D2A7C" w:rsidRDefault="006D2A7C" w:rsidP="006D2A7C">
      <w:pPr>
        <w:pStyle w:val="Bibliography"/>
      </w:pPr>
      <w:r>
        <w:t>[6]</w:t>
      </w:r>
      <w:r>
        <w:tab/>
        <w:t>T. Huang, Z. Zhang, D. Wang, Y. Zhang, Z. Deng, Y. Huang, Q. Liao, J. Zhang, ACS Appl. Energy Mater. 6 (2023) 3126</w:t>
      </w:r>
      <w:r w:rsidR="004C6460">
        <w:t>-</w:t>
      </w:r>
      <w:r>
        <w:t>3134.</w:t>
      </w:r>
    </w:p>
    <w:p w14:paraId="67FE75AF" w14:textId="3E06FE59" w:rsidR="006D2A7C" w:rsidRDefault="006D2A7C" w:rsidP="006D2A7C">
      <w:pPr>
        <w:pStyle w:val="Bibliography"/>
      </w:pPr>
      <w:r>
        <w:t>[7]</w:t>
      </w:r>
      <w:r>
        <w:tab/>
        <w:t>C. Han, J. Wang, S. Zhang, L. Chen, F. Bi, J. Wang, C. Yang, P. Wang, Y. Li, X. Bao, Adv. Mater. 35 (2023)</w:t>
      </w:r>
      <w:r w:rsidR="00EF7CEC">
        <w:t xml:space="preserve"> </w:t>
      </w:r>
      <w:r w:rsidR="00EF7CEC" w:rsidRPr="00EF7CEC">
        <w:t>202208986</w:t>
      </w:r>
      <w:r>
        <w:t>.</w:t>
      </w:r>
    </w:p>
    <w:p w14:paraId="27F5A739" w14:textId="004133C4" w:rsidR="006D2A7C" w:rsidRDefault="006D2A7C" w:rsidP="006D2A7C">
      <w:pPr>
        <w:pStyle w:val="Bibliography"/>
      </w:pPr>
      <w:r>
        <w:t>[8]</w:t>
      </w:r>
      <w:r>
        <w:tab/>
        <w:t>F. Zhao, D. He, C. Zou, Y. Li, K. Wang, J. Zhang, S. Yang, Y. Tu, C. Wang, Y. Lin, Adv.  Mater. 35 (2023)</w:t>
      </w:r>
      <w:r w:rsidR="00EF7CEC">
        <w:t xml:space="preserve"> </w:t>
      </w:r>
      <w:r w:rsidR="00EF7CEC" w:rsidRPr="00EF7CEC">
        <w:t>202210463</w:t>
      </w:r>
      <w:r>
        <w:t>.</w:t>
      </w:r>
    </w:p>
    <w:p w14:paraId="161CF7B9" w14:textId="4546D3B7" w:rsidR="006D2A7C" w:rsidRDefault="006D2A7C" w:rsidP="006D2A7C">
      <w:pPr>
        <w:pStyle w:val="Bibliography"/>
      </w:pPr>
      <w:r>
        <w:t>[9]</w:t>
      </w:r>
      <w:r>
        <w:tab/>
        <w:t>L. Meng, H. Liang, G. Song, M. Li, Y. Huang, C. Jiang, K. Zhang, F. Huang, Z. Yao, C. Li, X. Wan, Y. Chen, Sci. China Chem. 66 (2023) 808</w:t>
      </w:r>
      <w:r w:rsidR="00E230AB">
        <w:t>-</w:t>
      </w:r>
      <w:r>
        <w:t>815.</w:t>
      </w:r>
    </w:p>
    <w:p w14:paraId="705828A7" w14:textId="2DD89E22" w:rsidR="006D2A7C" w:rsidRDefault="006D2A7C" w:rsidP="006D2A7C">
      <w:pPr>
        <w:pStyle w:val="Bibliography"/>
      </w:pPr>
      <w:r>
        <w:t>[10]</w:t>
      </w:r>
      <w:r>
        <w:tab/>
        <w:t>Y. Cai, C. Xie, Q. Li, C. Liu, J. Gao, M.H. Jee, J. Qiao, Y. Li, J. Song, X. Hao, H.Y. Woo, Z. Tang, Y. Zhou, C. Zhang, H. Huang, Y. Sun, Adv. Mater. 35 (2023)</w:t>
      </w:r>
      <w:r w:rsidR="00EF7CEC">
        <w:t xml:space="preserve"> </w:t>
      </w:r>
      <w:r w:rsidR="00E230AB" w:rsidRPr="00E230AB">
        <w:t>202208165</w:t>
      </w:r>
      <w:r>
        <w:t>.</w:t>
      </w:r>
    </w:p>
    <w:p w14:paraId="011C9492" w14:textId="4CE5769A" w:rsidR="006D2A7C" w:rsidRDefault="006D2A7C" w:rsidP="006D2A7C">
      <w:pPr>
        <w:pStyle w:val="Bibliography"/>
      </w:pPr>
      <w:r>
        <w:t>[11]</w:t>
      </w:r>
      <w:r>
        <w:tab/>
        <w:t>Q. Fan, R. Ma, Z. Bi, X. Liao, B. Wu, S. Zhang, W. Su, J. Fang, C. Zhao, C. Yan, K. Chen, Y. Li, C. Gao, G. Li, W. Ma, Adv</w:t>
      </w:r>
      <w:r w:rsidR="00B41C78">
        <w:t>.</w:t>
      </w:r>
      <w:r>
        <w:t xml:space="preserve"> Funct</w:t>
      </w:r>
      <w:r w:rsidR="00B41C78">
        <w:t>.</w:t>
      </w:r>
      <w:r>
        <w:t xml:space="preserve"> Mater</w:t>
      </w:r>
      <w:r w:rsidR="00B41C78">
        <w:t>.</w:t>
      </w:r>
      <w:r>
        <w:t xml:space="preserve"> 33 (2023)</w:t>
      </w:r>
      <w:r w:rsidR="00E230AB">
        <w:t xml:space="preserve"> </w:t>
      </w:r>
      <w:r w:rsidR="00E230AB" w:rsidRPr="00E230AB">
        <w:t>202211385</w:t>
      </w:r>
      <w:r>
        <w:t>.</w:t>
      </w:r>
    </w:p>
    <w:p w14:paraId="407C48EE" w14:textId="0DDF60DC" w:rsidR="006D2A7C" w:rsidRDefault="006D2A7C" w:rsidP="006D2A7C">
      <w:pPr>
        <w:pStyle w:val="Bibliography"/>
      </w:pPr>
      <w:r>
        <w:t>[12]</w:t>
      </w:r>
      <w:r>
        <w:tab/>
        <w:t>X. Yang, R. Sun, Y. Wang, M. Chen, X. Xia, X. Lu, G. Lu, J. Min, Adv</w:t>
      </w:r>
      <w:r w:rsidR="00B41C78">
        <w:t>.</w:t>
      </w:r>
      <w:r>
        <w:t xml:space="preserve"> Mater</w:t>
      </w:r>
      <w:r w:rsidR="00B41C78">
        <w:t>.</w:t>
      </w:r>
      <w:r>
        <w:t xml:space="preserve"> 35 (2023)</w:t>
      </w:r>
      <w:r w:rsidR="00E230AB">
        <w:t xml:space="preserve"> </w:t>
      </w:r>
      <w:r w:rsidR="00E230AB" w:rsidRPr="00E230AB">
        <w:t>202209350</w:t>
      </w:r>
      <w:r>
        <w:t>.</w:t>
      </w:r>
    </w:p>
    <w:p w14:paraId="7B06AC86" w14:textId="639AA4F4" w:rsidR="006D2A7C" w:rsidRDefault="006D2A7C" w:rsidP="006D2A7C">
      <w:pPr>
        <w:pStyle w:val="Bibliography"/>
      </w:pPr>
      <w:r>
        <w:t>[13]</w:t>
      </w:r>
      <w:r>
        <w:tab/>
        <w:t>D. Luo, Z. Jiang, W.L. Tan, L. Zhang, L. Li, C. Shan, C.R. McNeill, P. Sonar, B. Xu, A.K.K. Kyaw, Adv</w:t>
      </w:r>
      <w:r w:rsidR="00B41C78">
        <w:t>.</w:t>
      </w:r>
      <w:r>
        <w:t xml:space="preserve"> Energy Mater</w:t>
      </w:r>
      <w:r w:rsidR="00B41C78">
        <w:t>.</w:t>
      </w:r>
      <w:r>
        <w:t xml:space="preserve"> 13 (2023)</w:t>
      </w:r>
      <w:r w:rsidR="00E230AB">
        <w:t xml:space="preserve"> </w:t>
      </w:r>
      <w:r w:rsidR="00E230AB" w:rsidRPr="00E230AB">
        <w:t>202203402</w:t>
      </w:r>
      <w:r>
        <w:t>.</w:t>
      </w:r>
    </w:p>
    <w:p w14:paraId="4A1582B8" w14:textId="763E5976" w:rsidR="006D2A7C" w:rsidRDefault="006D2A7C" w:rsidP="006D2A7C">
      <w:pPr>
        <w:pStyle w:val="Bibliography"/>
      </w:pPr>
      <w:r>
        <w:t>[14]</w:t>
      </w:r>
      <w:r>
        <w:tab/>
        <w:t>C. Shang, S. Zhang, D. Han, X. Ding, Y. Zhang, C. Yang, J. Ding, X. Bao, ACS Appl</w:t>
      </w:r>
      <w:r w:rsidR="00B41C78">
        <w:t>.</w:t>
      </w:r>
      <w:r>
        <w:t xml:space="preserve"> Mater</w:t>
      </w:r>
      <w:r w:rsidR="00B41C78">
        <w:t>.</w:t>
      </w:r>
      <w:r>
        <w:t xml:space="preserve"> Interfaces 15 (2023) 5538</w:t>
      </w:r>
      <w:r w:rsidR="00E230AB">
        <w:t>-</w:t>
      </w:r>
      <w:r>
        <w:t>5546.</w:t>
      </w:r>
    </w:p>
    <w:p w14:paraId="3644B85E" w14:textId="4ABF26E6" w:rsidR="006D2A7C" w:rsidRDefault="006D2A7C" w:rsidP="006D2A7C">
      <w:pPr>
        <w:pStyle w:val="Bibliography"/>
      </w:pPr>
      <w:r>
        <w:t>[15]</w:t>
      </w:r>
      <w:r>
        <w:tab/>
        <w:t>L. Feng, S. Chen, K. Zhang, J. Jing, Z. Zhou, Q. Xue, Z. Liu, Y. Chen, S. Dong, F. Huang, Y. Cao, ACS Appl</w:t>
      </w:r>
      <w:r w:rsidR="00B41C78">
        <w:t xml:space="preserve">. </w:t>
      </w:r>
      <w:r>
        <w:t>Mater</w:t>
      </w:r>
      <w:r w:rsidR="00B41C78">
        <w:t>.</w:t>
      </w:r>
      <w:r>
        <w:t xml:space="preserve"> Interfaces 15 (2023) 5566–5576.</w:t>
      </w:r>
    </w:p>
    <w:p w14:paraId="0561BABB" w14:textId="1FC2D878" w:rsidR="006D2A7C" w:rsidRDefault="006D2A7C" w:rsidP="006D2A7C">
      <w:pPr>
        <w:pStyle w:val="Bibliography"/>
      </w:pPr>
      <w:r>
        <w:t>[16]</w:t>
      </w:r>
      <w:r>
        <w:tab/>
        <w:t>Y. Guo, Z. Chen, J. Ge, J. Zhang, L. Xie, R. Peng, W. Ma, Z. Ge, Sci</w:t>
      </w:r>
      <w:r w:rsidR="00B41C78">
        <w:t>.</w:t>
      </w:r>
      <w:r>
        <w:t xml:space="preserve"> China Chem</w:t>
      </w:r>
      <w:r w:rsidR="00B41C78">
        <w:t>.</w:t>
      </w:r>
      <w:r>
        <w:t xml:space="preserve"> 66 (2023) 500–507.</w:t>
      </w:r>
    </w:p>
    <w:p w14:paraId="11453D7A" w14:textId="5ECFDBC0" w:rsidR="006D2A7C" w:rsidRDefault="006D2A7C" w:rsidP="006D2A7C">
      <w:pPr>
        <w:pStyle w:val="Bibliography"/>
      </w:pPr>
      <w:r>
        <w:t>[17]</w:t>
      </w:r>
      <w:r>
        <w:tab/>
        <w:t>Y.-F. Liu, S.-W. Zhang, Y.-X. Li, S.-L. Li, L.-Q. Huang, Y.-N. Jing, Q. Cheng, L.-G. Xiao, B.-X. Wang, B. Han, J.-J. Kang, Y. Zhang, H. Zhang, H.-Q. Zhou, Chin</w:t>
      </w:r>
      <w:r w:rsidR="00B41C78">
        <w:t>.</w:t>
      </w:r>
      <w:r>
        <w:t xml:space="preserve"> J</w:t>
      </w:r>
      <w:r w:rsidR="00B41C78">
        <w:t>.</w:t>
      </w:r>
      <w:r>
        <w:t xml:space="preserve"> Polym</w:t>
      </w:r>
      <w:r w:rsidR="00B41C78">
        <w:t>.</w:t>
      </w:r>
      <w:r>
        <w:t xml:space="preserve"> Sci</w:t>
      </w:r>
      <w:r w:rsidR="00B41C78">
        <w:t>.</w:t>
      </w:r>
      <w:r>
        <w:t xml:space="preserve"> (English Edition) 41 (2023) 202–211.</w:t>
      </w:r>
    </w:p>
    <w:p w14:paraId="285424DF" w14:textId="77777777" w:rsidR="006D2A7C" w:rsidRDefault="006D2A7C" w:rsidP="006D2A7C">
      <w:pPr>
        <w:pStyle w:val="Bibliography"/>
      </w:pPr>
      <w:r>
        <w:t>[18]</w:t>
      </w:r>
      <w:r>
        <w:tab/>
        <w:t>Q. Fan, R. Ma, W. Su, Q. Zhu, Z. Luo, K. Chen, Y. Tang, F.R. Lin, Y. Li, H. Yan, C. Yang, A.K.-Y. Jen, W. Ma, Carbon Energy 5 (2023) e267.</w:t>
      </w:r>
    </w:p>
    <w:p w14:paraId="3F1757A7" w14:textId="63D1B514" w:rsidR="006D2A7C" w:rsidRDefault="006D2A7C" w:rsidP="006D2A7C">
      <w:pPr>
        <w:pStyle w:val="Bibliography"/>
      </w:pPr>
      <w:r>
        <w:t>[19]</w:t>
      </w:r>
      <w:r>
        <w:tab/>
        <w:t>H. Zhao, J. Xue, H. Wu, B. Lin, Y. Cai, K. Zhou, D. Yun, Z. Tang, W. Ma, Adv</w:t>
      </w:r>
      <w:r w:rsidR="002B5145">
        <w:t xml:space="preserve">. </w:t>
      </w:r>
      <w:r>
        <w:t>Funct</w:t>
      </w:r>
      <w:r w:rsidR="002B5145">
        <w:t xml:space="preserve">. </w:t>
      </w:r>
      <w:r>
        <w:t>Mater</w:t>
      </w:r>
      <w:r w:rsidR="002B5145">
        <w:t>.</w:t>
      </w:r>
      <w:r>
        <w:t xml:space="preserve"> 33 (2023)</w:t>
      </w:r>
      <w:r w:rsidR="004C6460">
        <w:t xml:space="preserve"> </w:t>
      </w:r>
      <w:r w:rsidR="004C6460" w:rsidRPr="004C6460">
        <w:t>202210534</w:t>
      </w:r>
      <w:r>
        <w:t>.</w:t>
      </w:r>
    </w:p>
    <w:p w14:paraId="7D8A76EF" w14:textId="034DAB51" w:rsidR="006D2A7C" w:rsidRDefault="006D2A7C" w:rsidP="006D2A7C">
      <w:pPr>
        <w:pStyle w:val="Bibliography"/>
      </w:pPr>
      <w:r>
        <w:t>[20]</w:t>
      </w:r>
      <w:r>
        <w:tab/>
        <w:t>R. Sun, T. Wang, Q. Fan, M. Wu, X. Yang, X. Wu, Y. Yu, X. Xia, F. Cui, J. Wan, X. Lu, X. Hao, A.K.-Y. Jen, E. Spiecker, J. Min, Joule 7 (2023) 221</w:t>
      </w:r>
      <w:r w:rsidR="004C6460">
        <w:t>-</w:t>
      </w:r>
      <w:r>
        <w:t>237.</w:t>
      </w:r>
    </w:p>
    <w:p w14:paraId="4401A3CA" w14:textId="7C1D623B" w:rsidR="006D2A7C" w:rsidRDefault="006D2A7C" w:rsidP="006D2A7C">
      <w:pPr>
        <w:pStyle w:val="Bibliography"/>
      </w:pPr>
      <w:r>
        <w:t>[21]</w:t>
      </w:r>
      <w:r>
        <w:tab/>
        <w:t>J. Li, C. Zhang, X. Zhong, W. Deng, H. Hu, K. Wang, Small 19 (2023)</w:t>
      </w:r>
      <w:r w:rsidR="004C6460">
        <w:t xml:space="preserve"> </w:t>
      </w:r>
      <w:r w:rsidR="004C6460" w:rsidRPr="004C6460">
        <w:t>202205572</w:t>
      </w:r>
      <w:r>
        <w:t>.</w:t>
      </w:r>
    </w:p>
    <w:p w14:paraId="0DF544B1" w14:textId="2F3B4D2E" w:rsidR="006D2A7C" w:rsidRDefault="006D2A7C" w:rsidP="006D2A7C">
      <w:pPr>
        <w:pStyle w:val="Bibliography"/>
      </w:pPr>
      <w:r>
        <w:t>[22]</w:t>
      </w:r>
      <w:r>
        <w:tab/>
        <w:t>K. Xian, K. Zhou, M. Li, J. Liu, Y. Zhang, T. Zhang, Y. Cui, W. Zhao, C. Yang, J. Hou, Y. Geng, L. Ye, Chin</w:t>
      </w:r>
      <w:r w:rsidR="002B5145">
        <w:t>.</w:t>
      </w:r>
      <w:r>
        <w:t xml:space="preserve"> J</w:t>
      </w:r>
      <w:r w:rsidR="002B5145">
        <w:t>.</w:t>
      </w:r>
      <w:r>
        <w:t xml:space="preserve"> Chem</w:t>
      </w:r>
      <w:r w:rsidR="002B5145">
        <w:t>.</w:t>
      </w:r>
      <w:r>
        <w:t xml:space="preserve"> 41 (2023) 159</w:t>
      </w:r>
      <w:r w:rsidR="004C6460">
        <w:t>-</w:t>
      </w:r>
      <w:r>
        <w:t>166.</w:t>
      </w:r>
    </w:p>
    <w:p w14:paraId="1558F8A5" w14:textId="73B636E1" w:rsidR="006D2A7C" w:rsidRDefault="006D2A7C" w:rsidP="006D2A7C">
      <w:pPr>
        <w:pStyle w:val="Bibliography"/>
      </w:pPr>
      <w:r>
        <w:t>[23]</w:t>
      </w:r>
      <w:r>
        <w:tab/>
        <w:t>J. Wang, S. Wen, J. Hu, J. Han, C. Yang, J. Li, X. Bao, S. Yan, Chem</w:t>
      </w:r>
      <w:r w:rsidR="002B5145">
        <w:t>.</w:t>
      </w:r>
      <w:r>
        <w:t xml:space="preserve"> Eng</w:t>
      </w:r>
      <w:r w:rsidR="002B5145">
        <w:t xml:space="preserve">. </w:t>
      </w:r>
      <w:r>
        <w:t>J</w:t>
      </w:r>
      <w:r w:rsidR="002B5145">
        <w:t xml:space="preserve">. </w:t>
      </w:r>
      <w:r>
        <w:t>452 (2023)</w:t>
      </w:r>
      <w:r w:rsidR="00EB3A59">
        <w:t xml:space="preserve"> </w:t>
      </w:r>
      <w:r w:rsidR="00EB3A59" w:rsidRPr="00EB3A59">
        <w:t>139462</w:t>
      </w:r>
      <w:r>
        <w:t>.</w:t>
      </w:r>
    </w:p>
    <w:p w14:paraId="11478A37" w14:textId="4DB850D0" w:rsidR="006D2A7C" w:rsidRDefault="006D2A7C" w:rsidP="006D2A7C">
      <w:pPr>
        <w:pStyle w:val="Bibliography"/>
      </w:pPr>
      <w:r>
        <w:lastRenderedPageBreak/>
        <w:t>[24]</w:t>
      </w:r>
      <w:r>
        <w:tab/>
        <w:t>X. Li, H. Yang, X. Du, H. Lin, G. Yang, C. Zheng, S. Tao, Chem</w:t>
      </w:r>
      <w:r w:rsidR="002B5145">
        <w:t>.</w:t>
      </w:r>
      <w:r>
        <w:t xml:space="preserve"> Eng</w:t>
      </w:r>
      <w:r w:rsidR="002B5145">
        <w:t>.</w:t>
      </w:r>
      <w:r>
        <w:t xml:space="preserve"> J</w:t>
      </w:r>
      <w:r w:rsidR="002B5145">
        <w:t xml:space="preserve">. </w:t>
      </w:r>
      <w:r>
        <w:t>452 (2023)</w:t>
      </w:r>
      <w:r w:rsidR="00EB3A59">
        <w:t xml:space="preserve"> </w:t>
      </w:r>
      <w:r w:rsidR="00EB3A59" w:rsidRPr="00EB3A59">
        <w:t>139496</w:t>
      </w:r>
      <w:r>
        <w:t>.</w:t>
      </w:r>
    </w:p>
    <w:p w14:paraId="008E2345" w14:textId="456664C8" w:rsidR="006D2A7C" w:rsidRDefault="006D2A7C" w:rsidP="006D2A7C">
      <w:pPr>
        <w:pStyle w:val="Bibliography"/>
      </w:pPr>
      <w:r>
        <w:t>[25]</w:t>
      </w:r>
      <w:r>
        <w:tab/>
        <w:t>L. Xie, A. Lan, Q. Gu, S. Yang, W. Song, J. Ge, R. Zhou, Z. Chen, J. Zhang, X. Zhang, D. Yang, B. Tang, T. Wu, Z. Ge, ACS Energy Lett</w:t>
      </w:r>
      <w:r w:rsidR="002B5145">
        <w:t>.</w:t>
      </w:r>
      <w:r>
        <w:t xml:space="preserve"> 8 (2023) 361</w:t>
      </w:r>
      <w:r w:rsidR="00EB3A59">
        <w:t>-</w:t>
      </w:r>
      <w:r>
        <w:t>371.</w:t>
      </w:r>
    </w:p>
    <w:p w14:paraId="67EBC5E3" w14:textId="1F197006" w:rsidR="006D2A7C" w:rsidRDefault="006D2A7C" w:rsidP="006D2A7C">
      <w:pPr>
        <w:pStyle w:val="Bibliography"/>
      </w:pPr>
      <w:r>
        <w:t>[26]</w:t>
      </w:r>
      <w:r>
        <w:tab/>
        <w:t>S. Jung, S. Jeong, J. Oh, S. Kim, S. Lee, S.-J. Yoon, C. Yang, Chem</w:t>
      </w:r>
      <w:r w:rsidR="002B5145">
        <w:t>.</w:t>
      </w:r>
      <w:r>
        <w:t xml:space="preserve"> Commun</w:t>
      </w:r>
      <w:r w:rsidR="002B5145">
        <w:t>.</w:t>
      </w:r>
      <w:r>
        <w:t xml:space="preserve"> 59 (2023) 1991</w:t>
      </w:r>
      <w:r w:rsidR="00EB3A59">
        <w:t>-</w:t>
      </w:r>
      <w:r>
        <w:t>1994.</w:t>
      </w:r>
    </w:p>
    <w:p w14:paraId="5B137BAB" w14:textId="0F06BBEC" w:rsidR="006D2A7C" w:rsidRDefault="006D2A7C" w:rsidP="006D2A7C">
      <w:pPr>
        <w:pStyle w:val="Bibliography"/>
      </w:pPr>
      <w:r>
        <w:t>[27]</w:t>
      </w:r>
      <w:r>
        <w:tab/>
        <w:t>B. Pang, C. Liao, X. Xu, L. Yu, R. Li, Q. Peng, Adv</w:t>
      </w:r>
      <w:r w:rsidR="002B5145">
        <w:t>.</w:t>
      </w:r>
      <w:r>
        <w:t xml:space="preserve"> Mater</w:t>
      </w:r>
      <w:r w:rsidR="002B5145">
        <w:t xml:space="preserve">. </w:t>
      </w:r>
      <w:r>
        <w:t>35 (2023)</w:t>
      </w:r>
      <w:r w:rsidR="00EB3A59">
        <w:t xml:space="preserve"> </w:t>
      </w:r>
      <w:r w:rsidR="00EB3A59" w:rsidRPr="00EB3A59">
        <w:t>202300631</w:t>
      </w:r>
      <w:r>
        <w:t>.</w:t>
      </w:r>
    </w:p>
    <w:p w14:paraId="157C2B23" w14:textId="5E2209E3" w:rsidR="006D2A7C" w:rsidRDefault="006D2A7C" w:rsidP="006D2A7C">
      <w:pPr>
        <w:pStyle w:val="Bibliography"/>
      </w:pPr>
      <w:r>
        <w:t>[28]</w:t>
      </w:r>
      <w:r>
        <w:tab/>
        <w:t>T. Chen, S. Li, Y. Li, Z. Chen, H. Wu, Y. Lin, Y. Gao, M. Wang, G. Ding, J. Min, Z. Ma, H. Zhu, L. Zuo, H. Chen, Adv</w:t>
      </w:r>
      <w:r w:rsidR="002B5145">
        <w:t>.</w:t>
      </w:r>
      <w:r>
        <w:t xml:space="preserve"> Mater</w:t>
      </w:r>
      <w:r w:rsidR="002B5145">
        <w:t>.</w:t>
      </w:r>
      <w:r>
        <w:t xml:space="preserve"> 35 (2023)</w:t>
      </w:r>
      <w:r w:rsidR="00EB3A59">
        <w:t xml:space="preserve"> </w:t>
      </w:r>
      <w:r w:rsidR="00EB3A59" w:rsidRPr="00EB3A59">
        <w:t>202300400</w:t>
      </w:r>
      <w:r>
        <w:t>.</w:t>
      </w:r>
    </w:p>
    <w:p w14:paraId="578F934A" w14:textId="790BA5D7" w:rsidR="006D2A7C" w:rsidRDefault="006D2A7C" w:rsidP="006D2A7C">
      <w:pPr>
        <w:pStyle w:val="Bibliography"/>
      </w:pPr>
      <w:r>
        <w:t>[29]</w:t>
      </w:r>
      <w:r>
        <w:tab/>
        <w:t>J. Guo, X. Xia, B. Qiu, J. Zhang, S. Qin, X. Li, W. Lai, X. Lu, L. Meng, Z. Zhang, Y. Li, Adv</w:t>
      </w:r>
      <w:r w:rsidR="002B5145">
        <w:t>.</w:t>
      </w:r>
      <w:r>
        <w:t xml:space="preserve"> Mater</w:t>
      </w:r>
      <w:r w:rsidR="002B5145">
        <w:t>.</w:t>
      </w:r>
      <w:r>
        <w:t xml:space="preserve"> 35 (2023)</w:t>
      </w:r>
      <w:r w:rsidR="00EB3A59">
        <w:t xml:space="preserve"> </w:t>
      </w:r>
      <w:r w:rsidR="00EB3A59" w:rsidRPr="00EB3A59">
        <w:t>202211296</w:t>
      </w:r>
      <w:r>
        <w:t>.</w:t>
      </w:r>
    </w:p>
    <w:p w14:paraId="3A1252DA" w14:textId="147E692F" w:rsidR="006D2A7C" w:rsidRDefault="006D2A7C" w:rsidP="006D2A7C">
      <w:pPr>
        <w:pStyle w:val="Bibliography"/>
      </w:pPr>
      <w:r>
        <w:t>[30]</w:t>
      </w:r>
      <w:r>
        <w:tab/>
        <w:t>B. Deng, H. Lian, B. Xue, R. Song, S. Chen, Z. Wang, T. Xu, H. Dong, S. Wang, Small 19 (2023)</w:t>
      </w:r>
      <w:r w:rsidR="00EB3A59">
        <w:t xml:space="preserve"> </w:t>
      </w:r>
      <w:r w:rsidR="00EB3A59" w:rsidRPr="00EB3A59">
        <w:t>202207505</w:t>
      </w:r>
      <w:r>
        <w:t>.</w:t>
      </w:r>
    </w:p>
    <w:p w14:paraId="6C014E48" w14:textId="13EF03D1" w:rsidR="006D2A7C" w:rsidRDefault="006D2A7C" w:rsidP="006D2A7C">
      <w:pPr>
        <w:pStyle w:val="Bibliography"/>
      </w:pPr>
      <w:r>
        <w:t>[31]</w:t>
      </w:r>
      <w:r>
        <w:tab/>
        <w:t>Y. Cui, Z. Chen, P. Zhu, W. Ma, H. Zhu, X. Liao, Y. Chen, Sci</w:t>
      </w:r>
      <w:r w:rsidR="002B5145">
        <w:t>.</w:t>
      </w:r>
      <w:r>
        <w:t xml:space="preserve"> China Chem</w:t>
      </w:r>
      <w:r w:rsidR="002B5145">
        <w:t>.</w:t>
      </w:r>
      <w:r>
        <w:t xml:space="preserve"> 66 (2023) 1179</w:t>
      </w:r>
      <w:r w:rsidR="00EB3A59">
        <w:t>-</w:t>
      </w:r>
      <w:r>
        <w:t>1189.</w:t>
      </w:r>
    </w:p>
    <w:p w14:paraId="09251F3D" w14:textId="5DD44FF8" w:rsidR="006D2A7C" w:rsidRDefault="006D2A7C" w:rsidP="006D2A7C">
      <w:pPr>
        <w:pStyle w:val="Bibliography"/>
      </w:pPr>
      <w:r>
        <w:t>[32]</w:t>
      </w:r>
      <w:r>
        <w:tab/>
        <w:t>M. Liu, X. Ge, X. Jiang, F. Guo, S. Gao, Q. Peng, L. Zhao, Y. Zhang, Adv</w:t>
      </w:r>
      <w:r w:rsidR="002B5145">
        <w:t xml:space="preserve">. </w:t>
      </w:r>
      <w:r>
        <w:t>Funct</w:t>
      </w:r>
      <w:r w:rsidR="002B5145">
        <w:t xml:space="preserve">. </w:t>
      </w:r>
      <w:r>
        <w:t>Mater</w:t>
      </w:r>
      <w:r w:rsidR="002B5145">
        <w:t xml:space="preserve">. </w:t>
      </w:r>
      <w:r>
        <w:t>33 (2023)</w:t>
      </w:r>
      <w:r w:rsidR="00EB3A59">
        <w:t xml:space="preserve"> </w:t>
      </w:r>
      <w:r w:rsidR="00EB3A59" w:rsidRPr="00EB3A59">
        <w:t>202300214</w:t>
      </w:r>
      <w:r>
        <w:t>.</w:t>
      </w:r>
    </w:p>
    <w:p w14:paraId="702C1D08" w14:textId="043736C2" w:rsidR="006D2A7C" w:rsidRDefault="006D2A7C" w:rsidP="006D2A7C">
      <w:pPr>
        <w:pStyle w:val="Bibliography"/>
      </w:pPr>
      <w:r>
        <w:t>[33]</w:t>
      </w:r>
      <w:r>
        <w:tab/>
        <w:t>M. Li, Z. Peng, K. Xian, W. Zhao, C. Liu, Y. Chen, C. Cui, L. Ye, J</w:t>
      </w:r>
      <w:r w:rsidR="002B5145">
        <w:t xml:space="preserve">. </w:t>
      </w:r>
      <w:r>
        <w:t>Mater</w:t>
      </w:r>
      <w:r w:rsidR="002B5145">
        <w:t>.</w:t>
      </w:r>
      <w:r>
        <w:t xml:space="preserve"> Chem</w:t>
      </w:r>
      <w:r w:rsidR="002B5145">
        <w:t>.</w:t>
      </w:r>
      <w:r>
        <w:t xml:space="preserve"> A 11 (2023) 5606</w:t>
      </w:r>
      <w:r w:rsidR="00EB3A59">
        <w:t>-</w:t>
      </w:r>
      <w:r>
        <w:t>5614.</w:t>
      </w:r>
    </w:p>
    <w:p w14:paraId="6762ACBF" w14:textId="2309732C" w:rsidR="006D2A7C" w:rsidRDefault="006D2A7C" w:rsidP="006D2A7C">
      <w:pPr>
        <w:pStyle w:val="Bibliography"/>
      </w:pPr>
      <w:r>
        <w:t>[34]</w:t>
      </w:r>
      <w:r>
        <w:tab/>
        <w:t>R. Agneeswari, D. Kim, V. Tamilavan, C.-G. Shin, S.H. Park, Y. Jin, Mol</w:t>
      </w:r>
      <w:r w:rsidR="00F75B70">
        <w:t>.</w:t>
      </w:r>
      <w:r>
        <w:t xml:space="preserve"> Cryst</w:t>
      </w:r>
      <w:r w:rsidR="00F75B70">
        <w:t>.</w:t>
      </w:r>
      <w:r>
        <w:t xml:space="preserve"> Liq</w:t>
      </w:r>
      <w:r w:rsidR="00F75B70">
        <w:t xml:space="preserve">. </w:t>
      </w:r>
      <w:r>
        <w:t>Cryst</w:t>
      </w:r>
      <w:r w:rsidR="00F75B70">
        <w:t>.</w:t>
      </w:r>
      <w:r>
        <w:t xml:space="preserve"> 762 (2023) 29</w:t>
      </w:r>
      <w:r w:rsidR="00EB3A59">
        <w:t>-</w:t>
      </w:r>
      <w:r>
        <w:t>40.</w:t>
      </w:r>
    </w:p>
    <w:p w14:paraId="4F8A0A81" w14:textId="2936998E" w:rsidR="006D2A7C" w:rsidRDefault="006D2A7C" w:rsidP="006D2A7C">
      <w:pPr>
        <w:pStyle w:val="Bibliography"/>
      </w:pPr>
      <w:r>
        <w:t>[35]</w:t>
      </w:r>
      <w:r>
        <w:tab/>
        <w:t>L. Wang, L. Zhang, S. Kim, T. Wang, Z. Yuan, C. Yang, Y. Hu, X. Zhao, Y. Chen, Small 19 (2023)</w:t>
      </w:r>
      <w:r w:rsidR="00EB3A59">
        <w:t xml:space="preserve"> </w:t>
      </w:r>
      <w:r w:rsidR="00EB3A59" w:rsidRPr="00EB3A59">
        <w:t>202206607</w:t>
      </w:r>
      <w:r>
        <w:t>.</w:t>
      </w:r>
    </w:p>
    <w:p w14:paraId="7DC1DF03" w14:textId="3AD45CD1" w:rsidR="006D2A7C" w:rsidRDefault="006D2A7C" w:rsidP="006D2A7C">
      <w:pPr>
        <w:pStyle w:val="Bibliography"/>
      </w:pPr>
      <w:r>
        <w:t>[36]</w:t>
      </w:r>
      <w:r>
        <w:tab/>
        <w:t>Z. Ding, Y. Zhang, Y. Su, Y. Wu, Y. Han, K. Zhao, S. Liu, Energy Environ</w:t>
      </w:r>
      <w:r w:rsidR="00F75B70">
        <w:t>.</w:t>
      </w:r>
      <w:r>
        <w:t xml:space="preserve"> Mater</w:t>
      </w:r>
      <w:r w:rsidR="00F75B70">
        <w:t>.</w:t>
      </w:r>
      <w:r>
        <w:t xml:space="preserve"> 6 (2023)</w:t>
      </w:r>
      <w:r w:rsidR="00EB3A59">
        <w:t xml:space="preserve"> </w:t>
      </w:r>
      <w:r w:rsidR="00EB3A59" w:rsidRPr="00B452EB">
        <w:t>12421</w:t>
      </w:r>
      <w:r>
        <w:t>.</w:t>
      </w:r>
    </w:p>
    <w:p w14:paraId="1195625D" w14:textId="6107DADC" w:rsidR="006D2A7C" w:rsidRDefault="006D2A7C" w:rsidP="006D2A7C">
      <w:pPr>
        <w:pStyle w:val="Bibliography"/>
      </w:pPr>
      <w:r>
        <w:t>[37]</w:t>
      </w:r>
      <w:r>
        <w:tab/>
        <w:t>Y. Wang, T. Huang, D. Wang, H. Guan, S. Geng, Z. Cao, Z. Ding, J. Li, J. Zhang, Opt</w:t>
      </w:r>
      <w:r w:rsidR="00F75B70">
        <w:t xml:space="preserve">. </w:t>
      </w:r>
      <w:r>
        <w:t>Mater</w:t>
      </w:r>
      <w:r w:rsidR="00F75B70">
        <w:t>.</w:t>
      </w:r>
      <w:r>
        <w:t xml:space="preserve"> 135 (2023)</w:t>
      </w:r>
      <w:r w:rsidR="00EB3A59">
        <w:t xml:space="preserve"> </w:t>
      </w:r>
      <w:r w:rsidR="00EB3A59" w:rsidRPr="00EB3A59">
        <w:t>113382</w:t>
      </w:r>
      <w:r>
        <w:t>.</w:t>
      </w:r>
    </w:p>
    <w:p w14:paraId="2AEB4F65" w14:textId="2FE06CFD" w:rsidR="006D2A7C" w:rsidRDefault="006D2A7C" w:rsidP="006D2A7C">
      <w:pPr>
        <w:pStyle w:val="Bibliography"/>
      </w:pPr>
      <w:r>
        <w:t>[38]</w:t>
      </w:r>
      <w:r>
        <w:tab/>
        <w:t>K. Xian, S. Zhang, Y. Xu, J. Liu, K. Zhou, Z. Peng, M. Li, W. Zhao, Y. Chen, Z. Fei, J. Hou, Y. Geng, L. Ye, Sci</w:t>
      </w:r>
      <w:r w:rsidR="00F75B70">
        <w:t>.</w:t>
      </w:r>
      <w:r>
        <w:t xml:space="preserve"> China Chem</w:t>
      </w:r>
      <w:r w:rsidR="00F75B70">
        <w:t>.</w:t>
      </w:r>
      <w:r>
        <w:t xml:space="preserve"> 66 (2023) 202</w:t>
      </w:r>
      <w:r w:rsidR="00EB3A59">
        <w:t>-</w:t>
      </w:r>
      <w:r>
        <w:t>215.</w:t>
      </w:r>
    </w:p>
    <w:p w14:paraId="2051A5B8" w14:textId="6B963E2B" w:rsidR="006D2A7C" w:rsidRDefault="006D2A7C" w:rsidP="006D2A7C">
      <w:pPr>
        <w:pStyle w:val="Bibliography"/>
      </w:pPr>
      <w:r>
        <w:t>[39]</w:t>
      </w:r>
      <w:r>
        <w:tab/>
        <w:t xml:space="preserve">S. Zhang, X. Ma, L. Niu, S.Y. Jeong, H.Y. Woo, Z. Zhou, F. Zhang, </w:t>
      </w:r>
      <w:r w:rsidR="003B6C96" w:rsidRPr="003B6C96">
        <w:t>Sol. RRL</w:t>
      </w:r>
      <w:r>
        <w:t xml:space="preserve"> 7 (2023)</w:t>
      </w:r>
      <w:r w:rsidR="00EB3A59">
        <w:t xml:space="preserve"> </w:t>
      </w:r>
      <w:r w:rsidR="00EB3A59" w:rsidRPr="00EB3A59">
        <w:t>202200957</w:t>
      </w:r>
      <w:r>
        <w:t>.</w:t>
      </w:r>
    </w:p>
    <w:p w14:paraId="774F3704" w14:textId="09407D91" w:rsidR="006D2A7C" w:rsidRDefault="006D2A7C" w:rsidP="006D2A7C">
      <w:pPr>
        <w:pStyle w:val="Bibliography"/>
      </w:pPr>
      <w:r>
        <w:t>[40]</w:t>
      </w:r>
      <w:r>
        <w:tab/>
        <w:t>H. Dahiya, R. Suthar, M.K. Singh, R. Singhal, S. Karak, G.D. Sharma, ACS Applied Energy Mater</w:t>
      </w:r>
      <w:r w:rsidR="00F75B70">
        <w:t xml:space="preserve">. </w:t>
      </w:r>
      <w:r>
        <w:t>6 (2023) 3442</w:t>
      </w:r>
      <w:r w:rsidR="00EB3A59">
        <w:t>-</w:t>
      </w:r>
      <w:r>
        <w:t>3451.</w:t>
      </w:r>
    </w:p>
    <w:p w14:paraId="34FE96FB" w14:textId="7C7F60FC" w:rsidR="006D2A7C" w:rsidRDefault="006D2A7C" w:rsidP="006D2A7C">
      <w:pPr>
        <w:pStyle w:val="Bibliography"/>
      </w:pPr>
      <w:r>
        <w:t>[41]</w:t>
      </w:r>
      <w:r>
        <w:tab/>
        <w:t>S. Tian, T. Huang, F. Han, F. Wang, Z. Tan, Y. Bai, Org</w:t>
      </w:r>
      <w:r w:rsidR="003674AB">
        <w:t>.</w:t>
      </w:r>
      <w:r>
        <w:t xml:space="preserve"> Electron</w:t>
      </w:r>
      <w:r w:rsidR="003674AB">
        <w:t>.</w:t>
      </w:r>
      <w:r>
        <w:t xml:space="preserve"> 113 (2023)</w:t>
      </w:r>
      <w:r w:rsidR="00EB3A59">
        <w:t xml:space="preserve"> </w:t>
      </w:r>
      <w:r w:rsidR="00EB3A59" w:rsidRPr="00EB3A59">
        <w:t>106714</w:t>
      </w:r>
      <w:r>
        <w:t>.</w:t>
      </w:r>
    </w:p>
    <w:p w14:paraId="25F2DED9" w14:textId="789E32A6" w:rsidR="006D2A7C" w:rsidRDefault="006D2A7C" w:rsidP="006D2A7C">
      <w:pPr>
        <w:pStyle w:val="Bibliography"/>
      </w:pPr>
      <w:r>
        <w:t>[42]</w:t>
      </w:r>
      <w:r>
        <w:tab/>
        <w:t>T. Gokulnath, J. Kim, H. Kim, J. Park, D. Song, H.-Y. Park, R. Kumaresan, Y.Y. Kim, J. Yoon, S.-H. Jin, ACS Appl</w:t>
      </w:r>
      <w:r w:rsidR="003674AB">
        <w:t>.</w:t>
      </w:r>
      <w:r>
        <w:t xml:space="preserve"> Mater</w:t>
      </w:r>
      <w:r w:rsidR="003674AB">
        <w:t>.</w:t>
      </w:r>
      <w:r>
        <w:t xml:space="preserve"> Interfaces 15 (2023) 19307–19318.</w:t>
      </w:r>
    </w:p>
    <w:p w14:paraId="715BDF21" w14:textId="70C29999" w:rsidR="006D2A7C" w:rsidRDefault="006D2A7C" w:rsidP="006D2A7C">
      <w:pPr>
        <w:pStyle w:val="Bibliography"/>
      </w:pPr>
      <w:r>
        <w:t>[43]</w:t>
      </w:r>
      <w:r>
        <w:tab/>
        <w:t>C. He, Q. Shen, B. Wu, Y. Gao, S. Li, J. Min, W. Ma, L. Zuo, H. Chen, Adv</w:t>
      </w:r>
      <w:r w:rsidR="003674AB">
        <w:t>.</w:t>
      </w:r>
      <w:r>
        <w:t xml:space="preserve"> Energy</w:t>
      </w:r>
      <w:r w:rsidR="003674AB">
        <w:t xml:space="preserve"> </w:t>
      </w:r>
      <w:r>
        <w:t>Mater</w:t>
      </w:r>
      <w:r w:rsidR="003674AB">
        <w:t>.</w:t>
      </w:r>
      <w:r>
        <w:t xml:space="preserve"> 13 (2023)</w:t>
      </w:r>
      <w:r w:rsidR="00EB3A59" w:rsidRPr="00EB3A59">
        <w:t xml:space="preserve"> 202204154</w:t>
      </w:r>
      <w:r w:rsidR="00EB3A59">
        <w:t xml:space="preserve"> </w:t>
      </w:r>
      <w:r>
        <w:t>.</w:t>
      </w:r>
    </w:p>
    <w:p w14:paraId="6C8BECF2" w14:textId="273B7120" w:rsidR="006D2A7C" w:rsidRDefault="006D2A7C" w:rsidP="006D2A7C">
      <w:pPr>
        <w:pStyle w:val="Bibliography"/>
      </w:pPr>
      <w:r>
        <w:t>[44]</w:t>
      </w:r>
      <w:r>
        <w:tab/>
        <w:t xml:space="preserve">X. Wu, X. Yang, Y. Shao, Y. Gao, J. Wan, S. Ponomarenko, Y. Luponosov, R. Sun, J. Min, </w:t>
      </w:r>
      <w:r w:rsidR="003B6C96" w:rsidRPr="003B6C96">
        <w:t>Sol. RRL</w:t>
      </w:r>
      <w:r>
        <w:t xml:space="preserve"> 7 (2023)</w:t>
      </w:r>
      <w:r w:rsidR="00EB3A59">
        <w:t xml:space="preserve"> </w:t>
      </w:r>
      <w:r w:rsidR="00EB3A59" w:rsidRPr="00EB3A59">
        <w:t>202300064</w:t>
      </w:r>
      <w:r>
        <w:t>.</w:t>
      </w:r>
    </w:p>
    <w:p w14:paraId="4F0DF8C6" w14:textId="36EA2E30" w:rsidR="006D2A7C" w:rsidRDefault="006D2A7C" w:rsidP="006D2A7C">
      <w:pPr>
        <w:pStyle w:val="Bibliography"/>
      </w:pPr>
      <w:r>
        <w:t>[45]</w:t>
      </w:r>
      <w:r>
        <w:tab/>
        <w:t>Y. Shi, L. Zhu, Y. Yan, M. Xie, G. Liang, J. Qiao, J. Zhang, X. Hao, K. Lu, Z. Wei, Adv</w:t>
      </w:r>
      <w:r w:rsidR="003674AB">
        <w:t>.</w:t>
      </w:r>
      <w:r>
        <w:t xml:space="preserve"> Energy Mater</w:t>
      </w:r>
      <w:r w:rsidR="003674AB">
        <w:t xml:space="preserve">. </w:t>
      </w:r>
      <w:r>
        <w:t>13 (2023)</w:t>
      </w:r>
      <w:r w:rsidR="00EB3A59">
        <w:t xml:space="preserve"> </w:t>
      </w:r>
      <w:r w:rsidR="00EB3A59" w:rsidRPr="00EB3A59">
        <w:t>202300458</w:t>
      </w:r>
      <w:r>
        <w:t>.</w:t>
      </w:r>
    </w:p>
    <w:p w14:paraId="660D9D51" w14:textId="317CC84C" w:rsidR="006D2A7C" w:rsidRDefault="006D2A7C" w:rsidP="006D2A7C">
      <w:pPr>
        <w:pStyle w:val="Bibliography"/>
      </w:pPr>
      <w:r>
        <w:t>[46]</w:t>
      </w:r>
      <w:r>
        <w:tab/>
        <w:t>L. Zhao, X. Huang, Y. Wang, S. Young Jeong, B. Huang, J. Deng, J. Liu, Y. Cheng, H. Young Woo, F. Wu, L. Chen, L. Chen, Chem</w:t>
      </w:r>
      <w:r w:rsidR="003674AB">
        <w:t>.</w:t>
      </w:r>
      <w:r>
        <w:t xml:space="preserve"> Eng</w:t>
      </w:r>
      <w:r w:rsidR="003674AB">
        <w:t>.</w:t>
      </w:r>
      <w:r>
        <w:t xml:space="preserve"> J</w:t>
      </w:r>
      <w:r w:rsidR="003674AB">
        <w:t>.</w:t>
      </w:r>
      <w:r>
        <w:t xml:space="preserve"> 451 (2023)</w:t>
      </w:r>
      <w:r w:rsidR="00AC4550">
        <w:t xml:space="preserve"> </w:t>
      </w:r>
      <w:r w:rsidR="00AC4550" w:rsidRPr="00AC4550">
        <w:t>139081</w:t>
      </w:r>
      <w:r>
        <w:t>.</w:t>
      </w:r>
    </w:p>
    <w:p w14:paraId="33592104" w14:textId="4076BD17" w:rsidR="006D2A7C" w:rsidRDefault="006D2A7C" w:rsidP="006D2A7C">
      <w:pPr>
        <w:pStyle w:val="Bibliography"/>
      </w:pPr>
      <w:r>
        <w:t>[47]</w:t>
      </w:r>
      <w:r>
        <w:tab/>
        <w:t>D. Sun, W. Tang, J. Guo, J. Wang, Z. Ding, R. Hao, M. Zhu, Y. Liu, X. Song, W. Zhu, ACS Appl</w:t>
      </w:r>
      <w:r w:rsidR="003674AB">
        <w:t>.</w:t>
      </w:r>
      <w:r>
        <w:t xml:space="preserve"> Energy Mater</w:t>
      </w:r>
      <w:r w:rsidR="003674AB">
        <w:t>.</w:t>
      </w:r>
      <w:r>
        <w:t xml:space="preserve"> 5 (2022) 15890</w:t>
      </w:r>
      <w:r w:rsidR="00AC4550">
        <w:t>-</w:t>
      </w:r>
      <w:r>
        <w:t>15898.</w:t>
      </w:r>
    </w:p>
    <w:p w14:paraId="7D546234" w14:textId="6330EC04" w:rsidR="006D2A7C" w:rsidRDefault="006D2A7C" w:rsidP="006D2A7C">
      <w:pPr>
        <w:pStyle w:val="Bibliography"/>
      </w:pPr>
      <w:r>
        <w:lastRenderedPageBreak/>
        <w:t>[48]</w:t>
      </w:r>
      <w:r>
        <w:tab/>
        <w:t>B.-H. Jiang, Y.-C. You, D.-W. Lin, C.-P. Chen, K.-T. Wong, ACS Appl</w:t>
      </w:r>
      <w:r w:rsidR="003674AB">
        <w:t>.</w:t>
      </w:r>
      <w:r>
        <w:t xml:space="preserve"> Energy Mater</w:t>
      </w:r>
      <w:r w:rsidR="003674AB">
        <w:t xml:space="preserve">. </w:t>
      </w:r>
      <w:r>
        <w:t>5 (2022) 15423</w:t>
      </w:r>
      <w:r w:rsidR="00AC4550">
        <w:t>-</w:t>
      </w:r>
      <w:r>
        <w:t>15433.</w:t>
      </w:r>
    </w:p>
    <w:p w14:paraId="2948573C" w14:textId="75D139B5" w:rsidR="006D2A7C" w:rsidRDefault="006D2A7C" w:rsidP="006D2A7C">
      <w:pPr>
        <w:pStyle w:val="Bibliography"/>
      </w:pPr>
      <w:r>
        <w:t>[49]</w:t>
      </w:r>
      <w:r>
        <w:tab/>
        <w:t>H. Gao, R. Yu, Y. Gong, Z. Ma, Z. He, Y. Dong, K. Xu, Y. Bai, Z. Tan, Small 18 (2022)</w:t>
      </w:r>
      <w:r w:rsidR="00AC4550">
        <w:t xml:space="preserve"> </w:t>
      </w:r>
      <w:r w:rsidR="00AC4550" w:rsidRPr="00AC4550">
        <w:t>202205128</w:t>
      </w:r>
      <w:r>
        <w:t>.</w:t>
      </w:r>
    </w:p>
    <w:p w14:paraId="57475377" w14:textId="175DD427" w:rsidR="006D2A7C" w:rsidRDefault="006D2A7C" w:rsidP="006D2A7C">
      <w:pPr>
        <w:pStyle w:val="Bibliography"/>
      </w:pPr>
      <w:r>
        <w:t>[50]</w:t>
      </w:r>
      <w:r>
        <w:tab/>
        <w:t>Y. Lin, Y. Zhang, J. Zhang, M. Marcinskas, T. Malinauskas, A. Magomedov, M.I. Nugraha, D. Kaltsas, D.R. Naphade, G.T. Harrison, A. El-Labban, S. Barlow, S. De Wolf, E. Wang, I. McCulloch, L. Tsetseris, V. Getautis, S.R. Marder, T.D. Anthopoulos, Adv</w:t>
      </w:r>
      <w:r w:rsidR="003674AB">
        <w:t xml:space="preserve">. </w:t>
      </w:r>
      <w:r>
        <w:t>Energy Mater</w:t>
      </w:r>
      <w:r w:rsidR="003674AB">
        <w:t>.</w:t>
      </w:r>
      <w:r>
        <w:t>12 (2022)</w:t>
      </w:r>
      <w:r w:rsidR="00AC4550" w:rsidRPr="00AC4550">
        <w:t xml:space="preserve"> 202202503</w:t>
      </w:r>
      <w:r w:rsidR="00AC4550">
        <w:t xml:space="preserve"> </w:t>
      </w:r>
      <w:r>
        <w:t>.</w:t>
      </w:r>
    </w:p>
    <w:p w14:paraId="6659DEAF" w14:textId="2F51A7FF" w:rsidR="006D2A7C" w:rsidRDefault="006D2A7C" w:rsidP="006D2A7C">
      <w:pPr>
        <w:pStyle w:val="Bibliography"/>
      </w:pPr>
      <w:r>
        <w:t>[51]</w:t>
      </w:r>
      <w:r>
        <w:tab/>
        <w:t>T. Gokulnath, R. Durga Gayathri, H.-Y. Park, J. Kim, H. Kim, J. Kim, S. Sudhaker Reddy, J. Yoon, S.-H. Jin, Chem</w:t>
      </w:r>
      <w:r w:rsidR="003674AB">
        <w:t>.</w:t>
      </w:r>
      <w:r>
        <w:t xml:space="preserve"> Eng</w:t>
      </w:r>
      <w:r w:rsidR="003674AB">
        <w:t>.</w:t>
      </w:r>
      <w:r>
        <w:t xml:space="preserve"> J</w:t>
      </w:r>
      <w:r w:rsidR="003674AB">
        <w:t>.</w:t>
      </w:r>
      <w:r>
        <w:t xml:space="preserve"> 448 (2022)</w:t>
      </w:r>
      <w:r w:rsidR="00AC4550">
        <w:t xml:space="preserve"> </w:t>
      </w:r>
      <w:r w:rsidR="00AC4550" w:rsidRPr="00AC4550">
        <w:t>137621</w:t>
      </w:r>
      <w:r>
        <w:t>.</w:t>
      </w:r>
    </w:p>
    <w:p w14:paraId="20C0D357" w14:textId="2C093EC5" w:rsidR="006D2A7C" w:rsidRDefault="006D2A7C" w:rsidP="006D2A7C">
      <w:pPr>
        <w:pStyle w:val="Bibliography"/>
      </w:pPr>
      <w:r>
        <w:t>[52]</w:t>
      </w:r>
      <w:r>
        <w:tab/>
        <w:t>Y. Yue, B. Zheng, J. Ni, W. Yang, L. Huo, J. Wang, L. Jiang, Adv</w:t>
      </w:r>
      <w:r w:rsidR="003674AB">
        <w:t>.</w:t>
      </w:r>
      <w:r>
        <w:t xml:space="preserve"> Sci</w:t>
      </w:r>
      <w:r w:rsidR="003674AB">
        <w:t>.</w:t>
      </w:r>
      <w:r>
        <w:t xml:space="preserve"> 9 (2022)</w:t>
      </w:r>
      <w:r w:rsidR="00AC4550">
        <w:t xml:space="preserve"> </w:t>
      </w:r>
      <w:r w:rsidR="00AC4550" w:rsidRPr="00AC4550">
        <w:t>202204030</w:t>
      </w:r>
      <w:r>
        <w:t>.</w:t>
      </w:r>
    </w:p>
    <w:p w14:paraId="20787C6F" w14:textId="7D26D3AD" w:rsidR="006D2A7C" w:rsidRDefault="006D2A7C" w:rsidP="006D2A7C">
      <w:pPr>
        <w:pStyle w:val="Bibliography"/>
      </w:pPr>
      <w:r>
        <w:t>[53]</w:t>
      </w:r>
      <w:r>
        <w:tab/>
        <w:t>S. Zhang, F. Bi, J. Han, C. Shang, X. Kang, X. Bao, Nano Energy 102 (2022)</w:t>
      </w:r>
      <w:r w:rsidR="00AC4550">
        <w:t xml:space="preserve"> </w:t>
      </w:r>
      <w:r w:rsidR="00AC4550" w:rsidRPr="00AC4550">
        <w:t>107742</w:t>
      </w:r>
      <w:r>
        <w:t>.</w:t>
      </w:r>
    </w:p>
    <w:p w14:paraId="494A8145" w14:textId="5E751537" w:rsidR="006D2A7C" w:rsidRDefault="006D2A7C" w:rsidP="006D2A7C">
      <w:pPr>
        <w:pStyle w:val="Bibliography"/>
      </w:pPr>
      <w:r>
        <w:t>[54]</w:t>
      </w:r>
      <w:r>
        <w:tab/>
        <w:t>X. Liu, Z. Liu, M. Chen, Q. Wang, F. Pan, H. Liu, L. Zhang, J. Chen, Macromol</w:t>
      </w:r>
      <w:r w:rsidR="003674AB">
        <w:t>.</w:t>
      </w:r>
      <w:r>
        <w:t xml:space="preserve"> Rapid Commun</w:t>
      </w:r>
      <w:r w:rsidR="003674AB">
        <w:t>.</w:t>
      </w:r>
      <w:r>
        <w:t xml:space="preserve"> 43 (2022)</w:t>
      </w:r>
      <w:r w:rsidR="00AC4550">
        <w:t xml:space="preserve"> </w:t>
      </w:r>
      <w:r w:rsidR="00AC4550" w:rsidRPr="00AC4550">
        <w:t>202200199</w:t>
      </w:r>
      <w:r>
        <w:t>.</w:t>
      </w:r>
    </w:p>
    <w:p w14:paraId="4A4E10D4" w14:textId="60BE2469" w:rsidR="006D2A7C" w:rsidRDefault="006D2A7C" w:rsidP="006D2A7C">
      <w:pPr>
        <w:pStyle w:val="Bibliography"/>
      </w:pPr>
      <w:r>
        <w:t>[55]</w:t>
      </w:r>
      <w:r>
        <w:tab/>
        <w:t>Y. Sun, R. Ma, Y. Kan, T. Liu, K. Zhou, P. Liu, J. Fang, Y. Chen, L. Ye, C. Ma, H. Yan, K. Gao, Macromol</w:t>
      </w:r>
      <w:r w:rsidR="003674AB">
        <w:t>.</w:t>
      </w:r>
      <w:r>
        <w:t xml:space="preserve"> Rapid Commun</w:t>
      </w:r>
      <w:r w:rsidR="003674AB">
        <w:t>.</w:t>
      </w:r>
      <w:r>
        <w:t xml:space="preserve"> 43 (2022)</w:t>
      </w:r>
      <w:r w:rsidR="00AC4550">
        <w:t xml:space="preserve"> </w:t>
      </w:r>
      <w:r w:rsidR="00AC4550" w:rsidRPr="00AC4550">
        <w:t>202200139</w:t>
      </w:r>
      <w:r>
        <w:t>.</w:t>
      </w:r>
    </w:p>
    <w:p w14:paraId="2FE869E9" w14:textId="13C434F3" w:rsidR="006D2A7C" w:rsidRDefault="006D2A7C" w:rsidP="006D2A7C">
      <w:pPr>
        <w:pStyle w:val="Bibliography"/>
      </w:pPr>
      <w:r>
        <w:t>[56]</w:t>
      </w:r>
      <w:r>
        <w:tab/>
        <w:t>P. Xue, A.M. Calascibetta, K. Chen, K.E. Thorn, Y. Jiang, J. Shi, B. Jia, M. Li, J. Xin, G. Cai, R. Yang, H. Lu, S. Mattiello, Y. Liu, Z. Tang, W. Ma, X. Lu, Q. Meng, J.M. Hodgkiss, L. Beverina, R.P.S. Han, X. Zhan, J</w:t>
      </w:r>
      <w:r w:rsidR="003674AB">
        <w:t>.</w:t>
      </w:r>
      <w:r>
        <w:t xml:space="preserve"> Mater</w:t>
      </w:r>
      <w:r w:rsidR="003674AB">
        <w:t xml:space="preserve">. </w:t>
      </w:r>
      <w:r>
        <w:t>Chem</w:t>
      </w:r>
      <w:r w:rsidR="003674AB">
        <w:t>.</w:t>
      </w:r>
      <w:r>
        <w:t xml:space="preserve"> A 10 (2022) 24073</w:t>
      </w:r>
      <w:r w:rsidR="00AC4550">
        <w:t>-</w:t>
      </w:r>
      <w:r>
        <w:t>24083.</w:t>
      </w:r>
    </w:p>
    <w:p w14:paraId="0233E1C5" w14:textId="6AD208BE" w:rsidR="006D2A7C" w:rsidRDefault="006D2A7C" w:rsidP="006D2A7C">
      <w:pPr>
        <w:pStyle w:val="Bibliography"/>
      </w:pPr>
      <w:r>
        <w:t>[57]</w:t>
      </w:r>
      <w:r>
        <w:tab/>
        <w:t>D. Li, H. Lu, Y.-N. Chen, X. Ma, H. Zhang, H. Wang, X. Yu, X. Xu, Z. Zhang, X. Xu, Y. Liu, Z. Ma, A. Zhang, Z. Bo, Chem</w:t>
      </w:r>
      <w:r w:rsidR="003674AB">
        <w:t>.</w:t>
      </w:r>
      <w:r>
        <w:t xml:space="preserve"> Mater</w:t>
      </w:r>
      <w:r w:rsidR="003674AB">
        <w:t>.</w:t>
      </w:r>
      <w:r>
        <w:t xml:space="preserve"> 34 (2022) 8840</w:t>
      </w:r>
      <w:r w:rsidR="00AC4550">
        <w:t>-</w:t>
      </w:r>
      <w:r>
        <w:t>8848.</w:t>
      </w:r>
    </w:p>
    <w:p w14:paraId="1B68F90B" w14:textId="1CF1F238" w:rsidR="006D2A7C" w:rsidRDefault="006D2A7C" w:rsidP="006D2A7C">
      <w:pPr>
        <w:pStyle w:val="Bibliography"/>
      </w:pPr>
      <w:r>
        <w:t>[58]</w:t>
      </w:r>
      <w:r>
        <w:tab/>
        <w:t>S. Park, C.E. Song, D.H. Ryu, D. Oh, J. Kim, I.-N. Kang, Polymer 257 (2022)</w:t>
      </w:r>
      <w:r w:rsidR="00AC4550">
        <w:t xml:space="preserve"> </w:t>
      </w:r>
      <w:r w:rsidR="00AC4550" w:rsidRPr="00AC4550">
        <w:t>125267</w:t>
      </w:r>
      <w:r>
        <w:t>.</w:t>
      </w:r>
    </w:p>
    <w:p w14:paraId="2526D080" w14:textId="3AE78FDE" w:rsidR="006D2A7C" w:rsidRDefault="006D2A7C" w:rsidP="006D2A7C">
      <w:pPr>
        <w:pStyle w:val="Bibliography"/>
      </w:pPr>
      <w:r>
        <w:t>[59]</w:t>
      </w:r>
      <w:r>
        <w:tab/>
        <w:t>C. Zhang, J. Li, L. Ji, H. Hu, G. Li, K. Wang, J</w:t>
      </w:r>
      <w:r w:rsidR="003674AB">
        <w:t>.</w:t>
      </w:r>
      <w:r>
        <w:t xml:space="preserve"> Mater</w:t>
      </w:r>
      <w:r w:rsidR="003674AB">
        <w:t>.</w:t>
      </w:r>
      <w:r>
        <w:t xml:space="preserve"> Chem</w:t>
      </w:r>
      <w:r w:rsidR="003674AB">
        <w:t>.</w:t>
      </w:r>
      <w:r>
        <w:t xml:space="preserve"> A 10 (2022) 22812</w:t>
      </w:r>
      <w:r w:rsidR="00AC4550">
        <w:t>-</w:t>
      </w:r>
      <w:r>
        <w:t>22818.</w:t>
      </w:r>
    </w:p>
    <w:p w14:paraId="5D197D23" w14:textId="583FD49F" w:rsidR="006D2A7C" w:rsidRDefault="006D2A7C" w:rsidP="006D2A7C">
      <w:pPr>
        <w:pStyle w:val="Bibliography"/>
      </w:pPr>
      <w:r>
        <w:t>[60]</w:t>
      </w:r>
      <w:r>
        <w:tab/>
        <w:t>Y. Yan, X. Zhou, F. Zhang, J. Zhou, T. lin, Y. Zhu, D. Xu, X. Ma, Y. Zou, X. Li, J</w:t>
      </w:r>
      <w:r w:rsidR="003674AB">
        <w:t>.</w:t>
      </w:r>
      <w:r>
        <w:t xml:space="preserve"> Mater</w:t>
      </w:r>
      <w:r w:rsidR="003674AB">
        <w:t>.</w:t>
      </w:r>
      <w:r>
        <w:t xml:space="preserve"> Chem</w:t>
      </w:r>
      <w:r w:rsidR="003674AB">
        <w:t>.</w:t>
      </w:r>
      <w:r>
        <w:t xml:space="preserve"> A 10 (2022) 23124</w:t>
      </w:r>
      <w:r w:rsidR="00AC4550">
        <w:t>-</w:t>
      </w:r>
      <w:r>
        <w:t>23133.</w:t>
      </w:r>
    </w:p>
    <w:p w14:paraId="35E2A239" w14:textId="1D6754F4" w:rsidR="006D2A7C" w:rsidRDefault="006D2A7C" w:rsidP="006D2A7C">
      <w:pPr>
        <w:pStyle w:val="Bibliography"/>
      </w:pPr>
      <w:r>
        <w:t>[61]</w:t>
      </w:r>
      <w:r>
        <w:tab/>
        <w:t>J. Han, H. Xu, S.H.K. Paleti, Y. Wen, J. Wang, Y. Wu, F. Bao, C. Yang, X. Li, X. Jian, J. Wang, S. Karuthedath, J. Gorenflot, F. Laquai, D. Baran, X. Bao, ACS Energy Lett</w:t>
      </w:r>
      <w:r w:rsidR="003674AB">
        <w:t xml:space="preserve">. </w:t>
      </w:r>
      <w:r>
        <w:t>(2022) 2927</w:t>
      </w:r>
      <w:r w:rsidR="00AC4550">
        <w:t>-</w:t>
      </w:r>
      <w:r>
        <w:t>2936.</w:t>
      </w:r>
    </w:p>
    <w:p w14:paraId="52763DDF" w14:textId="201011AD" w:rsidR="006D2A7C" w:rsidRDefault="006D2A7C" w:rsidP="006D2A7C">
      <w:pPr>
        <w:pStyle w:val="Bibliography"/>
      </w:pPr>
      <w:r>
        <w:t>[62]</w:t>
      </w:r>
      <w:r>
        <w:tab/>
        <w:t xml:space="preserve">Z. Qi, H. Yu, J. Yu, H. Zhao, C. Zhao, L. Chen, C. Li, W. Ma, F. Gao, G. Zhang, H. Yan, </w:t>
      </w:r>
      <w:r w:rsidR="003B6C96" w:rsidRPr="003B6C96">
        <w:t>Sol. RRL</w:t>
      </w:r>
      <w:r>
        <w:t xml:space="preserve"> (2022)</w:t>
      </w:r>
      <w:r w:rsidR="00AC4550">
        <w:t xml:space="preserve"> </w:t>
      </w:r>
      <w:r w:rsidR="00AC4550" w:rsidRPr="00AC4550">
        <w:t>202200386</w:t>
      </w:r>
      <w:r>
        <w:t>.</w:t>
      </w:r>
    </w:p>
    <w:p w14:paraId="1D3073B3" w14:textId="69A63DD6" w:rsidR="006D2A7C" w:rsidRDefault="006D2A7C" w:rsidP="006D2A7C">
      <w:pPr>
        <w:pStyle w:val="Bibliography"/>
      </w:pPr>
      <w:r>
        <w:t>[63]</w:t>
      </w:r>
      <w:r>
        <w:tab/>
        <w:t>X. Xu, C. Sun, J. Jing, T. Niu, X. Wu, K. Zhang, F. Huang, Q. Xu, J. Yuan, X. Lu, Y. Zhou, Y. Zou, ACS Appl</w:t>
      </w:r>
      <w:r w:rsidR="003674AB">
        <w:t>.</w:t>
      </w:r>
      <w:r>
        <w:t xml:space="preserve"> Mater</w:t>
      </w:r>
      <w:r w:rsidR="003674AB">
        <w:t>.</w:t>
      </w:r>
      <w:r>
        <w:t xml:space="preserve"> Interfaces 14 (2022) 36582</w:t>
      </w:r>
      <w:r w:rsidR="00AC4550">
        <w:t>-</w:t>
      </w:r>
      <w:r>
        <w:t>36591.</w:t>
      </w:r>
    </w:p>
    <w:p w14:paraId="66D34BC7" w14:textId="6AA86511" w:rsidR="006D2A7C" w:rsidRDefault="006D2A7C" w:rsidP="006D2A7C">
      <w:pPr>
        <w:pStyle w:val="Bibliography"/>
      </w:pPr>
      <w:r>
        <w:t>[64]</w:t>
      </w:r>
      <w:r>
        <w:tab/>
        <w:t>A. Lan, Y. Lv, J. Zhu, H. Lu, H. Do, Z.-K. Chen, J. Zhou, H. Wang, F. Chen, E. Zhou, ACS Energy Lett</w:t>
      </w:r>
      <w:r w:rsidR="003674AB">
        <w:t xml:space="preserve">. </w:t>
      </w:r>
      <w:r>
        <w:t>7 (2022) 2845</w:t>
      </w:r>
      <w:r w:rsidR="00AC4550">
        <w:t>-</w:t>
      </w:r>
      <w:r>
        <w:t>2855.</w:t>
      </w:r>
    </w:p>
    <w:p w14:paraId="530F0282" w14:textId="359768D3" w:rsidR="006D2A7C" w:rsidRPr="00EF3C4D" w:rsidRDefault="006D2A7C" w:rsidP="006D2A7C">
      <w:pPr>
        <w:pStyle w:val="Bibliography"/>
      </w:pPr>
      <w:r w:rsidRPr="00EF3C4D">
        <w:t>[65]</w:t>
      </w:r>
      <w:r w:rsidRPr="00EF3C4D">
        <w:tab/>
        <w:t>P. Wang, Y. Li, C. Han, J. Wang, F. Bi, N. Zheng, J. Yang, J. Wang, X. Bao, J</w:t>
      </w:r>
      <w:r w:rsidR="003674AB" w:rsidRPr="00EF3C4D">
        <w:t xml:space="preserve">. </w:t>
      </w:r>
      <w:r w:rsidRPr="00EF3C4D">
        <w:t>Mater</w:t>
      </w:r>
      <w:r w:rsidR="003674AB" w:rsidRPr="00EF3C4D">
        <w:t>.</w:t>
      </w:r>
      <w:r w:rsidRPr="00EF3C4D">
        <w:t xml:space="preserve"> Chem</w:t>
      </w:r>
      <w:r w:rsidR="003674AB" w:rsidRPr="00EF3C4D">
        <w:t>.</w:t>
      </w:r>
      <w:r w:rsidRPr="00EF3C4D">
        <w:t xml:space="preserve"> A (2022)</w:t>
      </w:r>
      <w:r w:rsidR="00EF3C4D" w:rsidRPr="00EF3C4D">
        <w:t xml:space="preserve"> 17808-17816</w:t>
      </w:r>
      <w:r w:rsidRPr="00EF3C4D">
        <w:t>.</w:t>
      </w:r>
    </w:p>
    <w:p w14:paraId="01E020AE" w14:textId="34BD0C80" w:rsidR="006D2A7C" w:rsidRDefault="006D2A7C" w:rsidP="006D2A7C">
      <w:pPr>
        <w:pStyle w:val="Bibliography"/>
      </w:pPr>
      <w:r>
        <w:t>[66]</w:t>
      </w:r>
      <w:r>
        <w:tab/>
        <w:t>J. Wang, C. Han, J. Han, F. Bi, X. Sun, S. Wen, C. Yang, C. Yang, X. Bao, J. Chu, Adv</w:t>
      </w:r>
      <w:r w:rsidR="003674AB">
        <w:t>.</w:t>
      </w:r>
      <w:r>
        <w:t xml:space="preserve"> Energy Mater</w:t>
      </w:r>
      <w:r w:rsidR="003674AB">
        <w:t>.</w:t>
      </w:r>
      <w:r>
        <w:t xml:space="preserve"> 12 (2022)</w:t>
      </w:r>
      <w:r w:rsidR="00AC4550">
        <w:t xml:space="preserve"> </w:t>
      </w:r>
      <w:r w:rsidR="00AC4550" w:rsidRPr="00AC4550">
        <w:t>202201614</w:t>
      </w:r>
      <w:r>
        <w:t>.</w:t>
      </w:r>
    </w:p>
    <w:p w14:paraId="0E525276" w14:textId="3EF4613D" w:rsidR="006D2A7C" w:rsidRDefault="006D2A7C" w:rsidP="006D2A7C">
      <w:pPr>
        <w:pStyle w:val="Bibliography"/>
      </w:pPr>
      <w:r>
        <w:t>[67]</w:t>
      </w:r>
      <w:r>
        <w:tab/>
        <w:t>M. Deng, H. Meng, X. Xu, J. Tang, L. Yu, R. Li, Q. Peng, Chem</w:t>
      </w:r>
      <w:r w:rsidR="003674AB">
        <w:t>.</w:t>
      </w:r>
      <w:r>
        <w:t xml:space="preserve"> Eng</w:t>
      </w:r>
      <w:r w:rsidR="003674AB">
        <w:t>.</w:t>
      </w:r>
      <w:r>
        <w:t xml:space="preserve"> J</w:t>
      </w:r>
      <w:r w:rsidR="003674AB">
        <w:t>.</w:t>
      </w:r>
      <w:r>
        <w:t xml:space="preserve"> 440 (2022)</w:t>
      </w:r>
      <w:r w:rsidR="00AC4550" w:rsidRPr="00AC4550">
        <w:t xml:space="preserve"> 135975</w:t>
      </w:r>
      <w:r w:rsidR="00AC4550">
        <w:t xml:space="preserve"> </w:t>
      </w:r>
      <w:r>
        <w:t>.</w:t>
      </w:r>
    </w:p>
    <w:p w14:paraId="07322289" w14:textId="71BADA14" w:rsidR="006D2A7C" w:rsidRDefault="006D2A7C" w:rsidP="006D2A7C">
      <w:pPr>
        <w:pStyle w:val="Bibliography"/>
      </w:pPr>
      <w:r>
        <w:t>[68]</w:t>
      </w:r>
      <w:r>
        <w:tab/>
        <w:t xml:space="preserve">Y. Li, J. Wu, H. Tang, X. Yi, Z. Liu, Q. Yang, Y. Fu, J. Liu, Z. Xie, </w:t>
      </w:r>
      <w:bookmarkStart w:id="19" w:name="_Hlk173313807"/>
      <w:r>
        <w:t>ACS Appl</w:t>
      </w:r>
      <w:r w:rsidR="003674AB">
        <w:t xml:space="preserve">. </w:t>
      </w:r>
      <w:r>
        <w:t>Mater</w:t>
      </w:r>
      <w:r w:rsidR="003674AB">
        <w:t xml:space="preserve">. </w:t>
      </w:r>
      <w:r>
        <w:t>Interfaces</w:t>
      </w:r>
      <w:bookmarkEnd w:id="19"/>
      <w:r>
        <w:t xml:space="preserve"> 14 (2022) 31054</w:t>
      </w:r>
      <w:r w:rsidR="00AC4550">
        <w:t>-</w:t>
      </w:r>
      <w:r>
        <w:t>31065.</w:t>
      </w:r>
    </w:p>
    <w:p w14:paraId="29638596" w14:textId="4D86074D" w:rsidR="006D2A7C" w:rsidRDefault="006D2A7C" w:rsidP="006D2A7C">
      <w:pPr>
        <w:pStyle w:val="Bibliography"/>
      </w:pPr>
      <w:r>
        <w:t>[69]</w:t>
      </w:r>
      <w:r>
        <w:tab/>
        <w:t>J. Wan, I. Dyadishchev, R. Sun, Q. Wu, Y. Wu, M. Zhang, S. Peregudova, S. Ponomarenko, Y. Luponosov, J. Min, J</w:t>
      </w:r>
      <w:r w:rsidR="003674AB">
        <w:t>.</w:t>
      </w:r>
      <w:r>
        <w:t xml:space="preserve"> Mater</w:t>
      </w:r>
      <w:r w:rsidR="003674AB">
        <w:t>.</w:t>
      </w:r>
      <w:r>
        <w:t xml:space="preserve"> Chem</w:t>
      </w:r>
      <w:r w:rsidR="003674AB">
        <w:t>.</w:t>
      </w:r>
      <w:r>
        <w:t xml:space="preserve"> A 10 (2022) 17122</w:t>
      </w:r>
      <w:r w:rsidR="00AC4550">
        <w:t>-</w:t>
      </w:r>
      <w:r>
        <w:t>17131.</w:t>
      </w:r>
    </w:p>
    <w:p w14:paraId="6A089E96" w14:textId="1E4ABAF1" w:rsidR="006D2A7C" w:rsidRDefault="006D2A7C" w:rsidP="006D2A7C">
      <w:pPr>
        <w:pStyle w:val="Bibliography"/>
      </w:pPr>
      <w:r>
        <w:lastRenderedPageBreak/>
        <w:t>[70]</w:t>
      </w:r>
      <w:r>
        <w:tab/>
        <w:t>Y. Zou, H. Chen, X. Bi, X. Xu, H. Wang, M. Lin, Z. Ma, M. Zhang, C. Li, X. Wan, G. Long, Y. Zhaoyang, Y. Chen, Energy Environ</w:t>
      </w:r>
      <w:r w:rsidR="003674AB">
        <w:t>.</w:t>
      </w:r>
      <w:r>
        <w:t xml:space="preserve"> Sci</w:t>
      </w:r>
      <w:r w:rsidR="003674AB">
        <w:t>.</w:t>
      </w:r>
      <w:r>
        <w:t xml:space="preserve"> 15 (2022) 3519</w:t>
      </w:r>
      <w:r w:rsidR="00AD7E2E">
        <w:t>-</w:t>
      </w:r>
      <w:r>
        <w:t>3533.</w:t>
      </w:r>
    </w:p>
    <w:p w14:paraId="67B8CB30" w14:textId="0031A630" w:rsidR="006D2A7C" w:rsidRDefault="006D2A7C" w:rsidP="006D2A7C">
      <w:pPr>
        <w:pStyle w:val="Bibliography"/>
      </w:pPr>
      <w:r>
        <w:t>[71]</w:t>
      </w:r>
      <w:r>
        <w:tab/>
        <w:t>H. Chen, Y. Zou, H. Liang, T. He, X. Xu, Y. Zhang, Z. Ma, J. Wang, M. Zhang, Q. Li, C. Li, G. Long, X. Wan, Z. Yao, Y. Chen, Sci</w:t>
      </w:r>
      <w:r w:rsidR="003674AB">
        <w:t>.</w:t>
      </w:r>
      <w:r>
        <w:t xml:space="preserve"> China Chem</w:t>
      </w:r>
      <w:r w:rsidR="003674AB">
        <w:t>.</w:t>
      </w:r>
      <w:r>
        <w:t xml:space="preserve"> 65 (2022) 1362</w:t>
      </w:r>
      <w:r w:rsidR="00AD7E2E">
        <w:t>-</w:t>
      </w:r>
      <w:r>
        <w:t>1373.</w:t>
      </w:r>
    </w:p>
    <w:p w14:paraId="3757E374" w14:textId="12A39564" w:rsidR="006D2A7C" w:rsidRDefault="006D2A7C" w:rsidP="006D2A7C">
      <w:pPr>
        <w:pStyle w:val="Bibliography"/>
      </w:pPr>
      <w:r>
        <w:t>[72]</w:t>
      </w:r>
      <w:r>
        <w:tab/>
        <w:t>L. Zhang, L. Hu, X. Wang, H. Mao, L. Zeng, L. Tan, X. Zhuang, Y. Chen, Adv</w:t>
      </w:r>
      <w:r w:rsidR="003674AB">
        <w:t xml:space="preserve">. </w:t>
      </w:r>
      <w:r>
        <w:t>Funct</w:t>
      </w:r>
      <w:r w:rsidR="003674AB">
        <w:t>.</w:t>
      </w:r>
      <w:r>
        <w:t xml:space="preserve"> Mater</w:t>
      </w:r>
      <w:r w:rsidR="003674AB">
        <w:t>.</w:t>
      </w:r>
      <w:r>
        <w:t xml:space="preserve"> 32 (2022)</w:t>
      </w:r>
      <w:r w:rsidR="00AD7E2E">
        <w:t xml:space="preserve"> </w:t>
      </w:r>
      <w:r w:rsidR="00AD7E2E" w:rsidRPr="00AD7E2E">
        <w:t>202202103</w:t>
      </w:r>
      <w:r>
        <w:t>.</w:t>
      </w:r>
    </w:p>
    <w:p w14:paraId="41BDAC03" w14:textId="7AE14F53" w:rsidR="006D2A7C" w:rsidRDefault="006D2A7C" w:rsidP="006D2A7C">
      <w:pPr>
        <w:pStyle w:val="Bibliography"/>
      </w:pPr>
      <w:r>
        <w:t>[73]</w:t>
      </w:r>
      <w:r>
        <w:tab/>
        <w:t>X. Yan, J. Wu, J. Lv, L. Zhang, R. Zhang, X. Guo, M. Zhang, J</w:t>
      </w:r>
      <w:r w:rsidR="003674AB">
        <w:t xml:space="preserve">. </w:t>
      </w:r>
      <w:r>
        <w:t>Mater</w:t>
      </w:r>
      <w:r w:rsidR="003674AB">
        <w:t>.</w:t>
      </w:r>
      <w:r>
        <w:t xml:space="preserve"> Chem</w:t>
      </w:r>
      <w:r w:rsidR="003674AB">
        <w:t>.</w:t>
      </w:r>
      <w:r>
        <w:t xml:space="preserve"> A 10 (2022) 15605</w:t>
      </w:r>
      <w:r w:rsidR="00AD7E2E">
        <w:t>-</w:t>
      </w:r>
      <w:r>
        <w:t>15613.</w:t>
      </w:r>
    </w:p>
    <w:p w14:paraId="247CC4E2" w14:textId="2C8FDFF5" w:rsidR="006D2A7C" w:rsidRDefault="006D2A7C" w:rsidP="006D2A7C">
      <w:pPr>
        <w:pStyle w:val="Bibliography"/>
      </w:pPr>
      <w:r>
        <w:t>[74]</w:t>
      </w:r>
      <w:r>
        <w:tab/>
        <w:t>W. Song, K. Yu, J. Ge, L. Xie, R. Zhou, R. Peng, X. Zhang, M. Yang, Z. Wei, Z. Ge, Matter 5 (2022) 1877</w:t>
      </w:r>
      <w:r w:rsidR="00AD7E2E">
        <w:t>-</w:t>
      </w:r>
      <w:r>
        <w:t>1889.</w:t>
      </w:r>
    </w:p>
    <w:p w14:paraId="6199EB1D" w14:textId="2104C726" w:rsidR="006D2A7C" w:rsidRDefault="006D2A7C" w:rsidP="006D2A7C">
      <w:pPr>
        <w:pStyle w:val="Bibliography"/>
      </w:pPr>
      <w:r>
        <w:t>[75]</w:t>
      </w:r>
      <w:r>
        <w:tab/>
        <w:t>H.-R. Bai, Q. An, M. Jiang, H.S. Ryu, J. Yang, X.-J. Zhou, H.-F. Zhi, C. Yang, X. Li, H.Y. Woo, J.-L. Wang, Adv</w:t>
      </w:r>
      <w:r w:rsidR="00632F91">
        <w:t>.</w:t>
      </w:r>
      <w:r>
        <w:t xml:space="preserve"> Funct</w:t>
      </w:r>
      <w:r w:rsidR="00632F91">
        <w:t>.</w:t>
      </w:r>
      <w:r>
        <w:t xml:space="preserve"> Mater</w:t>
      </w:r>
      <w:r w:rsidR="00632F91">
        <w:t>.</w:t>
      </w:r>
      <w:r>
        <w:t xml:space="preserve"> 32 (2022)</w:t>
      </w:r>
      <w:r w:rsidR="00AD7E2E">
        <w:t xml:space="preserve"> </w:t>
      </w:r>
      <w:r>
        <w:t>.</w:t>
      </w:r>
    </w:p>
    <w:p w14:paraId="68DDAFA5" w14:textId="25CCF201" w:rsidR="006D2A7C" w:rsidRDefault="006D2A7C" w:rsidP="006D2A7C">
      <w:pPr>
        <w:pStyle w:val="Bibliography"/>
      </w:pPr>
      <w:r>
        <w:t>[76]</w:t>
      </w:r>
      <w:r>
        <w:tab/>
        <w:t xml:space="preserve">M.A. Adil, W.A. Memon, J. Zhang, M.J. Iqbal, C. Yang, Y. Wang, W. Zou, Z. Wei, </w:t>
      </w:r>
      <w:r w:rsidR="003B6C96" w:rsidRPr="003B6C96">
        <w:t>Sol. RRL</w:t>
      </w:r>
      <w:r>
        <w:t xml:space="preserve"> 6 (2022)</w:t>
      </w:r>
      <w:r w:rsidR="00AD7E2E">
        <w:t xml:space="preserve"> </w:t>
      </w:r>
      <w:r w:rsidR="00AD7E2E" w:rsidRPr="00AD7E2E">
        <w:t>202101083</w:t>
      </w:r>
      <w:r>
        <w:t>.</w:t>
      </w:r>
    </w:p>
    <w:p w14:paraId="1BA82D4D" w14:textId="586E2845" w:rsidR="006D2A7C" w:rsidRDefault="006D2A7C" w:rsidP="006D2A7C">
      <w:pPr>
        <w:pStyle w:val="Bibliography"/>
      </w:pPr>
      <w:r>
        <w:t>[77]</w:t>
      </w:r>
      <w:r>
        <w:tab/>
        <w:t>Y. Cheng, B. Huang, X. Huang, L. Zhang, S. Kim, Q. Xie, C. Liu, T. Heumüller, Z. Liu, Y. Zhang, F. Wu, C. Yang, C.J. Brabec, Y. Chen, L. Chen, Angew</w:t>
      </w:r>
      <w:r w:rsidR="00632F91">
        <w:t>.</w:t>
      </w:r>
      <w:r>
        <w:t xml:space="preserve"> Chem</w:t>
      </w:r>
      <w:r w:rsidR="00632F91">
        <w:t>.</w:t>
      </w:r>
      <w:r>
        <w:t xml:space="preserve"> Int</w:t>
      </w:r>
      <w:r w:rsidR="00632F91">
        <w:t>.</w:t>
      </w:r>
      <w:r>
        <w:t xml:space="preserve"> Ed</w:t>
      </w:r>
      <w:r w:rsidR="00632F91">
        <w:t>.</w:t>
      </w:r>
      <w:r>
        <w:t xml:space="preserve"> 61 (2022)</w:t>
      </w:r>
      <w:r w:rsidR="00AD7E2E">
        <w:t xml:space="preserve"> </w:t>
      </w:r>
      <w:r w:rsidR="00AD7E2E" w:rsidRPr="00AD7E2E">
        <w:t>202200329</w:t>
      </w:r>
      <w:r>
        <w:t>.</w:t>
      </w:r>
    </w:p>
    <w:p w14:paraId="1DDEAD14" w14:textId="4C064419" w:rsidR="006D2A7C" w:rsidRDefault="006D2A7C" w:rsidP="006D2A7C">
      <w:pPr>
        <w:pStyle w:val="Bibliography"/>
      </w:pPr>
      <w:r>
        <w:t>[78]</w:t>
      </w:r>
      <w:r>
        <w:tab/>
        <w:t xml:space="preserve">W. Liu, S. Sun, L. Zhou, Y. Cui, W. Zhang, J. Hou, F. Liu, S. Xu, X. Zhu, </w:t>
      </w:r>
      <w:r w:rsidR="00632F91">
        <w:t>Angew. Chem. Int. Ed.</w:t>
      </w:r>
      <w:r>
        <w:t xml:space="preserve"> 61 (2022)</w:t>
      </w:r>
      <w:r w:rsidR="00AD7E2E">
        <w:t xml:space="preserve"> </w:t>
      </w:r>
      <w:r w:rsidR="00AD7E2E" w:rsidRPr="00AD7E2E">
        <w:t>202116111</w:t>
      </w:r>
      <w:r>
        <w:t>.</w:t>
      </w:r>
    </w:p>
    <w:p w14:paraId="02A2A466" w14:textId="43C1CC25" w:rsidR="006D2A7C" w:rsidRDefault="006D2A7C" w:rsidP="006D2A7C">
      <w:pPr>
        <w:pStyle w:val="Bibliography"/>
      </w:pPr>
      <w:r>
        <w:t>[79]</w:t>
      </w:r>
      <w:r>
        <w:tab/>
        <w:t xml:space="preserve">Y. Yan, Y. Zhang, Y. Liu, Y. Shi, D. Qiu, D. Deng, J. Zhang, B. Wang, M.A. Adil, K. Amin, W.A. Memon, M. Wang, H. Zhou, X. Zhang, Z. Wei, </w:t>
      </w:r>
      <w:bookmarkStart w:id="20" w:name="_Hlk173313218"/>
      <w:r>
        <w:t>Adv</w:t>
      </w:r>
      <w:r w:rsidR="00632F91">
        <w:t>.</w:t>
      </w:r>
      <w:r>
        <w:t xml:space="preserve"> Energy Mater</w:t>
      </w:r>
      <w:r w:rsidR="00632F91">
        <w:t>.</w:t>
      </w:r>
      <w:bookmarkEnd w:id="20"/>
      <w:r>
        <w:t xml:space="preserve"> 12 (2022)</w:t>
      </w:r>
      <w:r w:rsidR="00AD7E2E">
        <w:t xml:space="preserve"> </w:t>
      </w:r>
      <w:r w:rsidR="00AD7E2E" w:rsidRPr="00AD7E2E">
        <w:t>202200129</w:t>
      </w:r>
      <w:r>
        <w:t>.</w:t>
      </w:r>
    </w:p>
    <w:p w14:paraId="34897F26" w14:textId="56961F0C" w:rsidR="006D2A7C" w:rsidRDefault="006D2A7C" w:rsidP="006D2A7C">
      <w:pPr>
        <w:pStyle w:val="Bibliography"/>
      </w:pPr>
      <w:r>
        <w:t>[80]</w:t>
      </w:r>
      <w:r>
        <w:tab/>
        <w:t xml:space="preserve">G. Cai, Z. Chen, M. Li, Y. Li, P. Xue, Q. Cao, W. Chi, H. Liu, X. Xia, Q. An, Z. Tang, H. Zhu, X. Zhan, X. Lu, </w:t>
      </w:r>
      <w:bookmarkStart w:id="21" w:name="_Hlk173313399"/>
      <w:r>
        <w:t>Adv</w:t>
      </w:r>
      <w:r w:rsidR="00632F91">
        <w:t>.</w:t>
      </w:r>
      <w:r>
        <w:t xml:space="preserve"> Sci</w:t>
      </w:r>
      <w:r w:rsidR="00632F91">
        <w:t>.</w:t>
      </w:r>
      <w:r>
        <w:t xml:space="preserve"> </w:t>
      </w:r>
      <w:bookmarkEnd w:id="21"/>
      <w:r>
        <w:t>9 (2022)</w:t>
      </w:r>
      <w:r w:rsidR="00AD7E2E">
        <w:t xml:space="preserve"> </w:t>
      </w:r>
      <w:r w:rsidR="00AD7E2E" w:rsidRPr="00AD7E2E">
        <w:t>202103428</w:t>
      </w:r>
      <w:r>
        <w:t>.</w:t>
      </w:r>
    </w:p>
    <w:p w14:paraId="19DFA116" w14:textId="52A3DABF" w:rsidR="006D2A7C" w:rsidRDefault="006D2A7C" w:rsidP="006D2A7C">
      <w:pPr>
        <w:pStyle w:val="Bibliography"/>
      </w:pPr>
      <w:r>
        <w:t>[81]</w:t>
      </w:r>
      <w:r>
        <w:tab/>
        <w:t xml:space="preserve">X. Yu, H. Lin, M. Li, B. Ma, R. Zhang, X. Du, C. Zheng, G. Yang, S. Tao, </w:t>
      </w:r>
      <w:r w:rsidR="00632F91" w:rsidRPr="00632F91">
        <w:t>Org. Electron.</w:t>
      </w:r>
      <w:r>
        <w:t xml:space="preserve"> 104 (2022)</w:t>
      </w:r>
      <w:r w:rsidR="00AD7E2E">
        <w:t xml:space="preserve"> </w:t>
      </w:r>
      <w:r w:rsidR="00AD7E2E" w:rsidRPr="00AD7E2E">
        <w:t>106471</w:t>
      </w:r>
      <w:r>
        <w:t>.</w:t>
      </w:r>
    </w:p>
    <w:p w14:paraId="33339006" w14:textId="73B4F6F6" w:rsidR="006D2A7C" w:rsidRDefault="006D2A7C" w:rsidP="006D2A7C">
      <w:pPr>
        <w:pStyle w:val="Bibliography"/>
      </w:pPr>
      <w:r>
        <w:t>[82]</w:t>
      </w:r>
      <w:r>
        <w:tab/>
        <w:t>N. Yang, Y. Cheng, S. Kim, B. Huang, Z. Liu, J. Deng, J. Wang, C. Yang, F. Wu, L. Chen, ChemSusChem 15 (2022)</w:t>
      </w:r>
      <w:r w:rsidR="00AD7E2E" w:rsidRPr="00AD7E2E">
        <w:t xml:space="preserve"> 202200138</w:t>
      </w:r>
      <w:r w:rsidR="00AD7E2E">
        <w:t xml:space="preserve"> </w:t>
      </w:r>
      <w:r>
        <w:t>.</w:t>
      </w:r>
    </w:p>
    <w:p w14:paraId="5C291783" w14:textId="529D6363" w:rsidR="006D2A7C" w:rsidRDefault="006D2A7C" w:rsidP="006D2A7C">
      <w:pPr>
        <w:pStyle w:val="Bibliography"/>
      </w:pPr>
      <w:r>
        <w:t>[83]</w:t>
      </w:r>
      <w:r>
        <w:tab/>
        <w:t xml:space="preserve">R. Ma, C. Yan, P.W. Fong, J. Yu, H. Liu, J. Yin, J. Huang, X. Lu, H. Yan, G. Li, </w:t>
      </w:r>
      <w:bookmarkStart w:id="22" w:name="_Hlk173313506"/>
      <w:r>
        <w:t>Energy</w:t>
      </w:r>
      <w:r w:rsidR="00632F91">
        <w:t xml:space="preserve"> </w:t>
      </w:r>
      <w:r>
        <w:t>Environ</w:t>
      </w:r>
      <w:r w:rsidR="00632F91">
        <w:t>.</w:t>
      </w:r>
      <w:r>
        <w:t xml:space="preserve"> Sci</w:t>
      </w:r>
      <w:r w:rsidR="00632F91">
        <w:t>.</w:t>
      </w:r>
      <w:bookmarkEnd w:id="22"/>
      <w:r>
        <w:t xml:space="preserve"> 15 (2022) 2479</w:t>
      </w:r>
      <w:r w:rsidR="00AD7E2E">
        <w:t>-</w:t>
      </w:r>
      <w:r>
        <w:t>2488.</w:t>
      </w:r>
    </w:p>
    <w:p w14:paraId="2F77D48F" w14:textId="093B8292" w:rsidR="006D2A7C" w:rsidRDefault="006D2A7C" w:rsidP="006D2A7C">
      <w:pPr>
        <w:pStyle w:val="Bibliography"/>
      </w:pPr>
      <w:r>
        <w:t>[84]</w:t>
      </w:r>
      <w:r>
        <w:tab/>
        <w:t xml:space="preserve">C. He, Y. Pan, Y. Ouyang, Q. Shen, Y. Gao, K. Yan, J. Fang, Y. Chen, C.-Q. Ma, J. Min, C. Zhang, L. Zuo, H. Chen, </w:t>
      </w:r>
      <w:r w:rsidR="00632F91" w:rsidRPr="00632F91">
        <w:t>Energy Environ. Sci.</w:t>
      </w:r>
      <w:r>
        <w:t xml:space="preserve"> 15 (2022) 2537</w:t>
      </w:r>
      <w:r w:rsidR="00AD7E2E">
        <w:t>-</w:t>
      </w:r>
      <w:r>
        <w:t>2544.</w:t>
      </w:r>
    </w:p>
    <w:p w14:paraId="23222EDE" w14:textId="6D8D507D" w:rsidR="006D2A7C" w:rsidRPr="00EF3C4D" w:rsidRDefault="006D2A7C" w:rsidP="006D2A7C">
      <w:pPr>
        <w:pStyle w:val="Bibliography"/>
      </w:pPr>
      <w:r w:rsidRPr="00EF3C4D">
        <w:t>[85]</w:t>
      </w:r>
      <w:r w:rsidRPr="00EF3C4D">
        <w:tab/>
        <w:t>Y. Gao, C. Zhang, S.K. So, Appl</w:t>
      </w:r>
      <w:r w:rsidR="00632F91" w:rsidRPr="00EF3C4D">
        <w:t>.</w:t>
      </w:r>
      <w:r w:rsidRPr="00EF3C4D">
        <w:t xml:space="preserve"> Phys</w:t>
      </w:r>
      <w:r w:rsidR="00632F91" w:rsidRPr="00EF3C4D">
        <w:t>.</w:t>
      </w:r>
      <w:r w:rsidRPr="00EF3C4D">
        <w:t xml:space="preserve"> Lett</w:t>
      </w:r>
      <w:r w:rsidR="00632F91" w:rsidRPr="00EF3C4D">
        <w:t>.</w:t>
      </w:r>
      <w:r w:rsidRPr="00EF3C4D">
        <w:t xml:space="preserve"> 120 (2022)</w:t>
      </w:r>
      <w:r w:rsidR="00EF3C4D" w:rsidRPr="00EF3C4D">
        <w:t xml:space="preserve"> 143301</w:t>
      </w:r>
      <w:r w:rsidRPr="00EF3C4D">
        <w:t>.</w:t>
      </w:r>
    </w:p>
    <w:p w14:paraId="716CC7F9" w14:textId="391774EA" w:rsidR="006D2A7C" w:rsidRDefault="006D2A7C" w:rsidP="006D2A7C">
      <w:pPr>
        <w:pStyle w:val="Bibliography"/>
      </w:pPr>
      <w:r>
        <w:t>[86]</w:t>
      </w:r>
      <w:r>
        <w:tab/>
        <w:t>A. Mohapatra, H.-W. Cheng, M. Lal Meena, C.-A. Lin, K.-H. Wei, Y.-J. Lu, C.-H. Lee, S.D. Lin, C. Wei Chu, Chem</w:t>
      </w:r>
      <w:r w:rsidR="00632F91">
        <w:t>.</w:t>
      </w:r>
      <w:r>
        <w:t xml:space="preserve"> Eng</w:t>
      </w:r>
      <w:r w:rsidR="00632F91">
        <w:t>.</w:t>
      </w:r>
      <w:r>
        <w:t xml:space="preserve"> J</w:t>
      </w:r>
      <w:r w:rsidR="00632F91">
        <w:t>.</w:t>
      </w:r>
      <w:r>
        <w:t xml:space="preserve"> 433 (2022)</w:t>
      </w:r>
      <w:r w:rsidR="00AD7E2E">
        <w:t xml:space="preserve"> </w:t>
      </w:r>
      <w:r w:rsidR="00AD7E2E" w:rsidRPr="00AD7E2E">
        <w:t>134337</w:t>
      </w:r>
      <w:r>
        <w:t>.</w:t>
      </w:r>
    </w:p>
    <w:p w14:paraId="754086AD" w14:textId="60B98C50" w:rsidR="006D2A7C" w:rsidRDefault="006D2A7C" w:rsidP="006D2A7C">
      <w:pPr>
        <w:pStyle w:val="Bibliography"/>
      </w:pPr>
      <w:r>
        <w:t>[87]</w:t>
      </w:r>
      <w:r>
        <w:tab/>
        <w:t>M. Guan, W. Tao, L. Xu, Y. Qin, J. Zhang, S. Tan, M. Huang, B. Zhao, J</w:t>
      </w:r>
      <w:r w:rsidR="002819BD">
        <w:t xml:space="preserve">. </w:t>
      </w:r>
      <w:r>
        <w:t>Mater</w:t>
      </w:r>
      <w:r w:rsidR="002819BD">
        <w:t xml:space="preserve">. </w:t>
      </w:r>
      <w:r>
        <w:t>Chem</w:t>
      </w:r>
      <w:r w:rsidR="002819BD">
        <w:t>.</w:t>
      </w:r>
      <w:r>
        <w:t xml:space="preserve"> A 10 (2022) 9746</w:t>
      </w:r>
      <w:r w:rsidR="00AD7E2E">
        <w:t>-</w:t>
      </w:r>
      <w:r>
        <w:t>9752.</w:t>
      </w:r>
    </w:p>
    <w:p w14:paraId="477B985A" w14:textId="0BBDF970" w:rsidR="006D2A7C" w:rsidRDefault="006D2A7C" w:rsidP="006D2A7C">
      <w:pPr>
        <w:pStyle w:val="Bibliography"/>
      </w:pPr>
      <w:r>
        <w:t>[88]</w:t>
      </w:r>
      <w:r>
        <w:tab/>
        <w:t xml:space="preserve">Y. Ni, X. Liu, Y. Liu, Z. Feng, D. Tu, X. Guo, C. Li, </w:t>
      </w:r>
      <w:r w:rsidR="002819BD" w:rsidRPr="002819BD">
        <w:t>ACS Appl. Mater. Interfaces</w:t>
      </w:r>
      <w:r>
        <w:t xml:space="preserve"> 14 (2022) 12461</w:t>
      </w:r>
      <w:r w:rsidR="00AD7E2E">
        <w:t>-</w:t>
      </w:r>
      <w:r>
        <w:t>12468.</w:t>
      </w:r>
    </w:p>
    <w:p w14:paraId="6B90981F" w14:textId="24C20299" w:rsidR="006D2A7C" w:rsidRDefault="006D2A7C" w:rsidP="006D2A7C">
      <w:pPr>
        <w:pStyle w:val="Bibliography"/>
      </w:pPr>
      <w:r>
        <w:t>[89]</w:t>
      </w:r>
      <w:r>
        <w:tab/>
        <w:t xml:space="preserve">H. Xia, Y. Zhang, W. Deng, K. Liu, X. Xia, C.-J. Su, U.-S. Jeng, M. Zhang, J. Huang, J. Huang, C. Yan, W.-Y. Wong, X. Lu, W. Zhu, G. Li, </w:t>
      </w:r>
      <w:bookmarkStart w:id="23" w:name="_Hlk173313886"/>
      <w:r>
        <w:t>Adv</w:t>
      </w:r>
      <w:r w:rsidR="009B179C">
        <w:t>.</w:t>
      </w:r>
      <w:r>
        <w:t xml:space="preserve"> Mater</w:t>
      </w:r>
      <w:r w:rsidR="009B179C">
        <w:t>.</w:t>
      </w:r>
      <w:bookmarkEnd w:id="23"/>
      <w:r>
        <w:t xml:space="preserve"> 34 (2022)</w:t>
      </w:r>
      <w:r w:rsidR="00AD7E2E">
        <w:t xml:space="preserve"> </w:t>
      </w:r>
      <w:r w:rsidR="00AD7E2E" w:rsidRPr="00AD7E2E">
        <w:t>202107659</w:t>
      </w:r>
      <w:r>
        <w:t>.</w:t>
      </w:r>
    </w:p>
    <w:p w14:paraId="2528DEE4" w14:textId="4218099A" w:rsidR="006D2A7C" w:rsidRDefault="006D2A7C" w:rsidP="006D2A7C">
      <w:pPr>
        <w:pStyle w:val="Bibliography"/>
      </w:pPr>
      <w:r>
        <w:t>[90]</w:t>
      </w:r>
      <w:r>
        <w:tab/>
        <w:t>R. Wang, D. Zhang, X. Zhang, J. Yu, Dyes Pigm</w:t>
      </w:r>
      <w:r w:rsidR="009B179C">
        <w:t>.</w:t>
      </w:r>
      <w:r>
        <w:t xml:space="preserve"> 199 (2022)</w:t>
      </w:r>
      <w:r w:rsidR="00AD7E2E">
        <w:t xml:space="preserve"> </w:t>
      </w:r>
      <w:r w:rsidR="00AD7E2E" w:rsidRPr="00AD7E2E">
        <w:t>110083</w:t>
      </w:r>
      <w:r>
        <w:t>.</w:t>
      </w:r>
    </w:p>
    <w:p w14:paraId="2BFB8D99" w14:textId="4D925DC7" w:rsidR="006D2A7C" w:rsidRDefault="006D2A7C" w:rsidP="006D2A7C">
      <w:pPr>
        <w:pStyle w:val="Bibliography"/>
      </w:pPr>
      <w:r>
        <w:t>[91]</w:t>
      </w:r>
      <w:r>
        <w:tab/>
        <w:t xml:space="preserve">Y. Zeng, D. Li, H. Wu, Z. Chen, S. Leng, T. Hao, S. Xiong, Q. Xue, Z. Ma, H. Zhu, Q. Bao, </w:t>
      </w:r>
      <w:bookmarkStart w:id="24" w:name="_Hlk173314095"/>
      <w:r>
        <w:t>Adv</w:t>
      </w:r>
      <w:r w:rsidR="009B179C">
        <w:t>.</w:t>
      </w:r>
      <w:r>
        <w:t xml:space="preserve"> Funct</w:t>
      </w:r>
      <w:r w:rsidR="009B179C">
        <w:t>.</w:t>
      </w:r>
      <w:r>
        <w:t xml:space="preserve"> Mater</w:t>
      </w:r>
      <w:r w:rsidR="009B179C">
        <w:t>.</w:t>
      </w:r>
      <w:bookmarkEnd w:id="24"/>
      <w:r>
        <w:t xml:space="preserve"> 32 (2022)</w:t>
      </w:r>
      <w:r w:rsidR="00AD7E2E">
        <w:t xml:space="preserve"> </w:t>
      </w:r>
      <w:r w:rsidR="00AD7E2E" w:rsidRPr="00AD7E2E">
        <w:t>202110743</w:t>
      </w:r>
      <w:r>
        <w:t>.</w:t>
      </w:r>
    </w:p>
    <w:p w14:paraId="6C73E5F8" w14:textId="69025283" w:rsidR="006D2A7C" w:rsidRDefault="006D2A7C" w:rsidP="006D2A7C">
      <w:pPr>
        <w:pStyle w:val="Bibliography"/>
      </w:pPr>
      <w:r>
        <w:t>[92]</w:t>
      </w:r>
      <w:r>
        <w:tab/>
        <w:t xml:space="preserve">B.-H. Jiang, Y.-J. Peng, Y.-W. Su, J.-F. Chang, C.-C. Chueh, T.-S. Shieh, C.-I. Huang, C.-P. Chen, </w:t>
      </w:r>
      <w:r w:rsidR="00632F91" w:rsidRPr="00632F91">
        <w:t>Chem. Eng. J.</w:t>
      </w:r>
      <w:r w:rsidR="00632F91">
        <w:t xml:space="preserve"> </w:t>
      </w:r>
      <w:r>
        <w:t>431 (2022)</w:t>
      </w:r>
      <w:r w:rsidR="00AD7E2E">
        <w:t xml:space="preserve"> </w:t>
      </w:r>
      <w:r w:rsidR="00AD7E2E" w:rsidRPr="00AD7E2E">
        <w:t>133950</w:t>
      </w:r>
      <w:r>
        <w:t>.</w:t>
      </w:r>
    </w:p>
    <w:p w14:paraId="354A4E8F" w14:textId="3A9C3844" w:rsidR="006D2A7C" w:rsidRDefault="006D2A7C" w:rsidP="006D2A7C">
      <w:pPr>
        <w:pStyle w:val="Bibliography"/>
      </w:pPr>
      <w:r>
        <w:lastRenderedPageBreak/>
        <w:t>[93]</w:t>
      </w:r>
      <w:r>
        <w:tab/>
        <w:t xml:space="preserve">J. Wang, M. Zhang, J. Lin, Z. Zheng, L. Zhu, P. Bi, H. Liang, X. Guo, J. Wu, Y. Wang, L. Yu, J. Li, J. Lv, X. Liu, F. Liu, J. Hou, Y. Li, </w:t>
      </w:r>
      <w:r w:rsidR="00632F91" w:rsidRPr="00632F91">
        <w:t>Energy Environ. Sci.</w:t>
      </w:r>
      <w:r>
        <w:t xml:space="preserve"> 15 (2022) 1585</w:t>
      </w:r>
      <w:r w:rsidR="00AD7E2E">
        <w:t>-</w:t>
      </w:r>
      <w:r>
        <w:t>1593.</w:t>
      </w:r>
    </w:p>
    <w:p w14:paraId="7EB49A57" w14:textId="5BFF8EC9" w:rsidR="006D2A7C" w:rsidRDefault="006D2A7C" w:rsidP="006D2A7C">
      <w:pPr>
        <w:pStyle w:val="Bibliography"/>
      </w:pPr>
      <w:r>
        <w:t>[94]</w:t>
      </w:r>
      <w:r>
        <w:tab/>
        <w:t xml:space="preserve">X. Duan, W. Song, J. Qiao, X. Li, Y. Cai, H. Wu, J. Zhang, X. Hao, Z. Tang, Z. Ge, F. Huang, Y. Sun, </w:t>
      </w:r>
      <w:r w:rsidR="00632F91" w:rsidRPr="00632F91">
        <w:t>Energy Environ. Sci.</w:t>
      </w:r>
      <w:r>
        <w:t xml:space="preserve"> 15 (2022) 1563</w:t>
      </w:r>
      <w:r w:rsidR="00AD7E2E">
        <w:t>-</w:t>
      </w:r>
      <w:r>
        <w:t>1572.</w:t>
      </w:r>
    </w:p>
    <w:p w14:paraId="7191E600" w14:textId="18ED87B7" w:rsidR="006D2A7C" w:rsidRDefault="006D2A7C" w:rsidP="006D2A7C">
      <w:pPr>
        <w:pStyle w:val="Bibliography"/>
      </w:pPr>
      <w:r>
        <w:t>[95]</w:t>
      </w:r>
      <w:r>
        <w:tab/>
        <w:t>R. Ma, K. Zhou, Y. Sun, T. Liu, Y. Kan, Y. Xiao, T.A. Dela Peña, Y. Li, X. Zou, Z. Xing, Z. Luo, K.S. Wong, X. Lu, L. Ye, H. Yan, K. Gao, Matter 5 (2022) 725</w:t>
      </w:r>
      <w:r w:rsidR="00AD7E2E">
        <w:t>-</w:t>
      </w:r>
      <w:r>
        <w:t>734.</w:t>
      </w:r>
    </w:p>
    <w:p w14:paraId="05318B82" w14:textId="2244B419" w:rsidR="006D2A7C" w:rsidRDefault="006D2A7C" w:rsidP="006D2A7C">
      <w:pPr>
        <w:pStyle w:val="Bibliography"/>
      </w:pPr>
      <w:r>
        <w:t>[96]</w:t>
      </w:r>
      <w:r>
        <w:tab/>
        <w:t xml:space="preserve">S. Leng, T. Hao, G. Zhou, L. Zhu, W. Zhong, Y. Yang, M. Zhang, J. Xu, J. Zhan, Z. Zhou, J. Chen, S. Lu, Z. Tang, Z. Shi, H. Zhu, Y. Zhang, F. Liu, </w:t>
      </w:r>
      <w:r w:rsidR="00632F91" w:rsidRPr="00632F91">
        <w:t xml:space="preserve">Adv. Sci. </w:t>
      </w:r>
      <w:r>
        <w:t>9 (2022) 2104613.</w:t>
      </w:r>
    </w:p>
    <w:p w14:paraId="58C1B74B" w14:textId="77777777" w:rsidR="006D2A7C" w:rsidRDefault="006D2A7C" w:rsidP="006D2A7C">
      <w:pPr>
        <w:pStyle w:val="Bibliography"/>
      </w:pPr>
      <w:r>
        <w:t>[97]</w:t>
      </w:r>
      <w:r>
        <w:tab/>
        <w:t>W. Peng, Y. Lin, S.Y. Jeong, Z. Genene, A. Magomedov, H.Y. Woo, C. Chen, W. Wahyudi, Q. Tao, J. Deng, Y. Han, V. Getautis, W. Zhu, T.D. Anthopoulos, E. Wang, Nano Energy 92 (2022) 106681.</w:t>
      </w:r>
    </w:p>
    <w:p w14:paraId="1AA19383" w14:textId="6870B433" w:rsidR="006D2A7C" w:rsidRDefault="006D2A7C" w:rsidP="006D2A7C">
      <w:pPr>
        <w:pStyle w:val="Bibliography"/>
      </w:pPr>
      <w:r>
        <w:t>[98]</w:t>
      </w:r>
      <w:r>
        <w:tab/>
        <w:t>S.J. Jeon, Y.H. Kim, I.N. Kim, N.G. Yang, J.H. Yun, D.K. Moon, J</w:t>
      </w:r>
      <w:r w:rsidR="00F02FD2">
        <w:t>.</w:t>
      </w:r>
      <w:r>
        <w:t xml:space="preserve"> Energy Chem</w:t>
      </w:r>
      <w:r w:rsidR="00F02FD2">
        <w:t>.</w:t>
      </w:r>
      <w:r>
        <w:t xml:space="preserve"> 65 (2022) 194</w:t>
      </w:r>
      <w:r w:rsidR="00AD7E2E">
        <w:t>-</w:t>
      </w:r>
      <w:r>
        <w:t>204.</w:t>
      </w:r>
    </w:p>
    <w:p w14:paraId="43A4C535" w14:textId="5BADE12C" w:rsidR="006D2A7C" w:rsidRDefault="006D2A7C" w:rsidP="006D2A7C">
      <w:pPr>
        <w:pStyle w:val="Bibliography"/>
      </w:pPr>
      <w:r>
        <w:t>[99]</w:t>
      </w:r>
      <w:r>
        <w:tab/>
        <w:t>G. Yao, Y. Ge, X. Xiao, L. Zhang, N. Yi, H. Luo, S. Yuan, W. Zhou, ACS Appl. Energy Mater. 5 (2022) 1193</w:t>
      </w:r>
      <w:r w:rsidR="00AD7E2E">
        <w:t>-</w:t>
      </w:r>
      <w:r>
        <w:t>1204.</w:t>
      </w:r>
    </w:p>
    <w:p w14:paraId="232E5A12" w14:textId="5FD29DC6" w:rsidR="006D2A7C" w:rsidRDefault="006D2A7C" w:rsidP="006D2A7C">
      <w:pPr>
        <w:pStyle w:val="Bibliography"/>
      </w:pPr>
      <w:r>
        <w:t>[100]</w:t>
      </w:r>
      <w:r>
        <w:tab/>
        <w:t>J. G. Sánchez, A. Cabrera-Espinoza, E. Martínez-Ferrero, J. Luis Delgado, E. Palomares, Mater</w:t>
      </w:r>
      <w:r w:rsidR="00F02FD2">
        <w:t>.</w:t>
      </w:r>
      <w:r>
        <w:t xml:space="preserve"> Adv</w:t>
      </w:r>
      <w:r w:rsidR="00F02FD2">
        <w:t>.</w:t>
      </w:r>
      <w:r>
        <w:t xml:space="preserve"> 3 (2022) 1071</w:t>
      </w:r>
      <w:r w:rsidR="00AD7E2E">
        <w:t>-</w:t>
      </w:r>
      <w:r>
        <w:t>1078.</w:t>
      </w:r>
    </w:p>
    <w:p w14:paraId="444239E2" w14:textId="34CDFB5A" w:rsidR="006D2A7C" w:rsidRDefault="006D2A7C" w:rsidP="006D2A7C">
      <w:pPr>
        <w:pStyle w:val="Bibliography"/>
      </w:pPr>
      <w:r>
        <w:t>[101]</w:t>
      </w:r>
      <w:r>
        <w:tab/>
        <w:t xml:space="preserve">H. Wang, F. Du, J. Cao, J. Yu, X. Liu, W. Tang, </w:t>
      </w:r>
      <w:bookmarkStart w:id="25" w:name="_Hlk173313646"/>
      <w:r w:rsidR="00632F91" w:rsidRPr="00632F91">
        <w:t>Chem. Eng. J.</w:t>
      </w:r>
      <w:bookmarkEnd w:id="25"/>
      <w:r w:rsidR="00632F91">
        <w:t xml:space="preserve"> </w:t>
      </w:r>
      <w:r>
        <w:t>428 (2022)</w:t>
      </w:r>
      <w:r w:rsidR="00AD7E2E">
        <w:t xml:space="preserve"> </w:t>
      </w:r>
      <w:r w:rsidR="00AD7E2E" w:rsidRPr="00AD7E2E">
        <w:t>132640</w:t>
      </w:r>
      <w:r>
        <w:t>.</w:t>
      </w:r>
    </w:p>
    <w:p w14:paraId="3BB368AC" w14:textId="08C7137C" w:rsidR="006D2A7C" w:rsidRDefault="006D2A7C" w:rsidP="006D2A7C">
      <w:pPr>
        <w:pStyle w:val="Bibliography"/>
      </w:pPr>
      <w:r>
        <w:t>[102]</w:t>
      </w:r>
      <w:r>
        <w:tab/>
        <w:t xml:space="preserve">J. Gao, X. Ma, C. Xu, X. Wang, J.H. Son, S.Y. Jeong, Y. Zhang, C. Zhang, K. Wang, L. Niu, J. Zhang, H.Y. Woo, F. Zhang, </w:t>
      </w:r>
      <w:r w:rsidR="00632F91" w:rsidRPr="00632F91">
        <w:t>Chem. Eng. J.</w:t>
      </w:r>
      <w:r w:rsidR="00632F91">
        <w:t xml:space="preserve"> </w:t>
      </w:r>
      <w:r>
        <w:t>428 (2022)</w:t>
      </w:r>
      <w:r w:rsidR="00AD7E2E">
        <w:t xml:space="preserve"> </w:t>
      </w:r>
      <w:r w:rsidR="00AD7E2E" w:rsidRPr="00AD7E2E">
        <w:t>129276</w:t>
      </w:r>
      <w:r>
        <w:t>.</w:t>
      </w:r>
    </w:p>
    <w:p w14:paraId="6CC35297" w14:textId="403BFE7A" w:rsidR="006D2A7C" w:rsidRDefault="006D2A7C" w:rsidP="006D2A7C">
      <w:pPr>
        <w:pStyle w:val="Bibliography"/>
      </w:pPr>
      <w:r>
        <w:t>[103]</w:t>
      </w:r>
      <w:r>
        <w:tab/>
        <w:t>X. Liao, Q. Xie, Y. Guo, Q. He, Z. Chen, N. Yu, P. Zhu, Y. Cui, Z. Ma, X. Xu, H. Zhu, Y. Chen, Energy Environ</w:t>
      </w:r>
      <w:r w:rsidR="00C3405E">
        <w:t>.</w:t>
      </w:r>
      <w:r>
        <w:t xml:space="preserve"> Sci</w:t>
      </w:r>
      <w:r w:rsidR="00C3405E">
        <w:t xml:space="preserve">. </w:t>
      </w:r>
      <w:r>
        <w:t>15 (2022) 384</w:t>
      </w:r>
      <w:r w:rsidR="00FD4F15">
        <w:t>-</w:t>
      </w:r>
      <w:r>
        <w:t>394.</w:t>
      </w:r>
    </w:p>
    <w:p w14:paraId="1C446F55" w14:textId="53FD48F9" w:rsidR="006D2A7C" w:rsidRDefault="006D2A7C" w:rsidP="006D2A7C">
      <w:pPr>
        <w:pStyle w:val="Bibliography"/>
      </w:pPr>
      <w:r>
        <w:t>[104]</w:t>
      </w:r>
      <w:r>
        <w:tab/>
        <w:t>W. Xu, X. Ma, J.H. Son, S.Y. Jeong, L. Niu, C. Xu, S. Zhang, Z. Zhou, J. Gao, H.Y. Woo, J. Zhang, J. Wang, F. Zhang, Small 18 (2022)</w:t>
      </w:r>
      <w:r w:rsidR="00FD4F15">
        <w:t xml:space="preserve"> </w:t>
      </w:r>
      <w:r w:rsidR="00FD4F15" w:rsidRPr="00FD4F15">
        <w:t>202104215</w:t>
      </w:r>
      <w:r>
        <w:t>.</w:t>
      </w:r>
    </w:p>
    <w:p w14:paraId="086FC8C1" w14:textId="77777777" w:rsidR="006D2A7C" w:rsidRDefault="006D2A7C" w:rsidP="006D2A7C">
      <w:pPr>
        <w:pStyle w:val="Bibliography"/>
      </w:pPr>
      <w:r>
        <w:t>[105]</w:t>
      </w:r>
      <w:r>
        <w:tab/>
        <w:t>Y. Wei, N. Liang, W. Jiang, T. Zhai, Z. Wang, Small 18 (2022) 2104060.</w:t>
      </w:r>
    </w:p>
    <w:p w14:paraId="4375426B" w14:textId="0D1936A0" w:rsidR="006D2A7C" w:rsidRDefault="006D2A7C" w:rsidP="006D2A7C">
      <w:pPr>
        <w:pStyle w:val="Bibliography"/>
      </w:pPr>
      <w:r>
        <w:t>[106]</w:t>
      </w:r>
      <w:r>
        <w:tab/>
        <w:t xml:space="preserve">L. Yang, H. Wang, J. Cao, F. Du, J. Yu, W. Tang, </w:t>
      </w:r>
      <w:r w:rsidR="00632F91" w:rsidRPr="00632F91">
        <w:t>Chem. Eng. J.</w:t>
      </w:r>
      <w:r w:rsidR="00632F91">
        <w:t xml:space="preserve"> </w:t>
      </w:r>
      <w:r>
        <w:t>427 (2022) 131942.</w:t>
      </w:r>
    </w:p>
    <w:p w14:paraId="0481E674" w14:textId="4F30EF78" w:rsidR="006D2A7C" w:rsidRDefault="006D2A7C" w:rsidP="006D2A7C">
      <w:pPr>
        <w:pStyle w:val="Bibliography"/>
      </w:pPr>
      <w:r>
        <w:t>[107]</w:t>
      </w:r>
      <w:r>
        <w:tab/>
        <w:t xml:space="preserve">L. Xie, Y. Zhang, W. Zhuang, S.Y. Jeong, Q. Bian, H. Li, J. Cao, W. Liu, H. Tan, H.Y. Woo, J. Zhang, E. Wang, </w:t>
      </w:r>
      <w:r w:rsidR="00632F91" w:rsidRPr="00632F91">
        <w:t>Chem. Eng. J.</w:t>
      </w:r>
      <w:r>
        <w:t xml:space="preserve"> 427 (2022) 131674.</w:t>
      </w:r>
    </w:p>
    <w:p w14:paraId="0672B2FB" w14:textId="0580AB5E" w:rsidR="006D2A7C" w:rsidRDefault="006D2A7C" w:rsidP="006D2A7C">
      <w:pPr>
        <w:pStyle w:val="Bibliography"/>
      </w:pPr>
      <w:r>
        <w:t>[108]</w:t>
      </w:r>
      <w:r>
        <w:tab/>
        <w:t>J. Zhu, G. Cai, P. Xue, B. Jia, C. Zhang, X. Lu, Z. Li, X. Zhan, Energy Fuels 35 (2021) 19055</w:t>
      </w:r>
      <w:r w:rsidR="00FD4F15">
        <w:t>-</w:t>
      </w:r>
      <w:r>
        <w:t>19060.</w:t>
      </w:r>
    </w:p>
    <w:p w14:paraId="7948FB8E" w14:textId="1103D74E" w:rsidR="006D2A7C" w:rsidRDefault="006D2A7C" w:rsidP="006D2A7C">
      <w:pPr>
        <w:pStyle w:val="Bibliography"/>
      </w:pPr>
      <w:r>
        <w:t>[109]</w:t>
      </w:r>
      <w:r>
        <w:tab/>
        <w:t xml:space="preserve">Z. Peng, K. Xian, Y. Cui, Q. Qi, J. Liu, Y. Xu, Y. Chai, C. Yang, J. Hou, Y. Geng, L. Ye, </w:t>
      </w:r>
      <w:r w:rsidR="009B179C" w:rsidRPr="009B179C">
        <w:t>Adv. Mater.</w:t>
      </w:r>
      <w:r>
        <w:t xml:space="preserve"> 33 (2021) 2106732.</w:t>
      </w:r>
    </w:p>
    <w:p w14:paraId="7FE77583" w14:textId="77777777" w:rsidR="006D2A7C" w:rsidRDefault="006D2A7C" w:rsidP="006D2A7C">
      <w:pPr>
        <w:pStyle w:val="Bibliography"/>
      </w:pPr>
      <w:r>
        <w:t>[110]</w:t>
      </w:r>
      <w:r>
        <w:tab/>
        <w:t>Y. Yin, L. Zhan, M. Liu, C. Yang, F. Guo, Y. Liu, S. Gao, L. Zhao, H. Chen, Y. Zhang, Nano Energy 90 (2021) 106538.</w:t>
      </w:r>
    </w:p>
    <w:p w14:paraId="6D941767" w14:textId="452A9581" w:rsidR="006D2A7C" w:rsidRDefault="006D2A7C" w:rsidP="006D2A7C">
      <w:pPr>
        <w:pStyle w:val="Bibliography"/>
      </w:pPr>
      <w:r>
        <w:t>[111]</w:t>
      </w:r>
      <w:r>
        <w:tab/>
        <w:t xml:space="preserve">K. Wang, H. Wang, G. Li, Y. Hu, X. Guo, M. Zhang, Y. Li, </w:t>
      </w:r>
      <w:r w:rsidR="00632F91" w:rsidRPr="00632F91">
        <w:t>Chem. Eng. J.</w:t>
      </w:r>
      <w:r w:rsidR="00632F91">
        <w:t xml:space="preserve"> </w:t>
      </w:r>
      <w:r>
        <w:t>425 (2021) 130575.</w:t>
      </w:r>
    </w:p>
    <w:p w14:paraId="6552AB26" w14:textId="77777777" w:rsidR="006D2A7C" w:rsidRDefault="006D2A7C" w:rsidP="006D2A7C">
      <w:pPr>
        <w:pStyle w:val="Bibliography"/>
      </w:pPr>
      <w:r>
        <w:t>[112]</w:t>
      </w:r>
      <w:r>
        <w:tab/>
        <w:t>S. Cheng, L. Wang, C. Guo, D. Li, J. Cai, W. Miao, B. Du, P. Wang, D. Liu, T. Wang, Polymer 236 (2021) 124322.</w:t>
      </w:r>
    </w:p>
    <w:p w14:paraId="2F7CBDD4" w14:textId="4C57D3D0" w:rsidR="006D2A7C" w:rsidRDefault="006D2A7C" w:rsidP="006D2A7C">
      <w:pPr>
        <w:pStyle w:val="Bibliography"/>
      </w:pPr>
      <w:r>
        <w:t>[113]</w:t>
      </w:r>
      <w:r>
        <w:tab/>
        <w:t xml:space="preserve">X. Chen, D. Wang, Z. Wang, Y. Li, H. Zhu, X. Lu, W. Chen, H. Qiu, Q. Zhang, </w:t>
      </w:r>
      <w:r w:rsidR="00632F91" w:rsidRPr="00632F91">
        <w:t>Chem. Eng. J.</w:t>
      </w:r>
      <w:r>
        <w:t xml:space="preserve"> 424 (2021) 130397.</w:t>
      </w:r>
    </w:p>
    <w:p w14:paraId="5F8B2C81" w14:textId="2002DC95" w:rsidR="006D2A7C" w:rsidRDefault="006D2A7C" w:rsidP="006D2A7C">
      <w:pPr>
        <w:pStyle w:val="Bibliography"/>
      </w:pPr>
      <w:r>
        <w:t>[114]</w:t>
      </w:r>
      <w:r>
        <w:tab/>
        <w:t>Y. Zhao, Y. Liu, X. Liu, X. Kang, L. Yu, S. Dai, M. Sun, ChemSusChem 14 (2021) 4783</w:t>
      </w:r>
      <w:r w:rsidR="00FD4F15">
        <w:t>-</w:t>
      </w:r>
      <w:r>
        <w:t>4792.</w:t>
      </w:r>
    </w:p>
    <w:p w14:paraId="79373D6E" w14:textId="6D906D16" w:rsidR="006D2A7C" w:rsidRDefault="006D2A7C" w:rsidP="006D2A7C">
      <w:pPr>
        <w:pStyle w:val="Bibliography"/>
      </w:pPr>
      <w:r>
        <w:t>[115]</w:t>
      </w:r>
      <w:r>
        <w:tab/>
        <w:t>Y. Zhang, R. Ma, Y. Wang, Y. Wang, T. Liu, Y. Xiao, Y. Cho, Z. Luo, X. Lu, L. Zhao, Z. Yuan, C. Yang, H. Yan, Y. Chen, Mater</w:t>
      </w:r>
      <w:r w:rsidR="00A17571">
        <w:t>.</w:t>
      </w:r>
      <w:r>
        <w:t xml:space="preserve"> Rep</w:t>
      </w:r>
      <w:r w:rsidR="00A17571">
        <w:t>.</w:t>
      </w:r>
      <w:r>
        <w:t>: Energy 1 (2021)</w:t>
      </w:r>
      <w:r w:rsidR="00FD4F15">
        <w:t xml:space="preserve"> </w:t>
      </w:r>
      <w:r w:rsidR="00FD4F15" w:rsidRPr="00FD4F15">
        <w:t>100059</w:t>
      </w:r>
      <w:r>
        <w:t>.</w:t>
      </w:r>
    </w:p>
    <w:p w14:paraId="573CACBB" w14:textId="2AE7BBBB" w:rsidR="006D2A7C" w:rsidRDefault="006D2A7C" w:rsidP="006D2A7C">
      <w:pPr>
        <w:pStyle w:val="Bibliography"/>
      </w:pPr>
      <w:r>
        <w:t>[116]</w:t>
      </w:r>
      <w:r>
        <w:tab/>
        <w:t xml:space="preserve">J. Wang, C. Han, F. Bi, D. Huang, Y. Wu, Y. Li, S. Wen, L. Han, C. Yang, X. Bao, J. Chu, </w:t>
      </w:r>
      <w:r w:rsidR="00632F91" w:rsidRPr="00632F91">
        <w:t>Energy Environ. Sci.</w:t>
      </w:r>
      <w:r>
        <w:t xml:space="preserve"> 14 (2021) 5968</w:t>
      </w:r>
      <w:r w:rsidR="00104813">
        <w:t>-</w:t>
      </w:r>
      <w:r>
        <w:t>5978.</w:t>
      </w:r>
    </w:p>
    <w:p w14:paraId="4DBB60DE" w14:textId="7938A395" w:rsidR="006D2A7C" w:rsidRDefault="006D2A7C" w:rsidP="006D2A7C">
      <w:pPr>
        <w:pStyle w:val="Bibliography"/>
      </w:pPr>
      <w:r>
        <w:lastRenderedPageBreak/>
        <w:t>[117]</w:t>
      </w:r>
      <w:r>
        <w:tab/>
        <w:t xml:space="preserve">B. Du, Y. Ma, C. Guo, J. Cai, D. Li, S. Cheng, D. Liu, Q. Zheng, T. Wang, </w:t>
      </w:r>
      <w:r w:rsidR="009B179C" w:rsidRPr="009B179C">
        <w:t>Adv. Funct. Mater.</w:t>
      </w:r>
      <w:r>
        <w:t xml:space="preserve"> 31 (2021)</w:t>
      </w:r>
      <w:r w:rsidR="00104813">
        <w:t xml:space="preserve"> </w:t>
      </w:r>
      <w:r w:rsidR="00104813" w:rsidRPr="00104813">
        <w:t>202105794</w:t>
      </w:r>
      <w:r>
        <w:t>.</w:t>
      </w:r>
    </w:p>
    <w:p w14:paraId="288003CF" w14:textId="59EE692E" w:rsidR="006D2A7C" w:rsidRDefault="006D2A7C" w:rsidP="006D2A7C">
      <w:pPr>
        <w:pStyle w:val="Bibliography"/>
      </w:pPr>
      <w:r>
        <w:t>[118]</w:t>
      </w:r>
      <w:r>
        <w:tab/>
        <w:t>D. Xia, Z. Zhang, C. Zhao, J. Wang, J. Xia, G. Chen, S. Li, Z. Tang, S. You, W. Li, J</w:t>
      </w:r>
      <w:r w:rsidR="00E62AB4">
        <w:t xml:space="preserve">. </w:t>
      </w:r>
      <w:r>
        <w:t>Colloid Interface Sci</w:t>
      </w:r>
      <w:r w:rsidR="00E62AB4">
        <w:t>.</w:t>
      </w:r>
      <w:r>
        <w:t xml:space="preserve"> 601 (2021) 70</w:t>
      </w:r>
      <w:r w:rsidR="00104813">
        <w:t>-</w:t>
      </w:r>
      <w:r>
        <w:t>77.</w:t>
      </w:r>
    </w:p>
    <w:p w14:paraId="521EE9E6" w14:textId="4AD28D1F" w:rsidR="006D2A7C" w:rsidRDefault="006D2A7C" w:rsidP="006D2A7C">
      <w:pPr>
        <w:pStyle w:val="Bibliography"/>
      </w:pPr>
      <w:r>
        <w:t>[119]</w:t>
      </w:r>
      <w:r>
        <w:tab/>
        <w:t xml:space="preserve">L. Xiao, X. Wu, G. Ren, M.A. Kolaczkowski, G. Huang, W. Tan, L. Ma, Y. Liu, X. Peng, Y. Min, Y. Liu, </w:t>
      </w:r>
      <w:r w:rsidR="009B179C" w:rsidRPr="009B179C">
        <w:t>Adv. Funct. Mater.</w:t>
      </w:r>
      <w:r>
        <w:t xml:space="preserve"> 31 (2021)</w:t>
      </w:r>
      <w:r w:rsidR="00104813">
        <w:t xml:space="preserve"> </w:t>
      </w:r>
      <w:r w:rsidR="00104813" w:rsidRPr="00104813">
        <w:t>202105304</w:t>
      </w:r>
      <w:r>
        <w:t>.</w:t>
      </w:r>
    </w:p>
    <w:p w14:paraId="07000442" w14:textId="7818B5C9" w:rsidR="006D2A7C" w:rsidRDefault="006D2A7C" w:rsidP="006D2A7C">
      <w:pPr>
        <w:pStyle w:val="Bibliography"/>
      </w:pPr>
      <w:r>
        <w:t>[120]</w:t>
      </w:r>
      <w:r>
        <w:tab/>
        <w:t xml:space="preserve">W. Tang, W. Peng, M. Zhu, H. Jiang, W. Wang, H. Xia, R. Yang, O. Inganäs, H. Tan, Q. Bian, E. Wang, W. Zhu, </w:t>
      </w:r>
      <w:r w:rsidR="002819BD" w:rsidRPr="002819BD">
        <w:t>J. Mater. Chem. A</w:t>
      </w:r>
      <w:r>
        <w:t xml:space="preserve"> 9 (2021) 20493</w:t>
      </w:r>
      <w:r w:rsidR="00104813">
        <w:t>-</w:t>
      </w:r>
      <w:r>
        <w:t>20501.</w:t>
      </w:r>
    </w:p>
    <w:p w14:paraId="26B01A71" w14:textId="382EA1E1" w:rsidR="006D2A7C" w:rsidRDefault="006D2A7C" w:rsidP="006D2A7C">
      <w:pPr>
        <w:pStyle w:val="Bibliography"/>
      </w:pPr>
      <w:r>
        <w:t>[121]</w:t>
      </w:r>
      <w:r>
        <w:tab/>
        <w:t xml:space="preserve">W. Peng, Y. Lin, S.Y. Jeong, Y. Firdaus, Z. Genene, A. Nikitaras, L. Tsetseris, H.Y. Woo, W. Zhu, T.D. Anthopoulos, E. Wang, </w:t>
      </w:r>
      <w:bookmarkStart w:id="26" w:name="_Hlk173314476"/>
      <w:r>
        <w:t>Chem</w:t>
      </w:r>
      <w:r w:rsidR="003B6C96">
        <w:t>.</w:t>
      </w:r>
      <w:r>
        <w:t xml:space="preserve"> Mater</w:t>
      </w:r>
      <w:r w:rsidR="003B6C96">
        <w:t>.</w:t>
      </w:r>
      <w:bookmarkEnd w:id="26"/>
      <w:r>
        <w:t xml:space="preserve"> 33 (2021) 7254</w:t>
      </w:r>
      <w:r w:rsidR="00104813">
        <w:t>-</w:t>
      </w:r>
      <w:r>
        <w:t>7262.</w:t>
      </w:r>
    </w:p>
    <w:p w14:paraId="4CF318F2" w14:textId="70475111" w:rsidR="006D2A7C" w:rsidRDefault="006D2A7C" w:rsidP="006D2A7C">
      <w:pPr>
        <w:pStyle w:val="Bibliography"/>
      </w:pPr>
      <w:r>
        <w:t>[122]</w:t>
      </w:r>
      <w:r>
        <w:tab/>
        <w:t>Y.A. Avalos-Quiroz, O. Bardagot, Y. Kervella, C. Aumaître, L. Cabau, A. Rivaton, O. Margeat, C. Videlot-Ackermann, U. Vongsaysy, J. Ackermann, R. Demadrille, ChemSusChem 14 (2021) 3502</w:t>
      </w:r>
      <w:r w:rsidR="00104813">
        <w:t>-</w:t>
      </w:r>
      <w:r>
        <w:t>3510.</w:t>
      </w:r>
    </w:p>
    <w:p w14:paraId="2510E916" w14:textId="73ACBD92" w:rsidR="006D2A7C" w:rsidRDefault="006D2A7C" w:rsidP="006D2A7C">
      <w:pPr>
        <w:pStyle w:val="Bibliography"/>
      </w:pPr>
      <w:r>
        <w:t>[123]</w:t>
      </w:r>
      <w:r>
        <w:tab/>
        <w:t xml:space="preserve">Y. Li, Y. Cai, Y. Xie, J. Song, H. Wu, Z. Tang, J. Zhang, F. Huang, Y. Sun, </w:t>
      </w:r>
      <w:r w:rsidR="00632F91" w:rsidRPr="00632F91">
        <w:t>Energy Environ. Sci.</w:t>
      </w:r>
      <w:r>
        <w:t xml:space="preserve"> 14 (2021) 5009</w:t>
      </w:r>
      <w:r w:rsidR="00104813">
        <w:t>-</w:t>
      </w:r>
      <w:r>
        <w:t>5016.</w:t>
      </w:r>
    </w:p>
    <w:p w14:paraId="14CABD6C" w14:textId="69558DFE" w:rsidR="006D2A7C" w:rsidRDefault="006D2A7C" w:rsidP="006D2A7C">
      <w:pPr>
        <w:pStyle w:val="Bibliography"/>
      </w:pPr>
      <w:r>
        <w:t>[124]</w:t>
      </w:r>
      <w:r>
        <w:tab/>
        <w:t xml:space="preserve">W. Gao, B. Fan, F. Qi, F. Lin, R. Sun, X. Xia, J. Gao, C. Zhong, X. Lu, J. Min, F. Zhang, Z. Zhu, J. Luo, A.K.Y. Jen, </w:t>
      </w:r>
      <w:r w:rsidR="009B179C" w:rsidRPr="009B179C">
        <w:t>Adv. Funct. Mater.</w:t>
      </w:r>
      <w:r>
        <w:t xml:space="preserve"> 31 (2021)</w:t>
      </w:r>
      <w:r w:rsidR="00104813">
        <w:t xml:space="preserve"> </w:t>
      </w:r>
      <w:r w:rsidR="00104813" w:rsidRPr="00104813">
        <w:t>202104369</w:t>
      </w:r>
      <w:r>
        <w:t>.</w:t>
      </w:r>
    </w:p>
    <w:p w14:paraId="40D19633" w14:textId="114736A7" w:rsidR="006D2A7C" w:rsidRDefault="006D2A7C" w:rsidP="006D2A7C">
      <w:pPr>
        <w:pStyle w:val="Bibliography"/>
      </w:pPr>
      <w:r>
        <w:t>[125]</w:t>
      </w:r>
      <w:r>
        <w:tab/>
        <w:t xml:space="preserve">M. Xiong, J. Wu, Q. Fan, Q. Liu, J. Lv, X. Ou, X. Guo, M. Zhang, </w:t>
      </w:r>
      <w:r w:rsidR="00632F91" w:rsidRPr="00632F91">
        <w:t>Org. Electron.</w:t>
      </w:r>
      <w:r>
        <w:t xml:space="preserve"> 96 (2021)</w:t>
      </w:r>
      <w:r w:rsidR="00104813">
        <w:t xml:space="preserve"> </w:t>
      </w:r>
      <w:r w:rsidR="00104813" w:rsidRPr="00104813">
        <w:t>106227</w:t>
      </w:r>
      <w:r>
        <w:t>.</w:t>
      </w:r>
    </w:p>
    <w:p w14:paraId="437C04AF" w14:textId="00DBF356" w:rsidR="006D2A7C" w:rsidRDefault="006D2A7C" w:rsidP="006D2A7C">
      <w:pPr>
        <w:pStyle w:val="Bibliography"/>
      </w:pPr>
      <w:r>
        <w:t>[126]</w:t>
      </w:r>
      <w:r>
        <w:tab/>
        <w:t xml:space="preserve">Y. Xiao, J. Yuan, G. Zhou, K.C. Ngan, X. Xia, J. Zhu, Y. Zou, N. Zhao, X. Zhan, X. Lu, </w:t>
      </w:r>
      <w:r w:rsidR="002819BD" w:rsidRPr="002819BD">
        <w:t>J. Mater. Chem. A</w:t>
      </w:r>
      <w:r>
        <w:t xml:space="preserve"> 9 (2021) 17030</w:t>
      </w:r>
      <w:r w:rsidR="00104813">
        <w:t>-</w:t>
      </w:r>
      <w:r>
        <w:t>17038.</w:t>
      </w:r>
    </w:p>
    <w:p w14:paraId="07CC8578" w14:textId="6B2BF581" w:rsidR="006D2A7C" w:rsidRDefault="006D2A7C" w:rsidP="006D2A7C">
      <w:pPr>
        <w:pStyle w:val="Bibliography"/>
      </w:pPr>
      <w:r>
        <w:t>[127]</w:t>
      </w:r>
      <w:r>
        <w:tab/>
        <w:t xml:space="preserve">H. Wang, Z. Zhang, J. Yu, X. Liu, W. Tang, </w:t>
      </w:r>
      <w:r w:rsidR="00632F91" w:rsidRPr="00632F91">
        <w:t>Chem. Eng. J.</w:t>
      </w:r>
      <w:r w:rsidR="00632F91">
        <w:t xml:space="preserve"> </w:t>
      </w:r>
      <w:r>
        <w:t>418 (2021)</w:t>
      </w:r>
      <w:r w:rsidR="00104813">
        <w:t xml:space="preserve"> </w:t>
      </w:r>
      <w:r w:rsidR="00104813" w:rsidRPr="00104813">
        <w:t>129539</w:t>
      </w:r>
      <w:r>
        <w:t>.</w:t>
      </w:r>
    </w:p>
    <w:p w14:paraId="4C29028B" w14:textId="2A850C51" w:rsidR="006D2A7C" w:rsidRDefault="006D2A7C" w:rsidP="006D2A7C">
      <w:pPr>
        <w:pStyle w:val="Bibliography"/>
      </w:pPr>
      <w:r>
        <w:t>[128]</w:t>
      </w:r>
      <w:r>
        <w:tab/>
        <w:t xml:space="preserve">C. Cao, H. Lai, H. Chen, Y. Zhu, M. Pu, N. Zheng, F. He, </w:t>
      </w:r>
      <w:r w:rsidR="002819BD" w:rsidRPr="002819BD">
        <w:t>J. Mater. Chem. A</w:t>
      </w:r>
      <w:r>
        <w:t xml:space="preserve"> 9 (2021) 16418</w:t>
      </w:r>
      <w:r w:rsidR="00104813">
        <w:t>-</w:t>
      </w:r>
      <w:r>
        <w:t>16426.</w:t>
      </w:r>
    </w:p>
    <w:p w14:paraId="5C535FF1" w14:textId="5722264D" w:rsidR="006D2A7C" w:rsidRDefault="006D2A7C" w:rsidP="006D2A7C">
      <w:pPr>
        <w:pStyle w:val="Bibliography"/>
      </w:pPr>
      <w:r>
        <w:t>[129]</w:t>
      </w:r>
      <w:r>
        <w:tab/>
        <w:t xml:space="preserve">Y. Zeng, D. Li, Z. Xiao, H. Wu, Z. Chen, T. Hao, S. Xiong, Z. Ma, H. Zhu, L. Ding, Q. Bao, </w:t>
      </w:r>
      <w:r w:rsidR="00632F91" w:rsidRPr="00632F91">
        <w:t>Adv. Energy Mater.</w:t>
      </w:r>
      <w:r>
        <w:t xml:space="preserve"> 11 (2021)</w:t>
      </w:r>
      <w:r w:rsidR="00104813">
        <w:t xml:space="preserve"> </w:t>
      </w:r>
      <w:r w:rsidR="00104813" w:rsidRPr="00104813">
        <w:t>202101338</w:t>
      </w:r>
      <w:r>
        <w:t>.</w:t>
      </w:r>
    </w:p>
    <w:p w14:paraId="05948B67" w14:textId="3CB9A599" w:rsidR="006D2A7C" w:rsidRPr="004155D9" w:rsidRDefault="006D2A7C" w:rsidP="006D2A7C">
      <w:pPr>
        <w:pStyle w:val="Bibliography"/>
      </w:pPr>
      <w:r w:rsidRPr="004155D9">
        <w:t>[130]</w:t>
      </w:r>
      <w:r w:rsidRPr="004155D9">
        <w:tab/>
        <w:t>Z. Li, D. Song, Z. Xu, B. Qiao, S. Zhao, S. Wageh, A.A. Al-Ghamdi, X. Huo, Polymers 13 (2021)</w:t>
      </w:r>
      <w:r w:rsidR="004155D9" w:rsidRPr="004155D9">
        <w:t xml:space="preserve"> 2398</w:t>
      </w:r>
      <w:r w:rsidRPr="004155D9">
        <w:t>.</w:t>
      </w:r>
    </w:p>
    <w:p w14:paraId="2EB4A2A5" w14:textId="71DBEA26" w:rsidR="006D2A7C" w:rsidRDefault="006D2A7C" w:rsidP="006D2A7C">
      <w:pPr>
        <w:pStyle w:val="Bibliography"/>
      </w:pPr>
      <w:r>
        <w:t>[131]</w:t>
      </w:r>
      <w:r>
        <w:tab/>
        <w:t xml:space="preserve">Y. Cai, Y. Li, R. Wang, H. Wu, Z. Chen, J. Zhang, Z. Ma, X. Hao, Y. Zhao, C. Zhang, F. Huang, Y. Sun, </w:t>
      </w:r>
      <w:r w:rsidR="009B179C" w:rsidRPr="009B179C">
        <w:t>Adv. Mater.</w:t>
      </w:r>
      <w:r>
        <w:t xml:space="preserve"> 33 (2021)</w:t>
      </w:r>
      <w:r w:rsidR="00104813">
        <w:t xml:space="preserve"> </w:t>
      </w:r>
      <w:r w:rsidR="00104813" w:rsidRPr="00104813">
        <w:t>202101733</w:t>
      </w:r>
      <w:r>
        <w:t>.</w:t>
      </w:r>
    </w:p>
    <w:p w14:paraId="62D05E91" w14:textId="1363CE5F" w:rsidR="006D2A7C" w:rsidRDefault="006D2A7C" w:rsidP="006D2A7C">
      <w:pPr>
        <w:pStyle w:val="Bibliography"/>
      </w:pPr>
      <w:r>
        <w:t>[132]</w:t>
      </w:r>
      <w:r>
        <w:tab/>
        <w:t xml:space="preserve">C. Xu, X. Ma, Z. Zhao, M. Jiang, Z. Hu, J. Gao, Z. Deng, Z. Zhou, Q. An, J. Zhang, F. Zhang, </w:t>
      </w:r>
      <w:r w:rsidR="003B6C96" w:rsidRPr="003B6C96">
        <w:t>Sol. RRL</w:t>
      </w:r>
      <w:r>
        <w:t xml:space="preserve"> 5 (2021)</w:t>
      </w:r>
      <w:r w:rsidR="00104813" w:rsidRPr="00104813">
        <w:t xml:space="preserve"> 202100175</w:t>
      </w:r>
      <w:r>
        <w:t>.</w:t>
      </w:r>
    </w:p>
    <w:p w14:paraId="6EC8DD94" w14:textId="0BE3C88C" w:rsidR="006D2A7C" w:rsidRDefault="006D2A7C" w:rsidP="006D2A7C">
      <w:pPr>
        <w:pStyle w:val="Bibliography"/>
      </w:pPr>
      <w:r>
        <w:t>[133]</w:t>
      </w:r>
      <w:r>
        <w:tab/>
        <w:t xml:space="preserve">J. Hu, Q. Guo, J. Fang, Q. Liu, H. Liang, J. Lv, Z. Yin, J. Lin, X. Ou, X. Guo, M. Zhang, </w:t>
      </w:r>
      <w:r w:rsidR="00632F91" w:rsidRPr="00632F91">
        <w:t>Org. Electron.</w:t>
      </w:r>
      <w:r>
        <w:t xml:space="preserve"> 95 (2021)</w:t>
      </w:r>
      <w:r w:rsidR="00104813">
        <w:t xml:space="preserve"> </w:t>
      </w:r>
      <w:r w:rsidR="00104813" w:rsidRPr="00104813">
        <w:t>106201</w:t>
      </w:r>
      <w:r>
        <w:t>.</w:t>
      </w:r>
    </w:p>
    <w:p w14:paraId="2AE96F1A" w14:textId="79116CD9" w:rsidR="006D2A7C" w:rsidRDefault="006D2A7C" w:rsidP="006D2A7C">
      <w:pPr>
        <w:pStyle w:val="Bibliography"/>
      </w:pPr>
      <w:r>
        <w:t>[134]</w:t>
      </w:r>
      <w:r>
        <w:tab/>
        <w:t xml:space="preserve">Z. Su, Z. Zhang, G. Xie, Y. Zhang, X. Zhang, W. Zhang, J. Zhang, </w:t>
      </w:r>
      <w:r w:rsidR="009B179C" w:rsidRPr="009B179C">
        <w:t>Dyes Pigm.</w:t>
      </w:r>
      <w:r>
        <w:t xml:space="preserve"> 192 (2021)</w:t>
      </w:r>
      <w:r w:rsidR="00104813">
        <w:t xml:space="preserve"> </w:t>
      </w:r>
      <w:r w:rsidR="00104813" w:rsidRPr="00104813">
        <w:t>109434</w:t>
      </w:r>
      <w:r>
        <w:t>.</w:t>
      </w:r>
    </w:p>
    <w:p w14:paraId="5858077E" w14:textId="4B904236" w:rsidR="006D2A7C" w:rsidRDefault="006D2A7C" w:rsidP="006D2A7C">
      <w:pPr>
        <w:pStyle w:val="Bibliography"/>
      </w:pPr>
      <w:r>
        <w:t>[135]</w:t>
      </w:r>
      <w:r>
        <w:tab/>
        <w:t xml:space="preserve">F. Liu, L. Zhou, W. Liu, Z. Zhou, Q. Yue, W. Zheng, R. Sun, W. Liu, S. Xu, H. Fan, L. Feng, Y. Yi, W. Zhang, X. Zhu, </w:t>
      </w:r>
      <w:r w:rsidR="009B179C" w:rsidRPr="009B179C">
        <w:t>Adv. Mater.</w:t>
      </w:r>
      <w:r>
        <w:t xml:space="preserve"> 33 (2021)</w:t>
      </w:r>
      <w:r w:rsidR="00104813">
        <w:t xml:space="preserve"> </w:t>
      </w:r>
      <w:r w:rsidR="00104813" w:rsidRPr="00104813">
        <w:t>202100830</w:t>
      </w:r>
      <w:r>
        <w:t>.</w:t>
      </w:r>
    </w:p>
    <w:p w14:paraId="44245ED0" w14:textId="429EDB3A" w:rsidR="006D2A7C" w:rsidRDefault="006D2A7C" w:rsidP="006D2A7C">
      <w:pPr>
        <w:pStyle w:val="Bibliography"/>
      </w:pPr>
      <w:r>
        <w:t>[136]</w:t>
      </w:r>
      <w:r>
        <w:tab/>
        <w:t>X. Lu, L. Cao, X. Du, H. Lin, C. Zheng, Z. Chen, B. Sun, S. Tao, Adv</w:t>
      </w:r>
      <w:r w:rsidR="003B6C96">
        <w:t>.</w:t>
      </w:r>
      <w:r>
        <w:t xml:space="preserve"> Opt</w:t>
      </w:r>
      <w:r w:rsidR="003B6C96">
        <w:t>.</w:t>
      </w:r>
      <w:r>
        <w:t xml:space="preserve"> Mater</w:t>
      </w:r>
      <w:r w:rsidR="003B6C96">
        <w:t>.</w:t>
      </w:r>
      <w:r>
        <w:t xml:space="preserve"> 9 (2021)</w:t>
      </w:r>
      <w:r w:rsidR="00104813">
        <w:t xml:space="preserve"> </w:t>
      </w:r>
      <w:r w:rsidR="00104813" w:rsidRPr="00104813">
        <w:t>202100064</w:t>
      </w:r>
      <w:r>
        <w:t>.</w:t>
      </w:r>
    </w:p>
    <w:p w14:paraId="42563CEF" w14:textId="3FBF4DEB" w:rsidR="006D2A7C" w:rsidRDefault="006D2A7C" w:rsidP="006D2A7C">
      <w:pPr>
        <w:pStyle w:val="Bibliography"/>
      </w:pPr>
      <w:r>
        <w:t>[137]</w:t>
      </w:r>
      <w:r>
        <w:tab/>
        <w:t>X. Li, L. Zhou, X. Lu, L. Cao, X. Du, H. Lin, C. Zheng, S. Tao, Mater</w:t>
      </w:r>
      <w:r w:rsidR="003B6C96">
        <w:t>.</w:t>
      </w:r>
      <w:r>
        <w:t xml:space="preserve"> Chem</w:t>
      </w:r>
      <w:r w:rsidR="003B6C96">
        <w:t>.</w:t>
      </w:r>
      <w:r>
        <w:t xml:space="preserve"> Front</w:t>
      </w:r>
      <w:r w:rsidR="003B6C96">
        <w:t>.</w:t>
      </w:r>
      <w:r>
        <w:t xml:space="preserve"> 5 (2021) 3850</w:t>
      </w:r>
      <w:r w:rsidR="00104813">
        <w:t>-</w:t>
      </w:r>
      <w:r>
        <w:t>3858.</w:t>
      </w:r>
    </w:p>
    <w:p w14:paraId="016C81D5" w14:textId="340C45E7" w:rsidR="006D2A7C" w:rsidRDefault="006D2A7C" w:rsidP="006D2A7C">
      <w:pPr>
        <w:pStyle w:val="Bibliography"/>
      </w:pPr>
      <w:r>
        <w:t>[138]</w:t>
      </w:r>
      <w:r>
        <w:tab/>
        <w:t xml:space="preserve">L. Xu, W. Tao, H. Liu, J. Ning, M. Huang, B. Zhao, X. Lu, S. Tan, </w:t>
      </w:r>
      <w:r w:rsidR="002819BD" w:rsidRPr="002819BD">
        <w:t>J. Mater. Chem. A</w:t>
      </w:r>
      <w:r>
        <w:t xml:space="preserve"> 9 (2021) 11734</w:t>
      </w:r>
      <w:r w:rsidR="00104813">
        <w:t>-</w:t>
      </w:r>
      <w:r>
        <w:t>11740.</w:t>
      </w:r>
    </w:p>
    <w:p w14:paraId="3ABD7629" w14:textId="570F70FE" w:rsidR="006D2A7C" w:rsidRDefault="006D2A7C" w:rsidP="006D2A7C">
      <w:pPr>
        <w:pStyle w:val="Bibliography"/>
      </w:pPr>
      <w:r>
        <w:t>[139]</w:t>
      </w:r>
      <w:r>
        <w:tab/>
        <w:t>H. Wang, L. Yang, P.-C. Lin, C.-C. Chueh, X. Liu, S. Qu, S. Guang, J. Yu, W. Tang, Small 17 (2021)</w:t>
      </w:r>
      <w:r w:rsidR="00104813">
        <w:t xml:space="preserve"> </w:t>
      </w:r>
      <w:r w:rsidR="00104813" w:rsidRPr="00104813">
        <w:t>202007746</w:t>
      </w:r>
      <w:r>
        <w:t>.</w:t>
      </w:r>
    </w:p>
    <w:p w14:paraId="116ADC10" w14:textId="687C7A5F" w:rsidR="006D2A7C" w:rsidRDefault="006D2A7C" w:rsidP="006D2A7C">
      <w:pPr>
        <w:pStyle w:val="Bibliography"/>
      </w:pPr>
      <w:r>
        <w:lastRenderedPageBreak/>
        <w:t>[140]</w:t>
      </w:r>
      <w:r>
        <w:tab/>
        <w:t xml:space="preserve">K.-N. Zhang, J.-J. Guo, L.-J. Zhang, C.-C. Qin, H. Yin, X.-Y. Gao, X.-T. Hao, </w:t>
      </w:r>
      <w:r w:rsidR="009B179C" w:rsidRPr="009B179C">
        <w:t>Adv. Funct. Mater.</w:t>
      </w:r>
      <w:r>
        <w:t xml:space="preserve"> 31 (2021)</w:t>
      </w:r>
      <w:r w:rsidR="00104813">
        <w:t xml:space="preserve"> </w:t>
      </w:r>
      <w:r w:rsidR="00104813" w:rsidRPr="00104813">
        <w:t>202100316</w:t>
      </w:r>
      <w:r>
        <w:t>.</w:t>
      </w:r>
    </w:p>
    <w:p w14:paraId="4B891699" w14:textId="1BC8116E" w:rsidR="006D2A7C" w:rsidRDefault="006D2A7C" w:rsidP="006D2A7C">
      <w:pPr>
        <w:pStyle w:val="Bibliography"/>
      </w:pPr>
      <w:r>
        <w:t>[141]</w:t>
      </w:r>
      <w:r>
        <w:tab/>
        <w:t>M. Zhang, M. Zeng, X. Deng, Z. Zhou, X. Tan, S. Tan, B. Zhao, J. Zhang, Y. Zou, ACS Appl. Energy Mater. 4 (2021) 3480</w:t>
      </w:r>
      <w:r w:rsidR="00104813">
        <w:t>-</w:t>
      </w:r>
      <w:r>
        <w:t>3486.</w:t>
      </w:r>
    </w:p>
    <w:p w14:paraId="6534BBAE" w14:textId="6C9A6747" w:rsidR="006D2A7C" w:rsidRDefault="006D2A7C" w:rsidP="006D2A7C">
      <w:pPr>
        <w:pStyle w:val="Bibliography"/>
      </w:pPr>
      <w:r>
        <w:t>[142]</w:t>
      </w:r>
      <w:r>
        <w:tab/>
        <w:t>T. Liu, T. Yang, R. Ma, L. Zhan, Z. Luo, G. Zhang, Y. Li, K. Gao, Y. Xiao, J. Yu, X. Zou, H. Sun, M. Zhang, T.A. Dela Peña, Z. Xing, H. Liu, X. Li, G. Li, J. Huang, C. Duan, K.S. Wong, X. Lu, X. Guo, F. Gao, H. Chen, F. Huang, Y. Li, Y. Li, Y. Cao, B. Tang, H. Yan, Joule 5 (2021) 914</w:t>
      </w:r>
      <w:r w:rsidR="00104813">
        <w:t>-</w:t>
      </w:r>
      <w:r>
        <w:t>930.</w:t>
      </w:r>
    </w:p>
    <w:p w14:paraId="3310E2B8" w14:textId="700B1E59" w:rsidR="006D2A7C" w:rsidRDefault="006D2A7C" w:rsidP="006D2A7C">
      <w:pPr>
        <w:pStyle w:val="Bibliography"/>
      </w:pPr>
      <w:r>
        <w:t>[143]</w:t>
      </w:r>
      <w:r>
        <w:tab/>
        <w:t xml:space="preserve">Y. Cheng, H. Jin, J. Oh, X. Huang, R. Lv, B. Huang, Z. Ma, C. Yang, L. Chen, Y. Chen, </w:t>
      </w:r>
      <w:r w:rsidR="002819BD" w:rsidRPr="002819BD">
        <w:t>J. Mater. Chem. A</w:t>
      </w:r>
      <w:r>
        <w:t xml:space="preserve"> 9 (2021) 9238</w:t>
      </w:r>
      <w:r w:rsidR="00104813">
        <w:t>-</w:t>
      </w:r>
      <w:r>
        <w:t>9247.</w:t>
      </w:r>
    </w:p>
    <w:p w14:paraId="29D684E3" w14:textId="48282D14" w:rsidR="006D2A7C" w:rsidRDefault="006D2A7C" w:rsidP="006D2A7C">
      <w:pPr>
        <w:pStyle w:val="Bibliography"/>
      </w:pPr>
      <w:r>
        <w:t>[144]</w:t>
      </w:r>
      <w:r>
        <w:tab/>
        <w:t>F. Pan, S. Bai, T. Liu, D. Tang, X. Wei, X. Chen, M. Lv, Y. Li, Sci</w:t>
      </w:r>
      <w:r w:rsidR="005C0B1E">
        <w:t>.</w:t>
      </w:r>
      <w:r>
        <w:t xml:space="preserve"> China Chem</w:t>
      </w:r>
      <w:r w:rsidR="005C0B1E">
        <w:t>.</w:t>
      </w:r>
      <w:r>
        <w:t xml:space="preserve"> 64 (2021) 565</w:t>
      </w:r>
      <w:r w:rsidR="00104813">
        <w:t>-</w:t>
      </w:r>
      <w:r>
        <w:t>575.</w:t>
      </w:r>
    </w:p>
    <w:p w14:paraId="25B4BC5A" w14:textId="14D2D65A" w:rsidR="006D2A7C" w:rsidRDefault="006D2A7C" w:rsidP="006D2A7C">
      <w:pPr>
        <w:pStyle w:val="Bibliography"/>
      </w:pPr>
      <w:r>
        <w:t>[145]</w:t>
      </w:r>
      <w:r>
        <w:tab/>
        <w:t xml:space="preserve">M. Guo, H. Chen, Z. Luo, Y. Zhu, F. He, C. Yang, </w:t>
      </w:r>
      <w:r w:rsidR="00632F91" w:rsidRPr="00632F91">
        <w:t>Org. Electron.</w:t>
      </w:r>
      <w:r>
        <w:t xml:space="preserve"> 91 (2021)</w:t>
      </w:r>
      <w:r w:rsidR="00104813">
        <w:t xml:space="preserve"> </w:t>
      </w:r>
      <w:r w:rsidR="00104813" w:rsidRPr="00104813">
        <w:t>106085</w:t>
      </w:r>
      <w:r>
        <w:t>.</w:t>
      </w:r>
    </w:p>
    <w:p w14:paraId="21AA91E7" w14:textId="4BB8DF9E" w:rsidR="006D2A7C" w:rsidRDefault="006D2A7C" w:rsidP="006D2A7C">
      <w:pPr>
        <w:pStyle w:val="Bibliography"/>
      </w:pPr>
      <w:r>
        <w:t>[146]</w:t>
      </w:r>
      <w:r>
        <w:tab/>
        <w:t xml:space="preserve">R. Ma, Y. Tao, Y. Chen, T. Liu, Z. Luo, Y. Guo, Y. Xiao, J. Fang, G. Zhang, X. Li, X. Guo, Y. Yi, M. Zhang, X. Lu, Y. Li, H. Yan, </w:t>
      </w:r>
      <w:r w:rsidR="005C0B1E" w:rsidRPr="005C0B1E">
        <w:t>Sci. China Chem.</w:t>
      </w:r>
      <w:r>
        <w:t xml:space="preserve"> 64 (2021) 581</w:t>
      </w:r>
      <w:r w:rsidR="00104813">
        <w:t>-</w:t>
      </w:r>
      <w:r>
        <w:t>589.</w:t>
      </w:r>
    </w:p>
    <w:p w14:paraId="27AC1027" w14:textId="1804E527" w:rsidR="006D2A7C" w:rsidRDefault="006D2A7C" w:rsidP="006D2A7C">
      <w:pPr>
        <w:pStyle w:val="Bibliography"/>
      </w:pPr>
      <w:r>
        <w:t>[147]</w:t>
      </w:r>
      <w:r>
        <w:tab/>
        <w:t>V.K. Karapala, T.-W. Chen, K.-J. Ma, P.-L. Lu, Y.-J. Su, W.-D. Fu, H.-M. Shih, S.-J. Lu, T.-Y. Lee, C.-F. Chang, J.-T. Chen, C.-S. Hsu, ACS Appl</w:t>
      </w:r>
      <w:r w:rsidR="005C0B1E">
        <w:t>.</w:t>
      </w:r>
      <w:r>
        <w:t xml:space="preserve"> Energy Mater</w:t>
      </w:r>
      <w:r w:rsidR="005C0B1E">
        <w:t>.</w:t>
      </w:r>
      <w:r>
        <w:t xml:space="preserve"> 4 (2021) 2847</w:t>
      </w:r>
      <w:r w:rsidR="00104813">
        <w:t>-</w:t>
      </w:r>
      <w:r>
        <w:t>2855.</w:t>
      </w:r>
    </w:p>
    <w:p w14:paraId="0EF47BB7" w14:textId="5EBB19D5" w:rsidR="006D2A7C" w:rsidRDefault="006D2A7C" w:rsidP="006D2A7C">
      <w:pPr>
        <w:pStyle w:val="Bibliography"/>
      </w:pPr>
      <w:r>
        <w:t>[148]</w:t>
      </w:r>
      <w:r>
        <w:tab/>
        <w:t>M.-Y. Ni, S.-F. Leng, H. Liu, Y.-K. Yang, Q.-H. Li, C.-Q. Sheng, X. Lu, F. Liu, J.-H. Wan, J</w:t>
      </w:r>
      <w:r w:rsidR="00057F07">
        <w:t xml:space="preserve">. </w:t>
      </w:r>
      <w:r>
        <w:t>Mater</w:t>
      </w:r>
      <w:r w:rsidR="00057F07">
        <w:t xml:space="preserve">. </w:t>
      </w:r>
      <w:r>
        <w:t>Chem</w:t>
      </w:r>
      <w:r w:rsidR="00057F07">
        <w:t>.</w:t>
      </w:r>
      <w:r>
        <w:t xml:space="preserve"> C 9 (2021) 3826</w:t>
      </w:r>
      <w:r w:rsidR="00104813">
        <w:t>-</w:t>
      </w:r>
      <w:r>
        <w:t>3834.</w:t>
      </w:r>
    </w:p>
    <w:p w14:paraId="543AE343" w14:textId="48358579" w:rsidR="006D2A7C" w:rsidRDefault="006D2A7C" w:rsidP="006D2A7C">
      <w:pPr>
        <w:pStyle w:val="Bibliography"/>
      </w:pPr>
      <w:r>
        <w:t>[149]</w:t>
      </w:r>
      <w:r>
        <w:tab/>
        <w:t>H.-W. Cheng, C.-Y. Juan, A. Mohapatra, C.-H. Chen, Y.-C. Lin, B. Chang, P. Cheng, H.-C. Wang, C.W. Chu, Y. Yang, K.-H. Wei, Nano Lett</w:t>
      </w:r>
      <w:r w:rsidR="00057F07">
        <w:t>.</w:t>
      </w:r>
      <w:r>
        <w:t xml:space="preserve"> 21 (2021) 2207</w:t>
      </w:r>
      <w:r w:rsidR="00104813">
        <w:t>-</w:t>
      </w:r>
      <w:r>
        <w:t>2215.</w:t>
      </w:r>
    </w:p>
    <w:p w14:paraId="722D5BA0" w14:textId="0B19D40E" w:rsidR="006D2A7C" w:rsidRDefault="006D2A7C" w:rsidP="006D2A7C">
      <w:pPr>
        <w:pStyle w:val="Bibliography"/>
      </w:pPr>
      <w:r>
        <w:t>[150]</w:t>
      </w:r>
      <w:r>
        <w:tab/>
        <w:t xml:space="preserve">X. Wang, Q. Sun, J. Gao, X. Ma, J.H. Son, S.Y. Jeong, Z. Hu, L. Niu, H.Y. Woo, J. Zhang, F. Zhang, </w:t>
      </w:r>
      <w:bookmarkStart w:id="27" w:name="_Hlk173314566"/>
      <w:r>
        <w:t>Sol</w:t>
      </w:r>
      <w:r w:rsidR="003B6C96">
        <w:t>.</w:t>
      </w:r>
      <w:r>
        <w:t xml:space="preserve"> RRL</w:t>
      </w:r>
      <w:bookmarkEnd w:id="27"/>
      <w:r>
        <w:t xml:space="preserve"> 5 (2021)</w:t>
      </w:r>
      <w:r w:rsidR="00104813">
        <w:t xml:space="preserve"> </w:t>
      </w:r>
      <w:r w:rsidR="00104813" w:rsidRPr="00104813">
        <w:t>202100007</w:t>
      </w:r>
      <w:r>
        <w:t>.</w:t>
      </w:r>
    </w:p>
    <w:p w14:paraId="5121049B" w14:textId="28F02A6A" w:rsidR="006D2A7C" w:rsidRDefault="006D2A7C" w:rsidP="006D2A7C">
      <w:pPr>
        <w:pStyle w:val="Bibliography"/>
      </w:pPr>
      <w:r>
        <w:t>[151]</w:t>
      </w:r>
      <w:r>
        <w:tab/>
        <w:t xml:space="preserve">J. Wan, Z. Chen, L. Zeng, X. Liao, Q. He, S. Liu, P. Zhu, H. Zhu, Y. Chen, </w:t>
      </w:r>
      <w:r w:rsidR="00F02FD2" w:rsidRPr="00F02FD2">
        <w:t>J. Energy Chem.</w:t>
      </w:r>
      <w:r>
        <w:t xml:space="preserve"> 65 (2021) 133</w:t>
      </w:r>
      <w:r w:rsidR="00104813">
        <w:t>-</w:t>
      </w:r>
      <w:r>
        <w:t>140.</w:t>
      </w:r>
    </w:p>
    <w:p w14:paraId="7ABA9555" w14:textId="6D6CC03A" w:rsidR="006D2A7C" w:rsidRDefault="006D2A7C" w:rsidP="006D2A7C">
      <w:pPr>
        <w:pStyle w:val="Bibliography"/>
      </w:pPr>
      <w:r>
        <w:t>[152]</w:t>
      </w:r>
      <w:r>
        <w:tab/>
        <w:t xml:space="preserve">Z. Peng, K. Jiang, Y. Qin, M. Li, N. Balar, B.T. O’Connor, H. Ade, L. Ye, Y. Geng, </w:t>
      </w:r>
      <w:r w:rsidR="00632F91" w:rsidRPr="00632F91">
        <w:t>Adv. Energy Mater.</w:t>
      </w:r>
      <w:r>
        <w:t xml:space="preserve"> 11 (2021)</w:t>
      </w:r>
      <w:r w:rsidR="00104813">
        <w:t xml:space="preserve"> </w:t>
      </w:r>
      <w:r w:rsidR="00104813" w:rsidRPr="00104813">
        <w:t>202003506</w:t>
      </w:r>
      <w:r>
        <w:t>.</w:t>
      </w:r>
    </w:p>
    <w:p w14:paraId="62FFD4B7" w14:textId="59361DAB" w:rsidR="006D2A7C" w:rsidRDefault="006D2A7C" w:rsidP="006D2A7C">
      <w:pPr>
        <w:pStyle w:val="Bibliography"/>
      </w:pPr>
      <w:r>
        <w:t>[153]</w:t>
      </w:r>
      <w:r>
        <w:tab/>
        <w:t xml:space="preserve">B.-H. Jiang, Y.-P. Wang, C.-Y. Liao, Y.-M. Chang, Y.-W. Su, R.-J. Jeng, C.-P. Chen, </w:t>
      </w:r>
      <w:r w:rsidR="002819BD" w:rsidRPr="002819BD">
        <w:t>ACS Appl. Mater. Interfaces</w:t>
      </w:r>
      <w:r>
        <w:t xml:space="preserve"> 13 (2021) 1076</w:t>
      </w:r>
      <w:r w:rsidR="00104813">
        <w:t>-</w:t>
      </w:r>
      <w:r>
        <w:t>1085.</w:t>
      </w:r>
    </w:p>
    <w:p w14:paraId="0B904D9F" w14:textId="5C74DEF7" w:rsidR="006D2A7C" w:rsidRDefault="006D2A7C" w:rsidP="006D2A7C">
      <w:pPr>
        <w:pStyle w:val="Bibliography"/>
      </w:pPr>
      <w:r>
        <w:t>[154]</w:t>
      </w:r>
      <w:r>
        <w:tab/>
        <w:t xml:space="preserve">X. Liao, Q. He, G. Zhou, X. Xia, P. Zhu, Z. Xing, H. Zhu, Z. Yao, X. Lu, Y. Chen, </w:t>
      </w:r>
      <w:r w:rsidR="003B6C96" w:rsidRPr="003B6C96">
        <w:t>Chem. Mater.</w:t>
      </w:r>
      <w:r>
        <w:t xml:space="preserve"> 33 (2021) 430</w:t>
      </w:r>
      <w:r w:rsidR="00104813">
        <w:t>-</w:t>
      </w:r>
      <w:r>
        <w:t>440.</w:t>
      </w:r>
    </w:p>
    <w:p w14:paraId="39FE77C5" w14:textId="16728B16" w:rsidR="006D2A7C" w:rsidRDefault="006D2A7C" w:rsidP="006D2A7C">
      <w:pPr>
        <w:pStyle w:val="Bibliography"/>
      </w:pPr>
      <w:r>
        <w:t>[155]</w:t>
      </w:r>
      <w:r>
        <w:tab/>
        <w:t xml:space="preserve">W. Gao, H. Fu, Y. Li, F. Lin, R. Sun, Z. Wu, X. Wu, C. Zhong, J. Min, J. Luo, H.Y. Woo, Z. Zhu, A.K.Y. Jen, </w:t>
      </w:r>
      <w:r w:rsidR="00632F91" w:rsidRPr="00632F91">
        <w:t>Adv. Energy Mater.</w:t>
      </w:r>
      <w:r>
        <w:t xml:space="preserve"> 11 (2021)</w:t>
      </w:r>
      <w:r w:rsidR="00104813" w:rsidRPr="00104813">
        <w:t xml:space="preserve"> 202003177</w:t>
      </w:r>
      <w:r>
        <w:t>.</w:t>
      </w:r>
    </w:p>
    <w:p w14:paraId="7245A471" w14:textId="79243F5C" w:rsidR="006D2A7C" w:rsidRDefault="006D2A7C" w:rsidP="006D2A7C">
      <w:pPr>
        <w:pStyle w:val="Bibliography"/>
      </w:pPr>
      <w:r>
        <w:t>[156]</w:t>
      </w:r>
      <w:r>
        <w:tab/>
        <w:t>K.-N. Zhang, Z.-N. Jiang, T. Wang, J.-W. Qiao, L. Feng, C.-C. Qin, H. Yin, S.-K. So, X.-T. Hao, Nano Energy 79 (2021)</w:t>
      </w:r>
      <w:r w:rsidR="00104813">
        <w:t xml:space="preserve"> </w:t>
      </w:r>
      <w:r w:rsidR="00104813" w:rsidRPr="00104813">
        <w:t>105513</w:t>
      </w:r>
      <w:r>
        <w:t>.</w:t>
      </w:r>
    </w:p>
    <w:p w14:paraId="74C2881F" w14:textId="3A1614CA" w:rsidR="006D2A7C" w:rsidRDefault="006D2A7C" w:rsidP="006D2A7C">
      <w:pPr>
        <w:pStyle w:val="Bibliography"/>
      </w:pPr>
      <w:r>
        <w:t>[157]</w:t>
      </w:r>
      <w:r>
        <w:tab/>
        <w:t xml:space="preserve">H. Jiang, C. Han, Y. Li, F. Bi, N. Zheng, J. Han, W. Shen, S. Wen, C. Yang, R. Yang, X. Bao, </w:t>
      </w:r>
      <w:r w:rsidR="009B179C" w:rsidRPr="009B179C">
        <w:t>Adv. Funct. Mater.</w:t>
      </w:r>
      <w:r>
        <w:t xml:space="preserve"> 31 (2021)</w:t>
      </w:r>
      <w:r w:rsidR="00104813">
        <w:t xml:space="preserve"> </w:t>
      </w:r>
      <w:r w:rsidR="00104813" w:rsidRPr="00104813">
        <w:t>202007088</w:t>
      </w:r>
      <w:r>
        <w:t>.</w:t>
      </w:r>
    </w:p>
    <w:p w14:paraId="65ECFDE1" w14:textId="369A4EBB" w:rsidR="006D2A7C" w:rsidRDefault="006D2A7C" w:rsidP="006D2A7C">
      <w:pPr>
        <w:pStyle w:val="Bibliography"/>
      </w:pPr>
      <w:r>
        <w:t>[158]</w:t>
      </w:r>
      <w:r>
        <w:tab/>
        <w:t>Y. Lin, M.I. Nugraha, Y. Firdaus, A.D. Scaccabarozzi, F. Aniés, A.-H. Emwas, E. Yengel, X. Zheng, J. Liu, W. Wahyudi, E. Yarali, H. Faber, O.M. Bakr, L. Tsetseris, M. Heeney, T.D. Anthopoulos, ACS Energy Lett</w:t>
      </w:r>
      <w:r w:rsidR="00466093">
        <w:t>.</w:t>
      </w:r>
      <w:r>
        <w:t xml:space="preserve"> 5 (2020) 3663</w:t>
      </w:r>
      <w:r w:rsidR="00104813">
        <w:t>-</w:t>
      </w:r>
      <w:r>
        <w:t>3671.</w:t>
      </w:r>
    </w:p>
    <w:p w14:paraId="4FD47AE0" w14:textId="41F31B27" w:rsidR="006D2A7C" w:rsidRDefault="006D2A7C" w:rsidP="006D2A7C">
      <w:pPr>
        <w:pStyle w:val="Bibliography"/>
      </w:pPr>
      <w:r>
        <w:t>[159]</w:t>
      </w:r>
      <w:r>
        <w:tab/>
        <w:t xml:space="preserve">B. Chang, H.-W. Cheng, Y.-C. Lin, H.-C. Wang, C.-H. Chen, V.-T. Nguyen, Y. Yang, K.-H. Wei, </w:t>
      </w:r>
      <w:r w:rsidR="002819BD" w:rsidRPr="002819BD">
        <w:t>ACS Appl. Mater. Interfaces</w:t>
      </w:r>
      <w:r>
        <w:t xml:space="preserve"> 12 (2020) 55023</w:t>
      </w:r>
      <w:r w:rsidR="00104813">
        <w:t>-</w:t>
      </w:r>
      <w:r>
        <w:t>55032.</w:t>
      </w:r>
    </w:p>
    <w:p w14:paraId="257AD0EC" w14:textId="70B97BBD" w:rsidR="006D2A7C" w:rsidRDefault="006D2A7C" w:rsidP="006D2A7C">
      <w:pPr>
        <w:pStyle w:val="Bibliography"/>
      </w:pPr>
      <w:r>
        <w:t>[160]</w:t>
      </w:r>
      <w:r>
        <w:tab/>
        <w:t xml:space="preserve">Q. An, J. Wang, X. Ma, J. Gao, Z. Hu, B. Liu, H. Sun, X. Guo, X. Zhang, F. Zhang, </w:t>
      </w:r>
      <w:r w:rsidR="00632F91" w:rsidRPr="00632F91">
        <w:t>Energy Environ. Sci.</w:t>
      </w:r>
      <w:r>
        <w:t xml:space="preserve"> 13 (2020) 5039</w:t>
      </w:r>
      <w:r w:rsidR="00104813">
        <w:t>-</w:t>
      </w:r>
      <w:r>
        <w:t>5047.</w:t>
      </w:r>
    </w:p>
    <w:p w14:paraId="73ADB6A3" w14:textId="0F29FEB6" w:rsidR="006D2A7C" w:rsidRDefault="006D2A7C" w:rsidP="006D2A7C">
      <w:pPr>
        <w:pStyle w:val="Bibliography"/>
      </w:pPr>
      <w:r>
        <w:lastRenderedPageBreak/>
        <w:t>[161]</w:t>
      </w:r>
      <w:r>
        <w:tab/>
        <w:t>Q. Ma, Z. Jia, L. Meng, J. Zhang, H. Zhang, W. Huang, J. Yuan, F. Gao, Y. Wan, Z. Zhang, Y. Li, Nano Energy 78 (2020)</w:t>
      </w:r>
      <w:r w:rsidR="00104813" w:rsidRPr="00104813">
        <w:t xml:space="preserve"> 105272</w:t>
      </w:r>
      <w:r w:rsidR="00104813">
        <w:t xml:space="preserve"> </w:t>
      </w:r>
      <w:r>
        <w:t>.</w:t>
      </w:r>
    </w:p>
    <w:p w14:paraId="6A44814D" w14:textId="320BCBBC" w:rsidR="006D2A7C" w:rsidRDefault="006D2A7C" w:rsidP="006D2A7C">
      <w:pPr>
        <w:pStyle w:val="Bibliography"/>
      </w:pPr>
      <w:r>
        <w:t>[162]</w:t>
      </w:r>
      <w:r>
        <w:tab/>
        <w:t xml:space="preserve">G. Cai, Y. Li, J. Zhou, P. Xue, K. Liu, J. Wang, Z. Xie, G. Li, X. Zhan, X. Lu, </w:t>
      </w:r>
      <w:r w:rsidR="002819BD" w:rsidRPr="002819BD">
        <w:t>ACS Appl. Mater. Interfaces</w:t>
      </w:r>
      <w:r>
        <w:t xml:space="preserve"> 12 (2020) 50660</w:t>
      </w:r>
      <w:r w:rsidR="00104813">
        <w:t>-</w:t>
      </w:r>
      <w:r>
        <w:t>50667.</w:t>
      </w:r>
    </w:p>
    <w:p w14:paraId="61214B00" w14:textId="5843E4F3" w:rsidR="006D2A7C" w:rsidRDefault="006D2A7C" w:rsidP="006D2A7C">
      <w:pPr>
        <w:pStyle w:val="Bibliography"/>
      </w:pPr>
      <w:r>
        <w:t>[163]</w:t>
      </w:r>
      <w:r>
        <w:tab/>
        <w:t xml:space="preserve">B.-H. Jiang, C.-P. Chen, H.-T. Liang, R.-J. Jeng, W.-C. Chien, Y.-Y. Yu, </w:t>
      </w:r>
      <w:r w:rsidR="009B179C" w:rsidRPr="009B179C">
        <w:t>Dyes Pigm.</w:t>
      </w:r>
      <w:r>
        <w:t xml:space="preserve"> 181 (2020)</w:t>
      </w:r>
      <w:r w:rsidR="00104813">
        <w:t xml:space="preserve"> </w:t>
      </w:r>
      <w:r w:rsidR="00104813" w:rsidRPr="00104813">
        <w:t>108613</w:t>
      </w:r>
      <w:r>
        <w:t>.</w:t>
      </w:r>
    </w:p>
    <w:p w14:paraId="55472BA5" w14:textId="703499D5" w:rsidR="006D2A7C" w:rsidRDefault="006D2A7C" w:rsidP="006D2A7C">
      <w:pPr>
        <w:pStyle w:val="Bibliography"/>
      </w:pPr>
      <w:r>
        <w:t>[164]</w:t>
      </w:r>
      <w:r>
        <w:tab/>
        <w:t xml:space="preserve">R. Pradhan, P. Malhotra, G. Gupta, R. Singhal, G.D. Sharma, A. Mishra, </w:t>
      </w:r>
      <w:r w:rsidR="002819BD" w:rsidRPr="002819BD">
        <w:t>ACS Appl. Mater. Interfaces</w:t>
      </w:r>
      <w:r>
        <w:t xml:space="preserve"> 12 (2020) 41869</w:t>
      </w:r>
      <w:r w:rsidR="00104813">
        <w:t>-</w:t>
      </w:r>
      <w:r>
        <w:t>41876.</w:t>
      </w:r>
    </w:p>
    <w:p w14:paraId="26624152" w14:textId="4235FEE0" w:rsidR="006D2A7C" w:rsidRDefault="006D2A7C" w:rsidP="006D2A7C">
      <w:pPr>
        <w:pStyle w:val="Bibliography"/>
      </w:pPr>
      <w:r>
        <w:t>[165]</w:t>
      </w:r>
      <w:r>
        <w:tab/>
        <w:t xml:space="preserve">Y. Lin, Y. Firdaus, F.H. Isikgor, M.I. Nugraha, E. Yengel, G.T. Harrison, R. Hallani, A. El-Labban, H. Faber, C. Ma, X. Zheng, A. Subbiah, C.T. Howells, O.M. Bakr, I. McCulloch, S.D. Wolf, L. Tsetseris, T.D. Anthopoulos, </w:t>
      </w:r>
      <w:r w:rsidR="00466093" w:rsidRPr="00466093">
        <w:t>ACS Energy Lett.</w:t>
      </w:r>
      <w:r>
        <w:t xml:space="preserve"> 5 (2020) 2935</w:t>
      </w:r>
      <w:r w:rsidR="00104813">
        <w:t>-</w:t>
      </w:r>
      <w:r>
        <w:t>2944.</w:t>
      </w:r>
    </w:p>
    <w:p w14:paraId="22709B3E" w14:textId="39105C1A" w:rsidR="006D2A7C" w:rsidRDefault="006D2A7C" w:rsidP="006D2A7C">
      <w:pPr>
        <w:pStyle w:val="Bibliography"/>
      </w:pPr>
      <w:r>
        <w:t>[166]</w:t>
      </w:r>
      <w:r>
        <w:tab/>
        <w:t xml:space="preserve">F. Lin, K. Jiang, W. Kaminsky, Z. Zhu, A.K.-Y. Jen, </w:t>
      </w:r>
      <w:r w:rsidR="00466093" w:rsidRPr="00466093">
        <w:t>J. Am. Chem. Soc.</w:t>
      </w:r>
      <w:r>
        <w:t xml:space="preserve"> 142 (2020) 15246</w:t>
      </w:r>
      <w:r w:rsidR="00104813">
        <w:t>-</w:t>
      </w:r>
      <w:r>
        <w:t>15251.</w:t>
      </w:r>
    </w:p>
    <w:p w14:paraId="550052B1" w14:textId="282143A4" w:rsidR="006D2A7C" w:rsidRDefault="006D2A7C" w:rsidP="006D2A7C">
      <w:pPr>
        <w:pStyle w:val="Bibliography"/>
      </w:pPr>
      <w:r>
        <w:t>[167]</w:t>
      </w:r>
      <w:r>
        <w:tab/>
        <w:t xml:space="preserve">S. Liu, D. Chen, X. Hu, Z. Xing, J. Wan, L. Zhang, L. Tan, W. Zhou, Y. Chen, </w:t>
      </w:r>
      <w:r w:rsidR="009B179C" w:rsidRPr="009B179C">
        <w:t>Adv. Funct. Mater.</w:t>
      </w:r>
      <w:r>
        <w:t xml:space="preserve"> 30 (2020) 2003223.</w:t>
      </w:r>
    </w:p>
    <w:p w14:paraId="087140D9" w14:textId="130D6A57" w:rsidR="006D2A7C" w:rsidRDefault="006D2A7C" w:rsidP="006D2A7C">
      <w:pPr>
        <w:pStyle w:val="Bibliography"/>
      </w:pPr>
      <w:r>
        <w:t>[168]</w:t>
      </w:r>
      <w:r>
        <w:tab/>
        <w:t xml:space="preserve">S. He, Z. Shen, J. Yu, H. Guan, G. Lu, T. Xiao, S. Yang, Y. Zou, L. Bu, </w:t>
      </w:r>
      <w:r w:rsidR="009B179C" w:rsidRPr="009B179C">
        <w:t>Adv. Mater.</w:t>
      </w:r>
      <w:r>
        <w:t xml:space="preserve"> Interfaces 7 (2020)</w:t>
      </w:r>
      <w:r w:rsidR="00104813">
        <w:t xml:space="preserve"> </w:t>
      </w:r>
      <w:r w:rsidR="00104813" w:rsidRPr="00104813">
        <w:t>202000577</w:t>
      </w:r>
      <w:r>
        <w:t>.</w:t>
      </w:r>
    </w:p>
    <w:p w14:paraId="7BD17190" w14:textId="5145B7BE" w:rsidR="006D2A7C" w:rsidRDefault="006D2A7C" w:rsidP="006D2A7C">
      <w:pPr>
        <w:pStyle w:val="Bibliography"/>
      </w:pPr>
      <w:r>
        <w:t>[169]</w:t>
      </w:r>
      <w:r>
        <w:tab/>
        <w:t>Y. Cho, T. Kumari, S. Jeong, S.M. Lee, M. Jeong, B. Lee, J. Oh, Y. Zhang, B. Huang, L. Chen, C. Yang, Nano Energy 75 (2020)</w:t>
      </w:r>
      <w:r w:rsidR="00104813">
        <w:t xml:space="preserve"> </w:t>
      </w:r>
      <w:r w:rsidR="00104813" w:rsidRPr="00104813">
        <w:t>104896</w:t>
      </w:r>
      <w:r>
        <w:t>.</w:t>
      </w:r>
    </w:p>
    <w:p w14:paraId="2CFE8C03" w14:textId="7803D4A4" w:rsidR="006D2A7C" w:rsidRDefault="006D2A7C" w:rsidP="006D2A7C">
      <w:pPr>
        <w:pStyle w:val="Bibliography"/>
      </w:pPr>
      <w:r>
        <w:t>[170]</w:t>
      </w:r>
      <w:r>
        <w:tab/>
        <w:t>L. Arunagiri, Z. Peng, X. Zou, H. Yu, G. Zhang, Z. Wang, J.Y. Lin Lai, J. Zhang, Y. Zheng, C. Cui, F. Huang, Y. Zou, K.S. Wong, P.C.Y. Chow, H. Ade, H. Yan, Joule 4 (2020) 1790</w:t>
      </w:r>
      <w:r w:rsidR="00104813">
        <w:t>-</w:t>
      </w:r>
      <w:r>
        <w:t>1805.</w:t>
      </w:r>
    </w:p>
    <w:p w14:paraId="3C4E1BBE" w14:textId="4E1BB3D9" w:rsidR="006D2A7C" w:rsidRDefault="006D2A7C" w:rsidP="006D2A7C">
      <w:pPr>
        <w:pStyle w:val="Bibliography"/>
      </w:pPr>
      <w:r>
        <w:t>[171]</w:t>
      </w:r>
      <w:r>
        <w:tab/>
        <w:t xml:space="preserve">R. Ma, T. Liu, Z. Luo, K. Gao, K. Chen, G. Zhang, W. Gao, Y. Xiao, T.-K. Lau, Q. Fan, Y. Chen, L.-K. Ma, H. Sun, G. Cai, T. Yang, X. Lu, E. Wang, C. Yang, A.K.-Y. Jen, H. Yan, </w:t>
      </w:r>
      <w:r w:rsidR="00466093" w:rsidRPr="00466093">
        <w:t>ACS Energy Lett.</w:t>
      </w:r>
      <w:r>
        <w:t xml:space="preserve"> 5 (2020) 2711</w:t>
      </w:r>
      <w:r w:rsidR="00104813">
        <w:t>-</w:t>
      </w:r>
      <w:r>
        <w:t>2720.</w:t>
      </w:r>
    </w:p>
    <w:p w14:paraId="1B8B1AE6" w14:textId="02051D74" w:rsidR="006D2A7C" w:rsidRDefault="006D2A7C" w:rsidP="006D2A7C">
      <w:pPr>
        <w:pStyle w:val="Bibliography"/>
      </w:pPr>
      <w:r>
        <w:t>[172]</w:t>
      </w:r>
      <w:r>
        <w:tab/>
        <w:t xml:space="preserve">D. Li, L. Zhu, X. Liu, W. Xiao, J. Yang, R. Ma, L. Ding, F. Liu, C. Duan, M. Fahlman, Q. Bao, </w:t>
      </w:r>
      <w:r w:rsidR="009B179C" w:rsidRPr="009B179C">
        <w:t>Adv. Mater.</w:t>
      </w:r>
      <w:r>
        <w:t xml:space="preserve"> 32 (2020)</w:t>
      </w:r>
      <w:r w:rsidR="00104813">
        <w:t xml:space="preserve"> </w:t>
      </w:r>
      <w:r w:rsidR="00104813" w:rsidRPr="00104813">
        <w:t>202002344</w:t>
      </w:r>
      <w:r>
        <w:t>.</w:t>
      </w:r>
    </w:p>
    <w:p w14:paraId="429398FC" w14:textId="3EA29D3B" w:rsidR="006D2A7C" w:rsidRDefault="006D2A7C" w:rsidP="006D2A7C">
      <w:pPr>
        <w:pStyle w:val="Bibliography"/>
      </w:pPr>
      <w:r>
        <w:t>[173]</w:t>
      </w:r>
      <w:r>
        <w:tab/>
        <w:t xml:space="preserve">C. Yan, H. Tang, R. Ma, M. Zhang, T. Liu, J. Lv, J. Huang, Y. Yang, T. Xu, Z. Kan, H. Yan, F. Liu, S. Lu, G. Li, </w:t>
      </w:r>
      <w:r w:rsidR="00632F91" w:rsidRPr="00632F91">
        <w:t xml:space="preserve">Adv. Sci. </w:t>
      </w:r>
      <w:r>
        <w:t>7 (2020)</w:t>
      </w:r>
      <w:r w:rsidR="00104813">
        <w:t xml:space="preserve"> </w:t>
      </w:r>
      <w:r w:rsidR="00104813" w:rsidRPr="00104813">
        <w:t>202000149</w:t>
      </w:r>
      <w:r>
        <w:t>.</w:t>
      </w:r>
    </w:p>
    <w:p w14:paraId="3360D490" w14:textId="2C616874" w:rsidR="006D2A7C" w:rsidRDefault="006D2A7C" w:rsidP="006D2A7C">
      <w:pPr>
        <w:pStyle w:val="Bibliography"/>
      </w:pPr>
      <w:r>
        <w:t>[174]</w:t>
      </w:r>
      <w:r>
        <w:tab/>
        <w:t xml:space="preserve">T. Liu, R. Ma, Z. Luo, Y. Guo, G. Zhang, Y. Xiao, T. Yang, Y. Chen, G. Li, Y. Yi, X. Lu, H. Yan, B. Tang, </w:t>
      </w:r>
      <w:r w:rsidR="00632F91" w:rsidRPr="00632F91">
        <w:t>Energy Environ. Sci.</w:t>
      </w:r>
      <w:r>
        <w:t xml:space="preserve"> 13 (2020) 2115</w:t>
      </w:r>
      <w:r w:rsidR="00104813">
        <w:t>-</w:t>
      </w:r>
      <w:r>
        <w:t>2123.</w:t>
      </w:r>
    </w:p>
    <w:p w14:paraId="24C76A10" w14:textId="3CA9C37F" w:rsidR="006D2A7C" w:rsidRDefault="006D2A7C" w:rsidP="006D2A7C">
      <w:pPr>
        <w:pStyle w:val="Bibliography"/>
      </w:pPr>
      <w:r>
        <w:t>[175]</w:t>
      </w:r>
      <w:r>
        <w:tab/>
        <w:t xml:space="preserve">S. Chen, T. Yan, B. Fanady, W. Song, J. Ge, Q. Wei, R. Peng, G. Chen, Y. Zou, Z. Ge, </w:t>
      </w:r>
      <w:r w:rsidR="005C0B1E" w:rsidRPr="005C0B1E">
        <w:t>Sci. China Chem.</w:t>
      </w:r>
      <w:r>
        <w:t xml:space="preserve"> 63 (2020) 917</w:t>
      </w:r>
      <w:r w:rsidR="00104813">
        <w:t>-</w:t>
      </w:r>
      <w:r>
        <w:t>923.</w:t>
      </w:r>
    </w:p>
    <w:p w14:paraId="113CA1CF" w14:textId="1B686792" w:rsidR="006D2A7C" w:rsidRDefault="006D2A7C" w:rsidP="006D2A7C">
      <w:pPr>
        <w:pStyle w:val="Bibliography"/>
      </w:pPr>
      <w:r>
        <w:t>[176]</w:t>
      </w:r>
      <w:r>
        <w:tab/>
        <w:t xml:space="preserve">K.-N. Zhang, Z.-N. Jiang, T. Wang, M.-S. Niu, L. Feng, C.-C. Qin, S.-K. So, X.-T. Hao, </w:t>
      </w:r>
      <w:r w:rsidR="003B6C96" w:rsidRPr="003B6C96">
        <w:t>Sol. RRL</w:t>
      </w:r>
      <w:r>
        <w:t xml:space="preserve"> 4 (2020) 2000165.</w:t>
      </w:r>
    </w:p>
    <w:p w14:paraId="5E184C4D" w14:textId="2367221F" w:rsidR="006D2A7C" w:rsidRDefault="006D2A7C" w:rsidP="006D2A7C">
      <w:pPr>
        <w:pStyle w:val="Bibliography"/>
      </w:pPr>
      <w:r>
        <w:t>[177]</w:t>
      </w:r>
      <w:r>
        <w:tab/>
        <w:t xml:space="preserve">X. Li, X. Li, M.-A. Pan, M.-A. Pan, T.-K. Lau, W. Liu, K. Li, N. Yao, F. Shen, S. Huo, F. Zhang, Y. Wu, X. Li, X. Lu, H. Yan, C. Zhan, </w:t>
      </w:r>
      <w:r w:rsidR="003B6C96" w:rsidRPr="003B6C96">
        <w:t>Chem. Mater.</w:t>
      </w:r>
      <w:r>
        <w:t xml:space="preserve"> 32 (2020) 5182</w:t>
      </w:r>
      <w:r w:rsidR="00104813">
        <w:t>-</w:t>
      </w:r>
      <w:r>
        <w:t>5191.</w:t>
      </w:r>
    </w:p>
    <w:p w14:paraId="65341876" w14:textId="7F9D0E19" w:rsidR="006D2A7C" w:rsidRDefault="006D2A7C" w:rsidP="006D2A7C">
      <w:pPr>
        <w:pStyle w:val="Bibliography"/>
      </w:pPr>
      <w:r>
        <w:t>[178]</w:t>
      </w:r>
      <w:r>
        <w:tab/>
        <w:t xml:space="preserve">H. Wang, Z. Zhang, J. Yu, P.-C. Lin, C.-C. Chueh, X. Liu, S. Guang, S. Qu, W. Tang, </w:t>
      </w:r>
      <w:r w:rsidR="002819BD" w:rsidRPr="002819BD">
        <w:t>ACS Appl. Mater. Interfaces</w:t>
      </w:r>
      <w:r>
        <w:t xml:space="preserve"> 12 (2020) 21633</w:t>
      </w:r>
      <w:r w:rsidR="00104813">
        <w:t>-</w:t>
      </w:r>
      <w:r>
        <w:t>21640.</w:t>
      </w:r>
    </w:p>
    <w:p w14:paraId="1A9B55B0" w14:textId="7C442F79" w:rsidR="006D2A7C" w:rsidRDefault="006D2A7C" w:rsidP="006D2A7C">
      <w:pPr>
        <w:pStyle w:val="Bibliography"/>
      </w:pPr>
      <w:r>
        <w:t>[179]</w:t>
      </w:r>
      <w:r>
        <w:tab/>
        <w:t xml:space="preserve">N. Gasparini, S.H.K. Paleti, J. Bertrandie, G. Cai, G. Zhang, A. Wadsworth, X. Lu, H.-L. Yip, I. McCulloch, D. Baran, </w:t>
      </w:r>
      <w:r w:rsidR="00466093" w:rsidRPr="00466093">
        <w:t>ACS Energy Lett.</w:t>
      </w:r>
      <w:r>
        <w:t xml:space="preserve"> 5 (2020) 1371</w:t>
      </w:r>
      <w:r w:rsidR="00104813">
        <w:t>-</w:t>
      </w:r>
      <w:r>
        <w:t>1379.</w:t>
      </w:r>
    </w:p>
    <w:p w14:paraId="54330D37" w14:textId="263B5715" w:rsidR="006D2A7C" w:rsidRDefault="006D2A7C" w:rsidP="006D2A7C">
      <w:pPr>
        <w:pStyle w:val="Bibliography"/>
      </w:pPr>
      <w:r>
        <w:t>[180]</w:t>
      </w:r>
      <w:r>
        <w:tab/>
        <w:t>Z. Hu, L. Yang, W. Gao, J. Gao, C. Xu, X. Zhang, Z. Wang, W. Tang, C. Yang, F. Zhang, Small 16 (2020)</w:t>
      </w:r>
      <w:r w:rsidR="00104813">
        <w:t xml:space="preserve"> </w:t>
      </w:r>
      <w:r w:rsidR="00104813" w:rsidRPr="00104813">
        <w:t>202000441</w:t>
      </w:r>
      <w:r>
        <w:t>.</w:t>
      </w:r>
    </w:p>
    <w:p w14:paraId="458ECD5F" w14:textId="5402B582" w:rsidR="006D2A7C" w:rsidRDefault="006D2A7C" w:rsidP="006D2A7C">
      <w:pPr>
        <w:pStyle w:val="Bibliography"/>
      </w:pPr>
      <w:r>
        <w:lastRenderedPageBreak/>
        <w:t>[181]</w:t>
      </w:r>
      <w:r>
        <w:tab/>
        <w:t xml:space="preserve">Y. Lin, Y. Firdaus, M.I. Nugraha, F. Liu, S. Karuthedath, A.-H. Emwas, W. Zhang, A. Seitkhan, M. Neophytou, H. Faber, E. Yengel, I. McCulloch, L. Tsetseris, F. Laquai, T.D. Anthopoulos, </w:t>
      </w:r>
      <w:r w:rsidR="00632F91" w:rsidRPr="00632F91">
        <w:t xml:space="preserve">Adv. Sci. </w:t>
      </w:r>
      <w:r>
        <w:t>7 (2020)</w:t>
      </w:r>
      <w:r w:rsidR="00104813">
        <w:t xml:space="preserve"> </w:t>
      </w:r>
      <w:r w:rsidR="00104813" w:rsidRPr="00104813">
        <w:t>201903419</w:t>
      </w:r>
      <w:r>
        <w:t>.</w:t>
      </w:r>
    </w:p>
    <w:p w14:paraId="12699FEA" w14:textId="0CAB15D1" w:rsidR="006D2A7C" w:rsidRDefault="006D2A7C" w:rsidP="006D2A7C">
      <w:pPr>
        <w:pStyle w:val="Bibliography"/>
      </w:pPr>
      <w:r>
        <w:t>[182]</w:t>
      </w:r>
      <w:r>
        <w:tab/>
        <w:t xml:space="preserve">Y.-J. Xue, F.-Y. Cao, P.-K. Huang, Y.-C. Su, Y.-J. Cheng, </w:t>
      </w:r>
      <w:r w:rsidR="002819BD" w:rsidRPr="002819BD">
        <w:t>J. Mater. Chem. A</w:t>
      </w:r>
      <w:r>
        <w:t xml:space="preserve"> 8 (2020) 5315</w:t>
      </w:r>
      <w:r w:rsidR="00104813">
        <w:t>-</w:t>
      </w:r>
      <w:r>
        <w:t>5322.</w:t>
      </w:r>
    </w:p>
    <w:p w14:paraId="792884C8" w14:textId="053688CA" w:rsidR="006D2A7C" w:rsidRDefault="006D2A7C" w:rsidP="006D2A7C">
      <w:pPr>
        <w:pStyle w:val="Bibliography"/>
      </w:pPr>
      <w:r>
        <w:t>[183]</w:t>
      </w:r>
      <w:r>
        <w:tab/>
        <w:t xml:space="preserve">X. Chen, B. Kan, Y. Kan, M. Zhang, S.B. Jo, K. Gao, F. Lin, F. Liu, X. Peng, Y. Cao, A.K.Y. Jen, </w:t>
      </w:r>
      <w:r w:rsidR="009B179C" w:rsidRPr="009B179C">
        <w:t>Adv. Funct. Mater.</w:t>
      </w:r>
      <w:r>
        <w:t xml:space="preserve"> 30 (2020)</w:t>
      </w:r>
      <w:r w:rsidR="00104813">
        <w:t xml:space="preserve"> </w:t>
      </w:r>
      <w:r w:rsidR="00104813" w:rsidRPr="00104813">
        <w:t>201909535</w:t>
      </w:r>
      <w:r>
        <w:t>.</w:t>
      </w:r>
    </w:p>
    <w:p w14:paraId="227AF660" w14:textId="1C36F07E" w:rsidR="006D2A7C" w:rsidRDefault="006D2A7C" w:rsidP="006D2A7C">
      <w:pPr>
        <w:pStyle w:val="Bibliography"/>
      </w:pPr>
      <w:r>
        <w:t>[184]</w:t>
      </w:r>
      <w:r>
        <w:tab/>
        <w:t xml:space="preserve">Z. Luo, R. Sun, C. Zhong, T. Liu, G. Zhang, Y. Zou, X. Jiao, J. Min, C. Yang, </w:t>
      </w:r>
      <w:r w:rsidR="005C0B1E" w:rsidRPr="005C0B1E">
        <w:t>Sci. China Chem.</w:t>
      </w:r>
      <w:r>
        <w:t xml:space="preserve"> 63 (2020) 361</w:t>
      </w:r>
      <w:r w:rsidR="00104813">
        <w:t>-</w:t>
      </w:r>
      <w:r>
        <w:t>369.</w:t>
      </w:r>
    </w:p>
    <w:p w14:paraId="624A9551" w14:textId="0A7B7E2F" w:rsidR="006D2A7C" w:rsidRDefault="006D2A7C" w:rsidP="006D2A7C">
      <w:pPr>
        <w:pStyle w:val="Bibliography"/>
      </w:pPr>
      <w:r>
        <w:t>[185]</w:t>
      </w:r>
      <w:r>
        <w:tab/>
        <w:t>F. Liu, C. Li, J. Li, C. Wang, C. Xiao, Y. Wu, W. Li, Chi</w:t>
      </w:r>
      <w:r w:rsidR="00466093">
        <w:t>n.</w:t>
      </w:r>
      <w:r>
        <w:t xml:space="preserve"> Chem</w:t>
      </w:r>
      <w:r w:rsidR="00466093">
        <w:t>.</w:t>
      </w:r>
      <w:r>
        <w:t xml:space="preserve"> Lett</w:t>
      </w:r>
      <w:r w:rsidR="00466093">
        <w:t>.</w:t>
      </w:r>
      <w:r>
        <w:t xml:space="preserve"> 31 (2020) 865</w:t>
      </w:r>
      <w:r w:rsidR="00104813">
        <w:t>-</w:t>
      </w:r>
      <w:r>
        <w:t>868.</w:t>
      </w:r>
    </w:p>
    <w:p w14:paraId="624F3976" w14:textId="6FFB4A0C" w:rsidR="006D2A7C" w:rsidRDefault="006D2A7C" w:rsidP="006D2A7C">
      <w:pPr>
        <w:pStyle w:val="Bibliography"/>
      </w:pPr>
      <w:r>
        <w:t>[186]</w:t>
      </w:r>
      <w:r>
        <w:tab/>
        <w:t xml:space="preserve">L. Zhan, S. Li, T.-K. Lau, Y. Cui, X. Lu, M. Shi, C.-Z. Li, H. Li, J. Hou, H. Chen, </w:t>
      </w:r>
      <w:r w:rsidR="00632F91" w:rsidRPr="00632F91">
        <w:t>Energy Environ. Sci.</w:t>
      </w:r>
      <w:r>
        <w:t xml:space="preserve"> 13 (2020) 635</w:t>
      </w:r>
      <w:r w:rsidR="00104813">
        <w:t>-</w:t>
      </w:r>
      <w:r>
        <w:t>645.</w:t>
      </w:r>
    </w:p>
    <w:p w14:paraId="145C596F" w14:textId="7D8335CF" w:rsidR="006D2A7C" w:rsidRDefault="006D2A7C" w:rsidP="006D2A7C">
      <w:pPr>
        <w:pStyle w:val="Bibliography"/>
      </w:pPr>
      <w:r>
        <w:t>[187]</w:t>
      </w:r>
      <w:r>
        <w:tab/>
        <w:t xml:space="preserve">X. Chen, Q. Zhang, D. Wang, X. Xu, Z. Wang, Y. Li, H. Zhu, X. Lu, W. Chen, H. Qiu, C.-Z. Li, </w:t>
      </w:r>
      <w:r w:rsidR="003B6C96" w:rsidRPr="003B6C96">
        <w:t>Sol. RRL</w:t>
      </w:r>
      <w:r>
        <w:t xml:space="preserve"> (2020)</w:t>
      </w:r>
      <w:r w:rsidR="00104813">
        <w:t xml:space="preserve"> </w:t>
      </w:r>
      <w:r w:rsidR="00104813" w:rsidRPr="00104813">
        <w:t>202000537</w:t>
      </w:r>
      <w:r>
        <w:t>.</w:t>
      </w:r>
    </w:p>
    <w:p w14:paraId="35DFAA93" w14:textId="439FF840" w:rsidR="006D2A7C" w:rsidRDefault="006D2A7C" w:rsidP="006D2A7C">
      <w:pPr>
        <w:pStyle w:val="Bibliography"/>
      </w:pPr>
      <w:r>
        <w:t>[188]</w:t>
      </w:r>
      <w:r>
        <w:tab/>
        <w:t xml:space="preserve">Y. Tang, J. Yu, H. Sun, Z. Wu, C.W. Koh, X. Wu, B. Liu, J. Wang, Q. Liao, Y. Li, H. Guo, H.Y. Woo, F. Gao, X. Guo, </w:t>
      </w:r>
      <w:r w:rsidR="003B6C96" w:rsidRPr="003B6C96">
        <w:t>Sol. RRL</w:t>
      </w:r>
      <w:r>
        <w:t xml:space="preserve"> (2020)</w:t>
      </w:r>
      <w:r w:rsidR="00104813">
        <w:t xml:space="preserve"> </w:t>
      </w:r>
      <w:r w:rsidR="00104813" w:rsidRPr="00104813">
        <w:t>202000396</w:t>
      </w:r>
      <w:r>
        <w:t>.</w:t>
      </w:r>
    </w:p>
    <w:p w14:paraId="609FAC88" w14:textId="6138CFE1" w:rsidR="006D2A7C" w:rsidRDefault="006D2A7C" w:rsidP="006D2A7C">
      <w:pPr>
        <w:pStyle w:val="Bibliography"/>
      </w:pPr>
      <w:r>
        <w:t>[189]</w:t>
      </w:r>
      <w:r>
        <w:tab/>
        <w:t xml:space="preserve">A. Zeng, M. Pan, B. Lin, T.-K. Lau, M. Qin, K. Li, W. Ma, X. Lu, C. Zhan, H. Yan, </w:t>
      </w:r>
      <w:r w:rsidR="003B6C96" w:rsidRPr="003B6C96">
        <w:t>Sol. RRL</w:t>
      </w:r>
      <w:r>
        <w:t xml:space="preserve"> 4 (2020)</w:t>
      </w:r>
      <w:r w:rsidR="00104813">
        <w:t xml:space="preserve"> </w:t>
      </w:r>
      <w:r w:rsidR="00104813" w:rsidRPr="00104813">
        <w:t>201900353</w:t>
      </w:r>
      <w:r>
        <w:t>.</w:t>
      </w:r>
    </w:p>
    <w:p w14:paraId="68AAC328" w14:textId="1DDC91FB" w:rsidR="006D2A7C" w:rsidRDefault="006D2A7C" w:rsidP="006D2A7C">
      <w:pPr>
        <w:pStyle w:val="Bibliography"/>
      </w:pPr>
      <w:r>
        <w:t>[190]</w:t>
      </w:r>
      <w:r>
        <w:tab/>
        <w:t>Y. Ma, X. Zhou, D. Cai, Q. Tu, W. Ma, Q. Zheng, Mater</w:t>
      </w:r>
      <w:r w:rsidR="00466093">
        <w:t>.</w:t>
      </w:r>
      <w:r>
        <w:t xml:space="preserve"> Horiz</w:t>
      </w:r>
      <w:r w:rsidR="00466093">
        <w:t>.</w:t>
      </w:r>
      <w:r>
        <w:t xml:space="preserve"> 7 (2020) 117</w:t>
      </w:r>
      <w:r w:rsidR="00104813">
        <w:t>-</w:t>
      </w:r>
      <w:r>
        <w:t>124.</w:t>
      </w:r>
    </w:p>
    <w:p w14:paraId="7A0DC8FE" w14:textId="5BE908B5" w:rsidR="006D2A7C" w:rsidRDefault="006D2A7C" w:rsidP="006D2A7C">
      <w:pPr>
        <w:pStyle w:val="Bibliography"/>
      </w:pPr>
      <w:r>
        <w:t>[191]</w:t>
      </w:r>
      <w:r>
        <w:tab/>
        <w:t xml:space="preserve">J. Song, C. Li, L. Zhu, J. Guo, J. Xu, X. Zhang, K. Weng, K. Zhang, J. Min, X. Hao, Y. Zhang, F. Liu, Y. Sun, </w:t>
      </w:r>
      <w:r w:rsidR="009B179C" w:rsidRPr="009B179C">
        <w:t>Adv. Mater.</w:t>
      </w:r>
      <w:r>
        <w:t xml:space="preserve"> 31 (2019)</w:t>
      </w:r>
      <w:r w:rsidR="00104813">
        <w:t xml:space="preserve"> </w:t>
      </w:r>
      <w:r w:rsidR="00104813" w:rsidRPr="00104813">
        <w:t>201905645</w:t>
      </w:r>
      <w:r>
        <w:t>.</w:t>
      </w:r>
    </w:p>
    <w:p w14:paraId="7DE4B4F3" w14:textId="120D1102" w:rsidR="006D2A7C" w:rsidRDefault="006D2A7C" w:rsidP="006D2A7C">
      <w:pPr>
        <w:pStyle w:val="Bibliography"/>
      </w:pPr>
      <w:r>
        <w:t>[192]</w:t>
      </w:r>
      <w:r>
        <w:tab/>
        <w:t xml:space="preserve">A. Seitkhan, M. Neophytou, M. Kirkus, E. Abou-Hamad, M.N. Hedhili, E. Yengel, Y. Firdaus, H. Faber, Y. Lin, L. Tsetseris, I. McCulloch, T.D. Anthopoulos, </w:t>
      </w:r>
      <w:r w:rsidR="009B179C" w:rsidRPr="009B179C">
        <w:t>Adv. Funct. Mater.</w:t>
      </w:r>
      <w:r>
        <w:t xml:space="preserve"> 29 (2019)</w:t>
      </w:r>
      <w:r w:rsidR="00104813">
        <w:t xml:space="preserve"> </w:t>
      </w:r>
      <w:r w:rsidR="00104813" w:rsidRPr="00104813">
        <w:t>201905810</w:t>
      </w:r>
      <w:r>
        <w:t>.</w:t>
      </w:r>
    </w:p>
    <w:p w14:paraId="49FED812" w14:textId="2A789CE0" w:rsidR="006D2A7C" w:rsidRDefault="006D2A7C" w:rsidP="006D2A7C">
      <w:pPr>
        <w:pStyle w:val="Bibliography"/>
      </w:pPr>
      <w:r>
        <w:t>[193]</w:t>
      </w:r>
      <w:r>
        <w:tab/>
        <w:t xml:space="preserve">T. Yan, W. Song, J. Huang, R. Peng, L. Huang, Z. Ge, </w:t>
      </w:r>
      <w:r w:rsidR="009B179C" w:rsidRPr="009B179C">
        <w:t>Adv. Mater.</w:t>
      </w:r>
      <w:r>
        <w:t xml:space="preserve"> 31 (2019)</w:t>
      </w:r>
      <w:r w:rsidR="00104813">
        <w:t xml:space="preserve"> </w:t>
      </w:r>
      <w:r w:rsidR="00104813" w:rsidRPr="00104813">
        <w:t>201902210</w:t>
      </w:r>
      <w:r>
        <w:t>.</w:t>
      </w:r>
    </w:p>
    <w:p w14:paraId="50B405E0" w14:textId="73A434D2" w:rsidR="006D2A7C" w:rsidRDefault="006D2A7C" w:rsidP="006D2A7C">
      <w:pPr>
        <w:pStyle w:val="Bibliography"/>
      </w:pPr>
      <w:r>
        <w:t>[194]</w:t>
      </w:r>
      <w:r>
        <w:tab/>
        <w:t xml:space="preserve">H. Huang, X. Li, S. Chen, B. Qiu, J. Du, L. Meng, Z. Zhang, C. Yang, Y. Li, </w:t>
      </w:r>
      <w:r w:rsidR="002819BD" w:rsidRPr="002819BD">
        <w:t>J. Mater. Chem. A</w:t>
      </w:r>
      <w:r>
        <w:t xml:space="preserve"> 7 (2019) 27423</w:t>
      </w:r>
      <w:r w:rsidR="00104813">
        <w:t>-</w:t>
      </w:r>
      <w:r>
        <w:t>27431.</w:t>
      </w:r>
    </w:p>
    <w:p w14:paraId="25524C53" w14:textId="14FE2736" w:rsidR="006D2A7C" w:rsidRDefault="006D2A7C" w:rsidP="006D2A7C">
      <w:pPr>
        <w:pStyle w:val="Bibliography"/>
      </w:pPr>
      <w:r>
        <w:t>[195]</w:t>
      </w:r>
      <w:r>
        <w:tab/>
        <w:t xml:space="preserve">T. Yan, J. Ge, T. Lei, W. Zhang, W. Song, B. Fanady, D. Zhang, S. Chen, R. Peng, Z. Ge, </w:t>
      </w:r>
      <w:r w:rsidR="002819BD" w:rsidRPr="002819BD">
        <w:t>J. Mater. Chem. A</w:t>
      </w:r>
      <w:r>
        <w:t xml:space="preserve"> 7 (2019) 25894</w:t>
      </w:r>
      <w:r w:rsidR="00104813">
        <w:t>-</w:t>
      </w:r>
      <w:r>
        <w:t>25899.</w:t>
      </w:r>
    </w:p>
    <w:p w14:paraId="6146DFD8" w14:textId="01F01CF9" w:rsidR="006D2A7C" w:rsidRDefault="006D2A7C" w:rsidP="006D2A7C">
      <w:pPr>
        <w:pStyle w:val="Bibliography"/>
      </w:pPr>
      <w:r>
        <w:t>[196]</w:t>
      </w:r>
      <w:r>
        <w:tab/>
        <w:t xml:space="preserve">T. Liu, Z. Luo, Q. Fan, G. Zhang, L. Zhang, W. Gao, X. Guo, W. Ma, M. Zhang, C. Yang, Y. Li, H. Yan, </w:t>
      </w:r>
      <w:r w:rsidR="00632F91" w:rsidRPr="00632F91">
        <w:t>Energy Environ. Sci.</w:t>
      </w:r>
      <w:r>
        <w:t xml:space="preserve"> 11 (2018) 3275</w:t>
      </w:r>
      <w:r w:rsidR="00104813">
        <w:t>-</w:t>
      </w:r>
      <w:r>
        <w:t>3282.</w:t>
      </w:r>
    </w:p>
    <w:p w14:paraId="77065D8C" w14:textId="0AE9A2AA" w:rsidR="006D2A7C" w:rsidRDefault="006D2A7C" w:rsidP="006D2A7C">
      <w:pPr>
        <w:pStyle w:val="Bibliography"/>
      </w:pPr>
      <w:r>
        <w:t>[197]</w:t>
      </w:r>
      <w:r>
        <w:tab/>
        <w:t>R. Sun, W. Wang, H. Yu, Z. Chen, X. Xia, H. Shen, J. Guo, M. Shi, Y. Zheng, Y. Wu, W. Yang, T. Wang, Q. Wu, Y.M. Yang, X. Lu, J. Xia, C.J. Brabec, H. Yan, Y. Li, J. Min, Joule 5 (2021) 1548</w:t>
      </w:r>
      <w:r w:rsidR="00104813">
        <w:t>-</w:t>
      </w:r>
      <w:r>
        <w:t>1565.</w:t>
      </w:r>
    </w:p>
    <w:p w14:paraId="4A3FBC45" w14:textId="2D39FE2D" w:rsidR="006D2A7C" w:rsidRDefault="006D2A7C" w:rsidP="006D2A7C">
      <w:pPr>
        <w:pStyle w:val="Bibliography"/>
      </w:pPr>
      <w:r>
        <w:t>[198]</w:t>
      </w:r>
      <w:r>
        <w:tab/>
        <w:t xml:space="preserve">M.A. Saeed, T.H. Kim, H. Ahn, N.W. Park, J. Park, H. Choi, A. Shahzad, J.W. Shim, </w:t>
      </w:r>
      <w:r w:rsidR="003B6C96" w:rsidRPr="003B6C96">
        <w:t>Adv. Opt. Mater.</w:t>
      </w:r>
      <w:r>
        <w:t xml:space="preserve"> 11 (2023) 2202135.</w:t>
      </w:r>
    </w:p>
    <w:p w14:paraId="0A267903" w14:textId="6A5617ED" w:rsidR="006D2A7C" w:rsidRDefault="006D2A7C" w:rsidP="006D2A7C">
      <w:pPr>
        <w:pStyle w:val="Bibliography"/>
      </w:pPr>
      <w:r>
        <w:t>[199]</w:t>
      </w:r>
      <w:r>
        <w:tab/>
        <w:t xml:space="preserve">Y. Zhao, X. Liu, X. Jing, X. Wang, C. Gao, S. Dai, L. Yu, M. Sun, </w:t>
      </w:r>
      <w:r w:rsidR="003B6C96" w:rsidRPr="003B6C96">
        <w:t>Sol. RRL</w:t>
      </w:r>
      <w:r>
        <w:t xml:space="preserve"> 5 (2021) 2100127.</w:t>
      </w:r>
    </w:p>
    <w:p w14:paraId="00FD28AF" w14:textId="5B58AB2E" w:rsidR="006D2A7C" w:rsidRDefault="006D2A7C" w:rsidP="006D2A7C">
      <w:pPr>
        <w:pStyle w:val="Bibliography"/>
      </w:pPr>
      <w:r>
        <w:t>[200]</w:t>
      </w:r>
      <w:r>
        <w:tab/>
        <w:t xml:space="preserve">J. Chen, J. Cao, L. Liu, L. Xie, H. Zhou, J. Zhang, K. Zhang, M. Xiao, F. Huang, </w:t>
      </w:r>
      <w:r w:rsidR="009B179C" w:rsidRPr="009B179C">
        <w:t>Adv. Funct. Mater.</w:t>
      </w:r>
      <w:r>
        <w:t xml:space="preserve"> 32 (2022)</w:t>
      </w:r>
      <w:r w:rsidR="00341637">
        <w:t xml:space="preserve"> </w:t>
      </w:r>
      <w:r w:rsidR="00341637" w:rsidRPr="00341637">
        <w:t>202200629</w:t>
      </w:r>
      <w:r>
        <w:t>.</w:t>
      </w:r>
    </w:p>
    <w:p w14:paraId="0B0E64B8" w14:textId="5F0ACB51" w:rsidR="006D2A7C" w:rsidRDefault="006D2A7C" w:rsidP="006D2A7C">
      <w:pPr>
        <w:pStyle w:val="Bibliography"/>
      </w:pPr>
      <w:r>
        <w:t>[201]</w:t>
      </w:r>
      <w:r>
        <w:tab/>
        <w:t>S. Geng, Z. Zhang, T. Huang, H. Guan, Z. Cao, D. Wang, Q. Liao, J. Zhang, Opt</w:t>
      </w:r>
      <w:r w:rsidR="000A29F5">
        <w:t xml:space="preserve">. </w:t>
      </w:r>
      <w:r>
        <w:t>Mater</w:t>
      </w:r>
      <w:r w:rsidR="000A29F5">
        <w:t>.</w:t>
      </w:r>
      <w:r>
        <w:t xml:space="preserve"> 141 (2023)</w:t>
      </w:r>
      <w:r w:rsidR="00341637">
        <w:t xml:space="preserve"> </w:t>
      </w:r>
      <w:r w:rsidR="00341637" w:rsidRPr="00341637">
        <w:t>113890</w:t>
      </w:r>
      <w:r>
        <w:t>.</w:t>
      </w:r>
    </w:p>
    <w:p w14:paraId="423AA197" w14:textId="40C84BD2" w:rsidR="006D2A7C" w:rsidRDefault="006D2A7C" w:rsidP="006D2A7C">
      <w:pPr>
        <w:pStyle w:val="Bibliography"/>
      </w:pPr>
      <w:r>
        <w:t>[202]</w:t>
      </w:r>
      <w:r>
        <w:tab/>
        <w:t xml:space="preserve">Z. Peng, Y. Zhang, X. Sun, W. Zhao, F. Bian, Y. Geng, L. Ye, C. Yang, </w:t>
      </w:r>
      <w:r w:rsidR="009B179C" w:rsidRPr="009B179C">
        <w:t>Adv. Funct. Mater.</w:t>
      </w:r>
      <w:r>
        <w:t xml:space="preserve"> 33 (2023)</w:t>
      </w:r>
      <w:r w:rsidR="00341637">
        <w:t xml:space="preserve"> </w:t>
      </w:r>
      <w:r w:rsidR="00341637" w:rsidRPr="00341637">
        <w:t>202213248</w:t>
      </w:r>
      <w:r>
        <w:t>.</w:t>
      </w:r>
    </w:p>
    <w:p w14:paraId="5E55EC6B" w14:textId="4A76D95D" w:rsidR="006D2A7C" w:rsidRDefault="006D2A7C" w:rsidP="006D2A7C">
      <w:pPr>
        <w:pStyle w:val="Bibliography"/>
      </w:pPr>
      <w:r>
        <w:lastRenderedPageBreak/>
        <w:t>[203]</w:t>
      </w:r>
      <w:r>
        <w:tab/>
        <w:t xml:space="preserve">H. Feng, Z. Liu, Y. Bao, B. Zhao, B. Wu, Z. Bi, W. Wu, W. Ma, C. Gao, </w:t>
      </w:r>
      <w:r w:rsidR="00057F07" w:rsidRPr="00057F07">
        <w:t xml:space="preserve">J. Mater. Chem. C </w:t>
      </w:r>
      <w:r>
        <w:t>11 (2023) 2921</w:t>
      </w:r>
      <w:r w:rsidR="00341637">
        <w:t>-</w:t>
      </w:r>
      <w:r>
        <w:t>2929.</w:t>
      </w:r>
    </w:p>
    <w:p w14:paraId="215B9CD7" w14:textId="3FE96195" w:rsidR="006D2A7C" w:rsidRDefault="006D2A7C" w:rsidP="006D2A7C">
      <w:pPr>
        <w:pStyle w:val="Bibliography"/>
      </w:pPr>
      <w:r>
        <w:t>[204]</w:t>
      </w:r>
      <w:r>
        <w:tab/>
        <w:t xml:space="preserve">Y.-C. Lin, C.-H. Chen, B.-S. Tsai, T.-F. Hsueh, C.-S. Tsao, S. Tan, B. Chang, Y.-N. Chang, T.-Y. Chu, C.-E. Tsai, C.-S. Chen, Y. Yang, K.-H. Wei, </w:t>
      </w:r>
      <w:r w:rsidR="009B179C" w:rsidRPr="009B179C">
        <w:t>Adv. Funct. Mater.</w:t>
      </w:r>
      <w:r>
        <w:t xml:space="preserve"> 33 (2023)</w:t>
      </w:r>
      <w:r w:rsidR="00341637">
        <w:t xml:space="preserve"> </w:t>
      </w:r>
      <w:r w:rsidR="00341637" w:rsidRPr="00341637">
        <w:t>202215095</w:t>
      </w:r>
      <w:r>
        <w:t>.</w:t>
      </w:r>
    </w:p>
    <w:p w14:paraId="529CA105" w14:textId="38D94E51" w:rsidR="006D2A7C" w:rsidRDefault="006D2A7C" w:rsidP="006D2A7C">
      <w:pPr>
        <w:pStyle w:val="Bibliography"/>
      </w:pPr>
      <w:r>
        <w:t>[205]</w:t>
      </w:r>
      <w:r>
        <w:tab/>
        <w:t xml:space="preserve">Y.-C. Lin, C.-H. Chen, H. Lin, M.-H. Li, B. Chang, T.-F. Hsueh, B.-. Tsai, Y. Yang, K.-H. Wei, </w:t>
      </w:r>
      <w:r w:rsidR="002819BD" w:rsidRPr="002819BD">
        <w:t>J. Mater. Chem. A</w:t>
      </w:r>
      <w:r>
        <w:t xml:space="preserve"> 10 (2022) 23037</w:t>
      </w:r>
      <w:r w:rsidR="00341637">
        <w:t>-</w:t>
      </w:r>
      <w:r>
        <w:t>23046.</w:t>
      </w:r>
    </w:p>
    <w:p w14:paraId="5DDA3081" w14:textId="1D6CC874" w:rsidR="006D2A7C" w:rsidRDefault="006D2A7C" w:rsidP="006D2A7C">
      <w:pPr>
        <w:pStyle w:val="Bibliography"/>
      </w:pPr>
      <w:r>
        <w:t>[206]</w:t>
      </w:r>
      <w:r>
        <w:tab/>
        <w:t xml:space="preserve">E. Moustafa, A.A.A. Torimtubun, J. Pallarès, L.F. Marsal, </w:t>
      </w:r>
      <w:r w:rsidR="003B6C96" w:rsidRPr="003B6C96">
        <w:t>Sol. RRL</w:t>
      </w:r>
      <w:r>
        <w:t xml:space="preserve"> 6 (2022)</w:t>
      </w:r>
      <w:r w:rsidR="00341637">
        <w:t xml:space="preserve"> </w:t>
      </w:r>
      <w:r w:rsidR="00341637" w:rsidRPr="00341637">
        <w:t>202100480</w:t>
      </w:r>
      <w:r>
        <w:t>.</w:t>
      </w:r>
    </w:p>
    <w:p w14:paraId="1683B017" w14:textId="4E03A482" w:rsidR="006D2A7C" w:rsidRDefault="006D2A7C" w:rsidP="006D2A7C">
      <w:pPr>
        <w:pStyle w:val="Bibliography"/>
      </w:pPr>
      <w:r>
        <w:t>[207]</w:t>
      </w:r>
      <w:r>
        <w:tab/>
        <w:t xml:space="preserve">X. Yuan, R. Sun, Y. Wu, T. Wang, Y. Wang, W. Wang, Y. Yu, J. Guo, Q. Wu, J. Min, </w:t>
      </w:r>
      <w:r w:rsidR="009B179C" w:rsidRPr="009B179C">
        <w:t>Adv. Funct. Mater.</w:t>
      </w:r>
      <w:r>
        <w:t xml:space="preserve"> 32 (2022)</w:t>
      </w:r>
      <w:r w:rsidR="00341637">
        <w:t xml:space="preserve"> </w:t>
      </w:r>
      <w:r w:rsidR="00341637" w:rsidRPr="00341637">
        <w:t>202200107</w:t>
      </w:r>
      <w:r>
        <w:t>.</w:t>
      </w:r>
    </w:p>
    <w:p w14:paraId="5507130F" w14:textId="234D4996" w:rsidR="006D2A7C" w:rsidRDefault="006D2A7C" w:rsidP="006D2A7C">
      <w:pPr>
        <w:pStyle w:val="Bibliography"/>
      </w:pPr>
      <w:r>
        <w:t>[208]</w:t>
      </w:r>
      <w:r>
        <w:tab/>
        <w:t>H. Feng, Y. Dai, L. Guo, D. Wang, H. Dong, Z. Liu, L. Zhang, Y. Zhu, C. Su, Y. Chen, W. Wu, Nano Res</w:t>
      </w:r>
      <w:r w:rsidR="000A29F5">
        <w:t>.</w:t>
      </w:r>
      <w:r>
        <w:t xml:space="preserve"> 15 (2022) 3222</w:t>
      </w:r>
      <w:r w:rsidR="00341637">
        <w:t>-</w:t>
      </w:r>
      <w:r>
        <w:t>3229.</w:t>
      </w:r>
    </w:p>
    <w:p w14:paraId="0B7302D7" w14:textId="2958C1FB" w:rsidR="006D2A7C" w:rsidRDefault="006D2A7C" w:rsidP="006D2A7C">
      <w:pPr>
        <w:pStyle w:val="Bibliography"/>
      </w:pPr>
      <w:r>
        <w:t>[209]</w:t>
      </w:r>
      <w:r>
        <w:tab/>
        <w:t xml:space="preserve">X. Ma, C. Tang, Y. Ma, X. Zhu, J. Wang, J. Gao, C. Xu, Y. Wang, J. Zhang, Q. Zheng, F. Zhang, </w:t>
      </w:r>
      <w:r w:rsidR="002819BD" w:rsidRPr="002819BD">
        <w:t>ACS Appl. Mater. Interfaces</w:t>
      </w:r>
      <w:r>
        <w:t xml:space="preserve"> 13 (2021) 57684</w:t>
      </w:r>
      <w:r w:rsidR="00341637">
        <w:t>-</w:t>
      </w:r>
      <w:r>
        <w:t>57692.</w:t>
      </w:r>
    </w:p>
    <w:p w14:paraId="5640A428" w14:textId="77777777" w:rsidR="006D2A7C" w:rsidRDefault="006D2A7C" w:rsidP="006D2A7C">
      <w:pPr>
        <w:pStyle w:val="Bibliography"/>
      </w:pPr>
      <w:r>
        <w:t>[210]</w:t>
      </w:r>
      <w:r>
        <w:tab/>
        <w:t>G. Xie, Z. Zhang, Z. Su, X. Zhang, J. Zhang, Nano Energy 69 (2020) 104447.</w:t>
      </w:r>
    </w:p>
    <w:p w14:paraId="08E67943" w14:textId="3465A2B0" w:rsidR="006D2A7C" w:rsidRDefault="006D2A7C" w:rsidP="006D2A7C">
      <w:pPr>
        <w:pStyle w:val="Bibliography"/>
      </w:pPr>
      <w:r>
        <w:t>[211]</w:t>
      </w:r>
      <w:r>
        <w:tab/>
        <w:t>Y. Chang, T.-K. Lau, P.C.Y. Chow, N. Wu, D. Su, W. Zhang, H. Meng, C. Ma, T. Liu, K. Li, X. Zou, K.S. Wong, X. Lu, H. Yan, C. Zhan, J. Mater. Chem. A 8 (2020) 3676</w:t>
      </w:r>
      <w:r w:rsidR="00341637">
        <w:t>-</w:t>
      </w:r>
      <w:r>
        <w:t>3685.</w:t>
      </w:r>
    </w:p>
    <w:p w14:paraId="0CC6B3F1" w14:textId="4B00E3D9" w:rsidR="006D2A7C" w:rsidRDefault="006D2A7C" w:rsidP="006D2A7C">
      <w:pPr>
        <w:pStyle w:val="Bibliography"/>
      </w:pPr>
      <w:r>
        <w:t>[212]</w:t>
      </w:r>
      <w:r>
        <w:tab/>
        <w:t>J. Han, X. Wang, D. Huang, C. Yang, R. Yang, X. Bao, Macromol</w:t>
      </w:r>
      <w:r w:rsidR="000A29F5">
        <w:t>.</w:t>
      </w:r>
      <w:r>
        <w:t xml:space="preserve"> 53 (2020) 6619</w:t>
      </w:r>
      <w:r w:rsidR="00341637">
        <w:t>-</w:t>
      </w:r>
      <w:r>
        <w:t>6629.</w:t>
      </w:r>
    </w:p>
    <w:p w14:paraId="3DF1EBA8" w14:textId="794B095F" w:rsidR="006D2A7C" w:rsidRDefault="006D2A7C" w:rsidP="006D2A7C">
      <w:pPr>
        <w:pStyle w:val="Bibliography"/>
      </w:pPr>
      <w:r>
        <w:t>[213]</w:t>
      </w:r>
      <w:r>
        <w:tab/>
        <w:t xml:space="preserve">R. Yu, H. Yao, Y. Cui, L. Hong, C. He, J. Hou, </w:t>
      </w:r>
      <w:r w:rsidR="009B179C" w:rsidRPr="009B179C">
        <w:t>Adv. Mater.</w:t>
      </w:r>
      <w:r>
        <w:t xml:space="preserve"> 31 (2019) 1902302.</w:t>
      </w:r>
    </w:p>
    <w:p w14:paraId="04EA7456" w14:textId="6D18B89D" w:rsidR="006D2A7C" w:rsidRDefault="006D2A7C" w:rsidP="006D2A7C">
      <w:pPr>
        <w:pStyle w:val="Bibliography"/>
      </w:pPr>
      <w:r>
        <w:t>[214]</w:t>
      </w:r>
      <w:r>
        <w:tab/>
        <w:t>M.-A. Pan, T.-K. Lau, Y. Tang, Y.-C. Wu, T. Liu, K. Li, M.-C. Chen, X. Lu, W. Ma, C. Zhan, J. Mater. Chem. A 7 (2019) 20713</w:t>
      </w:r>
      <w:r w:rsidR="00341637">
        <w:t>-</w:t>
      </w:r>
      <w:r>
        <w:t>20722.</w:t>
      </w:r>
    </w:p>
    <w:p w14:paraId="317DB4BA" w14:textId="4A7EF52F" w:rsidR="006D2A7C" w:rsidRDefault="006D2A7C" w:rsidP="006D2A7C">
      <w:pPr>
        <w:pStyle w:val="Bibliography"/>
      </w:pPr>
      <w:r>
        <w:t>[215]</w:t>
      </w:r>
      <w:r>
        <w:tab/>
        <w:t xml:space="preserve">S. Li, L. Zhan, Y. Jin, G. Zhou, T.-K. Lau, R. Qin, M. Shi, C.-Z. Li, H. Zhu, X. Lu, F. Zhang, H. Chen, </w:t>
      </w:r>
      <w:r w:rsidR="009B179C" w:rsidRPr="009B179C">
        <w:t>Adv. Mater.</w:t>
      </w:r>
      <w:r>
        <w:t xml:space="preserve"> 32 (2020) 2001160.</w:t>
      </w:r>
    </w:p>
    <w:p w14:paraId="3E8B00DD" w14:textId="1816C48B" w:rsidR="006D2A7C" w:rsidRDefault="006D2A7C" w:rsidP="006D2A7C">
      <w:pPr>
        <w:pStyle w:val="Bibliography"/>
      </w:pPr>
      <w:r>
        <w:t>[216]</w:t>
      </w:r>
      <w:r>
        <w:tab/>
        <w:t>D. Su, M.-A. Pan, Z. Liu, T.-K. Lau, X. Li, F. Shen, S. Huo, X. Lu, A. Xu, H. Yan, C. Zhan, Chem. Mater. 31 (2019) 8908</w:t>
      </w:r>
      <w:r w:rsidR="00341637">
        <w:t>-</w:t>
      </w:r>
      <w:r>
        <w:t>8917.</w:t>
      </w:r>
    </w:p>
    <w:p w14:paraId="75ACE816" w14:textId="7E1E7AEB" w:rsidR="006D2A7C" w:rsidRDefault="006D2A7C" w:rsidP="006D2A7C">
      <w:pPr>
        <w:pStyle w:val="Bibliography"/>
      </w:pPr>
      <w:r>
        <w:t>[217]</w:t>
      </w:r>
      <w:r>
        <w:tab/>
        <w:t>Q. An, J. Wang, W. Gao, X. Ma, Z. Hu, J. Gao, C. Xu, M. Hao, X. Zhang, C. Yang, F. Zhang, Sci</w:t>
      </w:r>
      <w:r w:rsidR="000A29F5">
        <w:t>.</w:t>
      </w:r>
      <w:r>
        <w:t xml:space="preserve"> Bull</w:t>
      </w:r>
      <w:r w:rsidR="000A29F5">
        <w:t>.</w:t>
      </w:r>
      <w:r>
        <w:t xml:space="preserve"> 65 (2020) 538</w:t>
      </w:r>
      <w:r w:rsidR="00341637">
        <w:t>-</w:t>
      </w:r>
      <w:r>
        <w:t>545.</w:t>
      </w:r>
    </w:p>
    <w:p w14:paraId="055090FA" w14:textId="241E89A4" w:rsidR="006D2A7C" w:rsidRDefault="006D2A7C" w:rsidP="006D2A7C">
      <w:pPr>
        <w:pStyle w:val="Bibliography"/>
      </w:pPr>
      <w:r>
        <w:t>[218]</w:t>
      </w:r>
      <w:r>
        <w:tab/>
        <w:t>S. Dong, K. Zhang, T. Jia, W. Zhong, X. Wang, F. Huang, Y. Cao, EcoMat 1 (2019) 12006.</w:t>
      </w:r>
    </w:p>
    <w:p w14:paraId="7ED67965" w14:textId="4C6D020F" w:rsidR="006D2A7C" w:rsidRDefault="006D2A7C" w:rsidP="006D2A7C">
      <w:pPr>
        <w:pStyle w:val="Bibliography"/>
      </w:pPr>
      <w:r>
        <w:t>[219]</w:t>
      </w:r>
      <w:r>
        <w:tab/>
        <w:t>X. Du, J. Zhao, H. Zhang, X. Lu, L. Zhou, Z. Chen, H. Lin, C. Zheng, S. Tao, J. Mater. Chem. A 7 (2019) 20139</w:t>
      </w:r>
      <w:r w:rsidR="00341637">
        <w:t>-</w:t>
      </w:r>
      <w:r>
        <w:t>20150.</w:t>
      </w:r>
    </w:p>
    <w:p w14:paraId="04FC08D6" w14:textId="3F1ED091" w:rsidR="006D2A7C" w:rsidRDefault="006D2A7C" w:rsidP="006D2A7C">
      <w:pPr>
        <w:pStyle w:val="Bibliography"/>
      </w:pPr>
      <w:r>
        <w:t>[220]</w:t>
      </w:r>
      <w:r>
        <w:tab/>
        <w:t xml:space="preserve">X. Du, Y. Yuan, L. Zhou, H. Lin, C. Zheng, J. Luo, Z. Chen, S. Tao, L.-S. Liao, </w:t>
      </w:r>
      <w:r w:rsidR="009B179C" w:rsidRPr="009B179C">
        <w:t>Adv. Funct. Mater.</w:t>
      </w:r>
      <w:r>
        <w:t xml:space="preserve"> 30 (2020) 1909837.</w:t>
      </w:r>
    </w:p>
    <w:p w14:paraId="53EBB802" w14:textId="233E8C8E" w:rsidR="006D2A7C" w:rsidRDefault="006D2A7C" w:rsidP="006D2A7C">
      <w:pPr>
        <w:pStyle w:val="Bibliography"/>
      </w:pPr>
      <w:r>
        <w:t>[221]</w:t>
      </w:r>
      <w:r>
        <w:tab/>
        <w:t xml:space="preserve">Y. Qin, Y. Xu, Z. Peng, J. Hou, H. Ade, </w:t>
      </w:r>
      <w:r w:rsidR="009B179C" w:rsidRPr="009B179C">
        <w:t>Adv. Funct. Mater.</w:t>
      </w:r>
      <w:r>
        <w:t xml:space="preserve"> 30 (2020) 2005011.</w:t>
      </w:r>
    </w:p>
    <w:p w14:paraId="14FEFC65" w14:textId="655294AA" w:rsidR="006D2A7C" w:rsidRDefault="006D2A7C" w:rsidP="006D2A7C">
      <w:pPr>
        <w:pStyle w:val="Bibliography"/>
      </w:pPr>
      <w:r>
        <w:t>[222]</w:t>
      </w:r>
      <w:r>
        <w:tab/>
        <w:t xml:space="preserve">Y. Lin, B. Adilbekova, Y. Firdaus, E. Yengel, H. Faber, M. Sajjad, X. Zheng, E. Yarali, A. Seitkhan, O.M. Bakr, A. El-Labban, U. Schwingenschlögl, V. Tung, I. McCulloch, F. Laquai, T.D. Anthopoulos, </w:t>
      </w:r>
      <w:r w:rsidR="009B179C" w:rsidRPr="009B179C">
        <w:t>Adv. Mater.</w:t>
      </w:r>
      <w:r>
        <w:t xml:space="preserve"> 31 (2019) 1902965.</w:t>
      </w:r>
    </w:p>
    <w:p w14:paraId="1525761A" w14:textId="10BECA73" w:rsidR="006D2A7C" w:rsidRDefault="006D2A7C" w:rsidP="006D2A7C">
      <w:pPr>
        <w:pStyle w:val="Bibliography"/>
      </w:pPr>
      <w:r>
        <w:t>[223]</w:t>
      </w:r>
      <w:r>
        <w:tab/>
        <w:t>H. Xu, H. Zou, D. Zhou, G. Zeng, L. Chen, X. Liao, Y. Chen, ACS Appl. Mater. Interfaces 12 (2020) 52028</w:t>
      </w:r>
      <w:r w:rsidR="00341637">
        <w:t>-</w:t>
      </w:r>
      <w:r>
        <w:t>52037.</w:t>
      </w:r>
    </w:p>
    <w:p w14:paraId="59307AE4" w14:textId="68211D95" w:rsidR="006D2A7C" w:rsidRDefault="006D2A7C" w:rsidP="006D2A7C">
      <w:pPr>
        <w:pStyle w:val="Bibliography"/>
      </w:pPr>
      <w:r>
        <w:t>[224]</w:t>
      </w:r>
      <w:r>
        <w:tab/>
        <w:t>B.-H. Jiang, H.-E. Lee, J.-H. Lu, T.-H. Tsai, T.-S. Shieh, R.-J. Jeng, C.-P. Chen, ACS Appl. Mater. Interfaces 12 (2020) 39496</w:t>
      </w:r>
      <w:r w:rsidR="00341637">
        <w:t>-</w:t>
      </w:r>
      <w:r>
        <w:t>39504.</w:t>
      </w:r>
    </w:p>
    <w:p w14:paraId="33E7668E" w14:textId="57C9A2E8" w:rsidR="006D2A7C" w:rsidRDefault="006D2A7C" w:rsidP="006D2A7C">
      <w:pPr>
        <w:pStyle w:val="Bibliography"/>
      </w:pPr>
      <w:r>
        <w:t>[225]</w:t>
      </w:r>
      <w:r>
        <w:tab/>
        <w:t>K. Jiang, Q. Wei, J.Y.L. Lai, Z. Peng, H.K. Kim, J. Yuan, L. Ye, H. Ade, Y. Zou, H. Yan, Joule 3 (2019) 3020</w:t>
      </w:r>
      <w:r w:rsidR="00341637">
        <w:t>-</w:t>
      </w:r>
      <w:r>
        <w:t>3033.</w:t>
      </w:r>
    </w:p>
    <w:p w14:paraId="4F561460" w14:textId="7AC615FD" w:rsidR="006D2A7C" w:rsidRDefault="006D2A7C" w:rsidP="006D2A7C">
      <w:pPr>
        <w:pStyle w:val="Bibliography"/>
      </w:pPr>
      <w:r>
        <w:t>[226]</w:t>
      </w:r>
      <w:r>
        <w:tab/>
        <w:t xml:space="preserve">M. Cui, D. Li, X. Du, N. Li, Q. Rong, N. Li, L. Shui, G. Zhou, X. Wang, C.J. Brabec, L. Nian, </w:t>
      </w:r>
      <w:r w:rsidR="009B179C" w:rsidRPr="009B179C">
        <w:t>Adv. Mater.</w:t>
      </w:r>
      <w:r>
        <w:t xml:space="preserve"> 32 (2020) 2002973.</w:t>
      </w:r>
    </w:p>
    <w:p w14:paraId="345888F5" w14:textId="3368B02B" w:rsidR="006D2A7C" w:rsidRDefault="006D2A7C" w:rsidP="006D2A7C">
      <w:pPr>
        <w:pStyle w:val="Bibliography"/>
      </w:pPr>
      <w:r>
        <w:lastRenderedPageBreak/>
        <w:t>[227]</w:t>
      </w:r>
      <w:r>
        <w:tab/>
        <w:t>D. Li, X. Chen, J. Cai, W. Li, M. Chen, Y. Mao, B. Du, J.A. Smith, R.C. Kilbride, M.E. O’Kane, X. Zhang, Y. Zhuang, P. Wang, H. Wang, D. Liu, R.A.L. Jones, D.G. Lidzey, T. Wang, Sci. China Chem. 63 (2020) 1461</w:t>
      </w:r>
      <w:r w:rsidR="00341637">
        <w:t>-</w:t>
      </w:r>
      <w:r>
        <w:t>1468.</w:t>
      </w:r>
    </w:p>
    <w:p w14:paraId="438AEFED" w14:textId="37D03B6D" w:rsidR="006D2A7C" w:rsidRDefault="006D2A7C" w:rsidP="006D2A7C">
      <w:pPr>
        <w:pStyle w:val="Bibliography"/>
      </w:pPr>
      <w:r>
        <w:t>[228]</w:t>
      </w:r>
      <w:r>
        <w:tab/>
        <w:t xml:space="preserve">W. Zhang, J. Huang, J. Xu, M. Han, D. Su, N. Wu, C. Zhang, A. Xu, C. Zhan, </w:t>
      </w:r>
      <w:r w:rsidR="00632F91" w:rsidRPr="00632F91">
        <w:t>Adv. Energy Mater.</w:t>
      </w:r>
      <w:r>
        <w:t xml:space="preserve"> 10 (2020) 2001436.</w:t>
      </w:r>
    </w:p>
    <w:p w14:paraId="44233788" w14:textId="6BE6ACD8" w:rsidR="006D2A7C" w:rsidRDefault="006D2A7C" w:rsidP="006D2A7C">
      <w:pPr>
        <w:pStyle w:val="Bibliography"/>
      </w:pPr>
      <w:r>
        <w:t>[229]</w:t>
      </w:r>
      <w:r>
        <w:tab/>
        <w:t>Q. An, J. Wang, F. Zhang, Nano Energy 60 (2019) 768</w:t>
      </w:r>
      <w:r w:rsidR="00341637">
        <w:t>-</w:t>
      </w:r>
      <w:r>
        <w:t>774.</w:t>
      </w:r>
    </w:p>
    <w:p w14:paraId="16162D7B" w14:textId="66F19561" w:rsidR="006D2A7C" w:rsidRDefault="006D2A7C" w:rsidP="006D2A7C">
      <w:pPr>
        <w:pStyle w:val="Bibliography"/>
      </w:pPr>
      <w:r>
        <w:t>[230]</w:t>
      </w:r>
      <w:r>
        <w:tab/>
        <w:t>L. Guo, Z. Xu, X. Jiao, Q. Ruan, X. Xie, B. Xiao, Q. Li, Y.-P. Cai, S. Liu, ACS Appl. Energy Mater. 4 (2021) 10187</w:t>
      </w:r>
      <w:r w:rsidR="00341637">
        <w:t>-</w:t>
      </w:r>
      <w:r>
        <w:t>10196.</w:t>
      </w:r>
    </w:p>
    <w:p w14:paraId="6BDB8FB0" w14:textId="77777777" w:rsidR="006D2A7C" w:rsidRDefault="006D2A7C" w:rsidP="006D2A7C">
      <w:pPr>
        <w:pStyle w:val="Bibliography"/>
      </w:pPr>
      <w:r>
        <w:t>[231]</w:t>
      </w:r>
      <w:r>
        <w:tab/>
        <w:t>W. Song, Y. Liu, B. Fanady, Y. Han, L. Xie, Z. Chen, K. Yu, X. Peng, X. Zhang, Z. Ge, Nano Energy 86 (2021) 106044.</w:t>
      </w:r>
    </w:p>
    <w:p w14:paraId="61244221" w14:textId="49FB56CD" w:rsidR="006D2A7C" w:rsidRDefault="006D2A7C" w:rsidP="006D2A7C">
      <w:pPr>
        <w:pStyle w:val="Bibliography"/>
      </w:pPr>
      <w:r>
        <w:t>[232]</w:t>
      </w:r>
      <w:r>
        <w:tab/>
        <w:t>R. Yu, X. Wei, G. Wu, T. Zhang, Y. Gong, B. Zhao, J. Hou, C. Yang, Z. Tan, Energy Environ. Sci. 15 (2022) 822</w:t>
      </w:r>
      <w:r w:rsidR="00341637">
        <w:t>-</w:t>
      </w:r>
      <w:r>
        <w:t>829.</w:t>
      </w:r>
    </w:p>
    <w:p w14:paraId="4709DB1B" w14:textId="00C03ED4" w:rsidR="006D2A7C" w:rsidRDefault="006D2A7C" w:rsidP="006D2A7C">
      <w:pPr>
        <w:pStyle w:val="Bibliography"/>
      </w:pPr>
      <w:r>
        <w:t>[233]</w:t>
      </w:r>
      <w:r>
        <w:tab/>
        <w:t xml:space="preserve">C. Zhang, J. Li, W. Deng, J. Dai, J. Yu, G. Lu, H. Hu, K. Wang, </w:t>
      </w:r>
      <w:r w:rsidR="009B179C" w:rsidRPr="009B179C">
        <w:t>Adv. Funct. Mater.</w:t>
      </w:r>
      <w:r>
        <w:t xml:space="preserve"> 33 (2023) 2301108.</w:t>
      </w:r>
    </w:p>
    <w:p w14:paraId="602782F5" w14:textId="6A5DBCA1" w:rsidR="006D2A7C" w:rsidRDefault="006D2A7C" w:rsidP="006D2A7C">
      <w:pPr>
        <w:pStyle w:val="Bibliography"/>
      </w:pPr>
      <w:r>
        <w:t>[234]</w:t>
      </w:r>
      <w:r>
        <w:tab/>
        <w:t xml:space="preserve">R.E. Booth, H.M. Schrickx, G. Hanby, Y. Liu, Y. Qin, H. Ade, Y. Zhu, B.T. O’Connor, </w:t>
      </w:r>
      <w:r w:rsidR="003B6C96" w:rsidRPr="003B6C96">
        <w:t>Sol. RRL</w:t>
      </w:r>
      <w:r>
        <w:t xml:space="preserve"> 6 (2022) 2200264.</w:t>
      </w:r>
    </w:p>
    <w:p w14:paraId="66D7DD46" w14:textId="37EE43BA" w:rsidR="006D2A7C" w:rsidRDefault="006D2A7C" w:rsidP="006D2A7C">
      <w:pPr>
        <w:pStyle w:val="Bibliography"/>
      </w:pPr>
      <w:r>
        <w:t>[235]</w:t>
      </w:r>
      <w:r>
        <w:tab/>
        <w:t>G. Zeng, W. Chen, X. Chen, Y. Hu, Y. Chen, B. Zhang, H. Chen, W. Sun, Y. Shen, Y. Li, F. Yan, Y. Li, J. Am. Chem. Soc. 144 (2022) 8658</w:t>
      </w:r>
      <w:r w:rsidR="00341637">
        <w:t>-</w:t>
      </w:r>
      <w:r>
        <w:t>8668.</w:t>
      </w:r>
    </w:p>
    <w:p w14:paraId="0250B255" w14:textId="6E783306" w:rsidR="006D2A7C" w:rsidRDefault="006D2A7C" w:rsidP="006D2A7C">
      <w:pPr>
        <w:pStyle w:val="Bibliography"/>
      </w:pPr>
      <w:r>
        <w:t>[236]</w:t>
      </w:r>
      <w:r>
        <w:tab/>
        <w:t xml:space="preserve">Z. Liu, L. Wang, H. Zhao, P. Chen, X. Xie, </w:t>
      </w:r>
      <w:bookmarkStart w:id="28" w:name="_Hlk173313282"/>
      <w:r>
        <w:t>Org</w:t>
      </w:r>
      <w:r w:rsidR="00632F91">
        <w:t>.</w:t>
      </w:r>
      <w:r>
        <w:t xml:space="preserve"> Electron</w:t>
      </w:r>
      <w:r w:rsidR="00632F91">
        <w:t>.</w:t>
      </w:r>
      <w:bookmarkEnd w:id="28"/>
      <w:r>
        <w:t xml:space="preserve"> 120 (2023) 106828.</w:t>
      </w:r>
    </w:p>
    <w:p w14:paraId="6CD60991" w14:textId="2A8C0F4D" w:rsidR="006D2A7C" w:rsidRDefault="006D2A7C" w:rsidP="006D2A7C">
      <w:pPr>
        <w:pStyle w:val="Bibliography"/>
      </w:pPr>
      <w:r>
        <w:t>[237]</w:t>
      </w:r>
      <w:r>
        <w:tab/>
        <w:t>Z. Liu, L. Wang, X. Xie, P. Chen, Phys. Chem. Chem. Phys. 25 (2023) 15263</w:t>
      </w:r>
      <w:r w:rsidR="00341637">
        <w:t>-</w:t>
      </w:r>
      <w:r>
        <w:t>15270.</w:t>
      </w:r>
    </w:p>
    <w:p w14:paraId="793DB437" w14:textId="4EACDCE4" w:rsidR="003D460F" w:rsidRPr="00B452EB" w:rsidRDefault="003F3787" w:rsidP="007C3F79">
      <w:pPr>
        <w:jc w:val="both"/>
        <w:rPr>
          <w:vertAlign w:val="subscript"/>
        </w:rPr>
      </w:pPr>
      <w:r w:rsidRPr="0011125B">
        <w:rPr>
          <w:vertAlign w:val="subscript"/>
        </w:rPr>
        <w:fldChar w:fldCharType="end"/>
      </w:r>
    </w:p>
    <w:sectPr w:rsidR="003D460F" w:rsidRPr="00B452EB" w:rsidSect="009620C7">
      <w:headerReference w:type="default" r:id="rId24"/>
      <w:footerReference w:type="default" r:id="rId25"/>
      <w:pgSz w:w="12240" w:h="15840"/>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62B0BB" w14:textId="77777777" w:rsidR="0015206C" w:rsidRDefault="0015206C" w:rsidP="00085BD2">
      <w:r>
        <w:separator/>
      </w:r>
    </w:p>
  </w:endnote>
  <w:endnote w:type="continuationSeparator" w:id="0">
    <w:p w14:paraId="79E83550" w14:textId="77777777" w:rsidR="0015206C" w:rsidRDefault="0015206C" w:rsidP="00085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42E80" w14:textId="77777777" w:rsidR="001276FE" w:rsidRDefault="00A2034A" w:rsidP="00085BD2">
    <w:pPr>
      <w:pStyle w:val="Footer"/>
      <w:jc w:val="center"/>
    </w:pPr>
    <w:r>
      <w:t>S</w:t>
    </w:r>
    <w:r w:rsidR="003F3787">
      <w:fldChar w:fldCharType="begin"/>
    </w:r>
    <w:r w:rsidR="006F09F0">
      <w:instrText>PAGE   \* MERGEFORMAT</w:instrText>
    </w:r>
    <w:r w:rsidR="003F3787">
      <w:fldChar w:fldCharType="separate"/>
    </w:r>
    <w:r w:rsidR="00247888">
      <w:rPr>
        <w:noProof/>
      </w:rPr>
      <w:t>25</w:t>
    </w:r>
    <w:r w:rsidR="003F3787">
      <w:rPr>
        <w:noProof/>
      </w:rPr>
      <w:fldChar w:fldCharType="end"/>
    </w:r>
  </w:p>
  <w:p w14:paraId="4C48BCD7" w14:textId="77777777" w:rsidR="001276FE" w:rsidRDefault="001276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B7BB72" w14:textId="77777777" w:rsidR="0015206C" w:rsidRDefault="0015206C" w:rsidP="00085BD2">
      <w:r>
        <w:separator/>
      </w:r>
    </w:p>
  </w:footnote>
  <w:footnote w:type="continuationSeparator" w:id="0">
    <w:p w14:paraId="76A5249E" w14:textId="77777777" w:rsidR="0015206C" w:rsidRDefault="0015206C" w:rsidP="00085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D27DFA" w14:textId="77777777" w:rsidR="001276FE" w:rsidRDefault="001276F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D14CFE"/>
    <w:multiLevelType w:val="hybridMultilevel"/>
    <w:tmpl w:val="CC8ED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4E77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AF52BF"/>
    <w:multiLevelType w:val="multilevel"/>
    <w:tmpl w:val="5608F0EC"/>
    <w:lvl w:ilvl="0">
      <w:start w:val="1"/>
      <w:numFmt w:val="none"/>
      <w:lvlText w:val="2"/>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305A2C35"/>
    <w:multiLevelType w:val="multilevel"/>
    <w:tmpl w:val="689CB7A8"/>
    <w:lvl w:ilvl="0">
      <w:start w:val="1"/>
      <w:numFmt w:val="none"/>
      <w:pStyle w:val="Heading1"/>
      <w:lvlText w:val="2.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380851DC"/>
    <w:multiLevelType w:val="multilevel"/>
    <w:tmpl w:val="8D009E8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440" w:hanging="144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800" w:hanging="1800"/>
      </w:pPr>
      <w:rPr>
        <w:rFonts w:hint="default"/>
        <w:b w:val="0"/>
      </w:rPr>
    </w:lvl>
  </w:abstractNum>
  <w:abstractNum w:abstractNumId="5" w15:restartNumberingAfterBreak="0">
    <w:nsid w:val="519D407A"/>
    <w:multiLevelType w:val="hybridMultilevel"/>
    <w:tmpl w:val="4BBAA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441E05"/>
    <w:multiLevelType w:val="multilevel"/>
    <w:tmpl w:val="0E925B88"/>
    <w:lvl w:ilvl="0">
      <w:start w:val="1"/>
      <w:numFmt w:val="none"/>
      <w:lvlText w:val="2.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5FE64A81"/>
    <w:multiLevelType w:val="multilevel"/>
    <w:tmpl w:val="F9664196"/>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602653AE"/>
    <w:multiLevelType w:val="hybridMultilevel"/>
    <w:tmpl w:val="4D1A4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B356B5"/>
    <w:multiLevelType w:val="hybridMultilevel"/>
    <w:tmpl w:val="6EE4AD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67434447">
    <w:abstractNumId w:val="8"/>
  </w:num>
  <w:num w:numId="2" w16cid:durableId="1969163021">
    <w:abstractNumId w:val="0"/>
  </w:num>
  <w:num w:numId="3" w16cid:durableId="1658604202">
    <w:abstractNumId w:val="1"/>
  </w:num>
  <w:num w:numId="4" w16cid:durableId="1910528945">
    <w:abstractNumId w:val="6"/>
  </w:num>
  <w:num w:numId="5" w16cid:durableId="17048747">
    <w:abstractNumId w:val="3"/>
  </w:num>
  <w:num w:numId="6" w16cid:durableId="1226138826">
    <w:abstractNumId w:val="2"/>
  </w:num>
  <w:num w:numId="7" w16cid:durableId="1260794722">
    <w:abstractNumId w:val="4"/>
  </w:num>
  <w:num w:numId="8" w16cid:durableId="167646637">
    <w:abstractNumId w:val="7"/>
  </w:num>
  <w:num w:numId="9" w16cid:durableId="1827933830">
    <w:abstractNumId w:val="5"/>
  </w:num>
  <w:num w:numId="10" w16cid:durableId="12658430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bordersDoNotSurroundHeader/>
  <w:bordersDoNotSurroundFooter/>
  <w:hideSpellingErrors/>
  <w:attachedTemplate r:id="rId1"/>
  <w:linkStyles/>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c0NTc0NjEwMTM1NDBR0lEKTi0uzszPAykwrwUAkq0YZCwAAAA="/>
  </w:docVars>
  <w:rsids>
    <w:rsidRoot w:val="00C46DE4"/>
    <w:rsid w:val="0000017B"/>
    <w:rsid w:val="00005859"/>
    <w:rsid w:val="000061FB"/>
    <w:rsid w:val="00013F81"/>
    <w:rsid w:val="00021222"/>
    <w:rsid w:val="000221F4"/>
    <w:rsid w:val="00022E32"/>
    <w:rsid w:val="00023359"/>
    <w:rsid w:val="000242AF"/>
    <w:rsid w:val="00024399"/>
    <w:rsid w:val="00025822"/>
    <w:rsid w:val="000262A8"/>
    <w:rsid w:val="00027522"/>
    <w:rsid w:val="00031E7F"/>
    <w:rsid w:val="000326D2"/>
    <w:rsid w:val="00032DAA"/>
    <w:rsid w:val="0003576F"/>
    <w:rsid w:val="000375E8"/>
    <w:rsid w:val="000422A5"/>
    <w:rsid w:val="00044FA3"/>
    <w:rsid w:val="00052C9E"/>
    <w:rsid w:val="0005413B"/>
    <w:rsid w:val="00057F07"/>
    <w:rsid w:val="00070AFF"/>
    <w:rsid w:val="00071D4F"/>
    <w:rsid w:val="000734F2"/>
    <w:rsid w:val="000744D4"/>
    <w:rsid w:val="000764B7"/>
    <w:rsid w:val="00076DEF"/>
    <w:rsid w:val="0008068B"/>
    <w:rsid w:val="000827FB"/>
    <w:rsid w:val="00085BD2"/>
    <w:rsid w:val="00086FB4"/>
    <w:rsid w:val="00087563"/>
    <w:rsid w:val="0008757D"/>
    <w:rsid w:val="00091A27"/>
    <w:rsid w:val="00091EED"/>
    <w:rsid w:val="000925EA"/>
    <w:rsid w:val="00092BB2"/>
    <w:rsid w:val="00093944"/>
    <w:rsid w:val="00094610"/>
    <w:rsid w:val="00094B78"/>
    <w:rsid w:val="000A07C4"/>
    <w:rsid w:val="000A0A66"/>
    <w:rsid w:val="000A17A3"/>
    <w:rsid w:val="000A1857"/>
    <w:rsid w:val="000A29F5"/>
    <w:rsid w:val="000A3895"/>
    <w:rsid w:val="000A4A36"/>
    <w:rsid w:val="000A5D30"/>
    <w:rsid w:val="000A7A56"/>
    <w:rsid w:val="000B40A6"/>
    <w:rsid w:val="000B4DA4"/>
    <w:rsid w:val="000B5523"/>
    <w:rsid w:val="000B7D80"/>
    <w:rsid w:val="000C0BFD"/>
    <w:rsid w:val="000C4F7B"/>
    <w:rsid w:val="000C560A"/>
    <w:rsid w:val="000C5FDD"/>
    <w:rsid w:val="000D0839"/>
    <w:rsid w:val="000D36B6"/>
    <w:rsid w:val="000D3D01"/>
    <w:rsid w:val="000D4DDB"/>
    <w:rsid w:val="000D5AD0"/>
    <w:rsid w:val="000D5DE7"/>
    <w:rsid w:val="000D76C9"/>
    <w:rsid w:val="000E1C83"/>
    <w:rsid w:val="000E3342"/>
    <w:rsid w:val="000E3947"/>
    <w:rsid w:val="000E3B41"/>
    <w:rsid w:val="000E5CB3"/>
    <w:rsid w:val="000E7A4A"/>
    <w:rsid w:val="000F0DBE"/>
    <w:rsid w:val="000F3E7C"/>
    <w:rsid w:val="00104813"/>
    <w:rsid w:val="001073CF"/>
    <w:rsid w:val="00110D97"/>
    <w:rsid w:val="0011125B"/>
    <w:rsid w:val="001135E4"/>
    <w:rsid w:val="00114167"/>
    <w:rsid w:val="0011569C"/>
    <w:rsid w:val="00116072"/>
    <w:rsid w:val="00117630"/>
    <w:rsid w:val="00123072"/>
    <w:rsid w:val="00126B5A"/>
    <w:rsid w:val="001276FE"/>
    <w:rsid w:val="00127ACE"/>
    <w:rsid w:val="00132728"/>
    <w:rsid w:val="00132F86"/>
    <w:rsid w:val="00133475"/>
    <w:rsid w:val="00137F11"/>
    <w:rsid w:val="00143FC7"/>
    <w:rsid w:val="00144E99"/>
    <w:rsid w:val="00146682"/>
    <w:rsid w:val="00150803"/>
    <w:rsid w:val="00151FF6"/>
    <w:rsid w:val="0015206C"/>
    <w:rsid w:val="00154926"/>
    <w:rsid w:val="00157F34"/>
    <w:rsid w:val="00161191"/>
    <w:rsid w:val="00161E84"/>
    <w:rsid w:val="00162529"/>
    <w:rsid w:val="0016417E"/>
    <w:rsid w:val="001645C9"/>
    <w:rsid w:val="0017038C"/>
    <w:rsid w:val="00171417"/>
    <w:rsid w:val="00172A56"/>
    <w:rsid w:val="00175DAC"/>
    <w:rsid w:val="00176DC2"/>
    <w:rsid w:val="00180578"/>
    <w:rsid w:val="00182B93"/>
    <w:rsid w:val="00183810"/>
    <w:rsid w:val="001841F1"/>
    <w:rsid w:val="00187B93"/>
    <w:rsid w:val="00191077"/>
    <w:rsid w:val="001930AD"/>
    <w:rsid w:val="00195D2D"/>
    <w:rsid w:val="00196F55"/>
    <w:rsid w:val="001A0164"/>
    <w:rsid w:val="001A1570"/>
    <w:rsid w:val="001A4164"/>
    <w:rsid w:val="001A7A74"/>
    <w:rsid w:val="001A7BB9"/>
    <w:rsid w:val="001B1C8A"/>
    <w:rsid w:val="001B5398"/>
    <w:rsid w:val="001B5987"/>
    <w:rsid w:val="001B6D2F"/>
    <w:rsid w:val="001B7889"/>
    <w:rsid w:val="001B7D77"/>
    <w:rsid w:val="001C015E"/>
    <w:rsid w:val="001D0425"/>
    <w:rsid w:val="001D078E"/>
    <w:rsid w:val="001D0E03"/>
    <w:rsid w:val="001D1678"/>
    <w:rsid w:val="001D29F3"/>
    <w:rsid w:val="001D3491"/>
    <w:rsid w:val="001D51EB"/>
    <w:rsid w:val="001D580B"/>
    <w:rsid w:val="001E09AC"/>
    <w:rsid w:val="001E34D7"/>
    <w:rsid w:val="001E4042"/>
    <w:rsid w:val="001E616A"/>
    <w:rsid w:val="001F08CF"/>
    <w:rsid w:val="001F36B1"/>
    <w:rsid w:val="001F663D"/>
    <w:rsid w:val="002027B0"/>
    <w:rsid w:val="00203D3A"/>
    <w:rsid w:val="00205554"/>
    <w:rsid w:val="00206082"/>
    <w:rsid w:val="00207600"/>
    <w:rsid w:val="002129A3"/>
    <w:rsid w:val="002179A4"/>
    <w:rsid w:val="00217F0F"/>
    <w:rsid w:val="00217F18"/>
    <w:rsid w:val="00226CFB"/>
    <w:rsid w:val="002337E8"/>
    <w:rsid w:val="00233AE4"/>
    <w:rsid w:val="002347AE"/>
    <w:rsid w:val="00234DA7"/>
    <w:rsid w:val="002355A6"/>
    <w:rsid w:val="002359DA"/>
    <w:rsid w:val="00236166"/>
    <w:rsid w:val="00242AA5"/>
    <w:rsid w:val="00242BCC"/>
    <w:rsid w:val="00247888"/>
    <w:rsid w:val="00250525"/>
    <w:rsid w:val="0025061A"/>
    <w:rsid w:val="00250724"/>
    <w:rsid w:val="00250E73"/>
    <w:rsid w:val="00255BB5"/>
    <w:rsid w:val="002634AF"/>
    <w:rsid w:val="002634C4"/>
    <w:rsid w:val="002702B3"/>
    <w:rsid w:val="00270735"/>
    <w:rsid w:val="00270B91"/>
    <w:rsid w:val="00272783"/>
    <w:rsid w:val="00273E0C"/>
    <w:rsid w:val="002819BD"/>
    <w:rsid w:val="0028239C"/>
    <w:rsid w:val="00286AAE"/>
    <w:rsid w:val="00287C35"/>
    <w:rsid w:val="002905A9"/>
    <w:rsid w:val="00291B07"/>
    <w:rsid w:val="002947F8"/>
    <w:rsid w:val="00296248"/>
    <w:rsid w:val="002A33DD"/>
    <w:rsid w:val="002B5145"/>
    <w:rsid w:val="002B5D80"/>
    <w:rsid w:val="002B6149"/>
    <w:rsid w:val="002B6E3F"/>
    <w:rsid w:val="002C37F4"/>
    <w:rsid w:val="002C407E"/>
    <w:rsid w:val="002D0F32"/>
    <w:rsid w:val="002D2A48"/>
    <w:rsid w:val="002D4AB5"/>
    <w:rsid w:val="002D58AE"/>
    <w:rsid w:val="002D75B1"/>
    <w:rsid w:val="002E40DA"/>
    <w:rsid w:val="002E4549"/>
    <w:rsid w:val="002E6167"/>
    <w:rsid w:val="002F2296"/>
    <w:rsid w:val="00300516"/>
    <w:rsid w:val="00300A40"/>
    <w:rsid w:val="00301B05"/>
    <w:rsid w:val="00304C67"/>
    <w:rsid w:val="003050E6"/>
    <w:rsid w:val="003069FC"/>
    <w:rsid w:val="00307434"/>
    <w:rsid w:val="00307FEE"/>
    <w:rsid w:val="00311B2C"/>
    <w:rsid w:val="00312687"/>
    <w:rsid w:val="0031471B"/>
    <w:rsid w:val="00314DF6"/>
    <w:rsid w:val="0031621C"/>
    <w:rsid w:val="00316338"/>
    <w:rsid w:val="003164DD"/>
    <w:rsid w:val="00317FB5"/>
    <w:rsid w:val="00326656"/>
    <w:rsid w:val="00334962"/>
    <w:rsid w:val="00335E06"/>
    <w:rsid w:val="00341637"/>
    <w:rsid w:val="00343F9F"/>
    <w:rsid w:val="00344788"/>
    <w:rsid w:val="00347FD5"/>
    <w:rsid w:val="00351B3F"/>
    <w:rsid w:val="00351BB0"/>
    <w:rsid w:val="003577F3"/>
    <w:rsid w:val="00357E18"/>
    <w:rsid w:val="00360169"/>
    <w:rsid w:val="00360272"/>
    <w:rsid w:val="003623B9"/>
    <w:rsid w:val="0036299F"/>
    <w:rsid w:val="003635E3"/>
    <w:rsid w:val="00366838"/>
    <w:rsid w:val="003674AB"/>
    <w:rsid w:val="003679E4"/>
    <w:rsid w:val="00370B34"/>
    <w:rsid w:val="00371843"/>
    <w:rsid w:val="00373F56"/>
    <w:rsid w:val="00376F7B"/>
    <w:rsid w:val="00381149"/>
    <w:rsid w:val="003816BA"/>
    <w:rsid w:val="00381CFD"/>
    <w:rsid w:val="00386949"/>
    <w:rsid w:val="003903C4"/>
    <w:rsid w:val="003907A1"/>
    <w:rsid w:val="00390E8E"/>
    <w:rsid w:val="00391B26"/>
    <w:rsid w:val="00391C07"/>
    <w:rsid w:val="00392BA0"/>
    <w:rsid w:val="00393094"/>
    <w:rsid w:val="0039326F"/>
    <w:rsid w:val="003939CA"/>
    <w:rsid w:val="00396543"/>
    <w:rsid w:val="00396788"/>
    <w:rsid w:val="003A1D56"/>
    <w:rsid w:val="003A2B16"/>
    <w:rsid w:val="003A53C7"/>
    <w:rsid w:val="003B6952"/>
    <w:rsid w:val="003B6C70"/>
    <w:rsid w:val="003B6C96"/>
    <w:rsid w:val="003C2A64"/>
    <w:rsid w:val="003D257C"/>
    <w:rsid w:val="003D366B"/>
    <w:rsid w:val="003D460F"/>
    <w:rsid w:val="003E300C"/>
    <w:rsid w:val="003E3088"/>
    <w:rsid w:val="003E3844"/>
    <w:rsid w:val="003E6581"/>
    <w:rsid w:val="003F2050"/>
    <w:rsid w:val="003F212F"/>
    <w:rsid w:val="003F3787"/>
    <w:rsid w:val="003F7DCA"/>
    <w:rsid w:val="00401274"/>
    <w:rsid w:val="00402757"/>
    <w:rsid w:val="004044F6"/>
    <w:rsid w:val="00406312"/>
    <w:rsid w:val="00413BD0"/>
    <w:rsid w:val="00414E1F"/>
    <w:rsid w:val="004155D9"/>
    <w:rsid w:val="00417E22"/>
    <w:rsid w:val="004222FB"/>
    <w:rsid w:val="00422AFD"/>
    <w:rsid w:val="00423281"/>
    <w:rsid w:val="00423FB7"/>
    <w:rsid w:val="00424694"/>
    <w:rsid w:val="0042498D"/>
    <w:rsid w:val="00427AEB"/>
    <w:rsid w:val="00431B56"/>
    <w:rsid w:val="00432737"/>
    <w:rsid w:val="00432AA1"/>
    <w:rsid w:val="00435ADF"/>
    <w:rsid w:val="00437724"/>
    <w:rsid w:val="00441D92"/>
    <w:rsid w:val="00442AC4"/>
    <w:rsid w:val="00443AAE"/>
    <w:rsid w:val="004440C1"/>
    <w:rsid w:val="0044482B"/>
    <w:rsid w:val="0044572E"/>
    <w:rsid w:val="004459A6"/>
    <w:rsid w:val="00450239"/>
    <w:rsid w:val="00452174"/>
    <w:rsid w:val="00452194"/>
    <w:rsid w:val="004523F4"/>
    <w:rsid w:val="00452CAE"/>
    <w:rsid w:val="004550E8"/>
    <w:rsid w:val="00455245"/>
    <w:rsid w:val="0045659B"/>
    <w:rsid w:val="004569DD"/>
    <w:rsid w:val="00466093"/>
    <w:rsid w:val="004724B9"/>
    <w:rsid w:val="004805DE"/>
    <w:rsid w:val="00485515"/>
    <w:rsid w:val="00486609"/>
    <w:rsid w:val="004874CD"/>
    <w:rsid w:val="00487AFF"/>
    <w:rsid w:val="00491B7A"/>
    <w:rsid w:val="0049303C"/>
    <w:rsid w:val="00494219"/>
    <w:rsid w:val="00496711"/>
    <w:rsid w:val="004971F1"/>
    <w:rsid w:val="004A0403"/>
    <w:rsid w:val="004A1DBA"/>
    <w:rsid w:val="004A59BE"/>
    <w:rsid w:val="004A7116"/>
    <w:rsid w:val="004B0709"/>
    <w:rsid w:val="004B0CB2"/>
    <w:rsid w:val="004B4E78"/>
    <w:rsid w:val="004B5E32"/>
    <w:rsid w:val="004B7782"/>
    <w:rsid w:val="004C0C7E"/>
    <w:rsid w:val="004C0E21"/>
    <w:rsid w:val="004C2F3F"/>
    <w:rsid w:val="004C2FEE"/>
    <w:rsid w:val="004C370F"/>
    <w:rsid w:val="004C3DCC"/>
    <w:rsid w:val="004C41B7"/>
    <w:rsid w:val="004C5B15"/>
    <w:rsid w:val="004C6460"/>
    <w:rsid w:val="004C6FA6"/>
    <w:rsid w:val="004C7EF9"/>
    <w:rsid w:val="004D0D87"/>
    <w:rsid w:val="004D0D8A"/>
    <w:rsid w:val="004D145F"/>
    <w:rsid w:val="004D42D1"/>
    <w:rsid w:val="004D510A"/>
    <w:rsid w:val="004D59D6"/>
    <w:rsid w:val="004D5B72"/>
    <w:rsid w:val="004D6150"/>
    <w:rsid w:val="004D693E"/>
    <w:rsid w:val="004D6CDA"/>
    <w:rsid w:val="004D7871"/>
    <w:rsid w:val="004E02ED"/>
    <w:rsid w:val="004E06BB"/>
    <w:rsid w:val="004E5366"/>
    <w:rsid w:val="004F13DE"/>
    <w:rsid w:val="004F2D9F"/>
    <w:rsid w:val="004F2E8A"/>
    <w:rsid w:val="004F2F23"/>
    <w:rsid w:val="004F494B"/>
    <w:rsid w:val="00502644"/>
    <w:rsid w:val="005042E7"/>
    <w:rsid w:val="00506B9C"/>
    <w:rsid w:val="00506DB5"/>
    <w:rsid w:val="005070BA"/>
    <w:rsid w:val="005152EA"/>
    <w:rsid w:val="005159AB"/>
    <w:rsid w:val="00515EA2"/>
    <w:rsid w:val="0051600B"/>
    <w:rsid w:val="005204DD"/>
    <w:rsid w:val="00522C5E"/>
    <w:rsid w:val="00522E34"/>
    <w:rsid w:val="00526C5F"/>
    <w:rsid w:val="005270C7"/>
    <w:rsid w:val="00527707"/>
    <w:rsid w:val="00536FD5"/>
    <w:rsid w:val="005378DA"/>
    <w:rsid w:val="00540919"/>
    <w:rsid w:val="0054257C"/>
    <w:rsid w:val="00544028"/>
    <w:rsid w:val="005452A7"/>
    <w:rsid w:val="00546D47"/>
    <w:rsid w:val="00547AE2"/>
    <w:rsid w:val="0055178B"/>
    <w:rsid w:val="00552B73"/>
    <w:rsid w:val="00553198"/>
    <w:rsid w:val="00553333"/>
    <w:rsid w:val="00560118"/>
    <w:rsid w:val="00560996"/>
    <w:rsid w:val="005617A5"/>
    <w:rsid w:val="00565772"/>
    <w:rsid w:val="00565DD2"/>
    <w:rsid w:val="0057394A"/>
    <w:rsid w:val="0057443F"/>
    <w:rsid w:val="00574F4C"/>
    <w:rsid w:val="00577559"/>
    <w:rsid w:val="00583155"/>
    <w:rsid w:val="00585641"/>
    <w:rsid w:val="00585839"/>
    <w:rsid w:val="00593700"/>
    <w:rsid w:val="005A03FF"/>
    <w:rsid w:val="005A0CB3"/>
    <w:rsid w:val="005A1254"/>
    <w:rsid w:val="005A4B9B"/>
    <w:rsid w:val="005A4E24"/>
    <w:rsid w:val="005A4EBB"/>
    <w:rsid w:val="005B6602"/>
    <w:rsid w:val="005B67E9"/>
    <w:rsid w:val="005B6D07"/>
    <w:rsid w:val="005C0B1E"/>
    <w:rsid w:val="005C12CB"/>
    <w:rsid w:val="005C69F7"/>
    <w:rsid w:val="005C7321"/>
    <w:rsid w:val="005C76EC"/>
    <w:rsid w:val="005D08C9"/>
    <w:rsid w:val="005D332F"/>
    <w:rsid w:val="005D4887"/>
    <w:rsid w:val="005D7628"/>
    <w:rsid w:val="005E1F27"/>
    <w:rsid w:val="005E22CA"/>
    <w:rsid w:val="005E55D5"/>
    <w:rsid w:val="005E5FC1"/>
    <w:rsid w:val="005E71C2"/>
    <w:rsid w:val="005E7C12"/>
    <w:rsid w:val="005F1673"/>
    <w:rsid w:val="005F18EB"/>
    <w:rsid w:val="006013E5"/>
    <w:rsid w:val="00606A34"/>
    <w:rsid w:val="00606E11"/>
    <w:rsid w:val="006149A7"/>
    <w:rsid w:val="00616E58"/>
    <w:rsid w:val="00616F81"/>
    <w:rsid w:val="006170CF"/>
    <w:rsid w:val="006175F3"/>
    <w:rsid w:val="00617DFD"/>
    <w:rsid w:val="0062094E"/>
    <w:rsid w:val="00621594"/>
    <w:rsid w:val="00622C89"/>
    <w:rsid w:val="00632F91"/>
    <w:rsid w:val="00637110"/>
    <w:rsid w:val="00641C4D"/>
    <w:rsid w:val="00643AE9"/>
    <w:rsid w:val="00650098"/>
    <w:rsid w:val="00650504"/>
    <w:rsid w:val="0065090D"/>
    <w:rsid w:val="00652576"/>
    <w:rsid w:val="00652CD2"/>
    <w:rsid w:val="00655053"/>
    <w:rsid w:val="006570B4"/>
    <w:rsid w:val="00660AB7"/>
    <w:rsid w:val="00661AD6"/>
    <w:rsid w:val="0066242C"/>
    <w:rsid w:val="00662ED6"/>
    <w:rsid w:val="00663D45"/>
    <w:rsid w:val="006668D6"/>
    <w:rsid w:val="00666BF7"/>
    <w:rsid w:val="00670672"/>
    <w:rsid w:val="006729BC"/>
    <w:rsid w:val="00674B7F"/>
    <w:rsid w:val="00680668"/>
    <w:rsid w:val="0068259F"/>
    <w:rsid w:val="00685044"/>
    <w:rsid w:val="00687109"/>
    <w:rsid w:val="00692560"/>
    <w:rsid w:val="00695240"/>
    <w:rsid w:val="00695898"/>
    <w:rsid w:val="00696D4D"/>
    <w:rsid w:val="006A03AB"/>
    <w:rsid w:val="006A098C"/>
    <w:rsid w:val="006A3FF2"/>
    <w:rsid w:val="006A4048"/>
    <w:rsid w:val="006A6A75"/>
    <w:rsid w:val="006A731D"/>
    <w:rsid w:val="006B608C"/>
    <w:rsid w:val="006C2504"/>
    <w:rsid w:val="006C5EE5"/>
    <w:rsid w:val="006C7467"/>
    <w:rsid w:val="006C7EAB"/>
    <w:rsid w:val="006D2A08"/>
    <w:rsid w:val="006D2A7C"/>
    <w:rsid w:val="006E02B7"/>
    <w:rsid w:val="006E097B"/>
    <w:rsid w:val="006E147C"/>
    <w:rsid w:val="006E3EAA"/>
    <w:rsid w:val="006E627C"/>
    <w:rsid w:val="006E7889"/>
    <w:rsid w:val="006F09F0"/>
    <w:rsid w:val="006F1DD1"/>
    <w:rsid w:val="006F45C8"/>
    <w:rsid w:val="006F561E"/>
    <w:rsid w:val="006F62B3"/>
    <w:rsid w:val="0070066D"/>
    <w:rsid w:val="007032A0"/>
    <w:rsid w:val="007044D7"/>
    <w:rsid w:val="00710506"/>
    <w:rsid w:val="00710F32"/>
    <w:rsid w:val="00711502"/>
    <w:rsid w:val="00711FD9"/>
    <w:rsid w:val="007123A9"/>
    <w:rsid w:val="007142A8"/>
    <w:rsid w:val="00715115"/>
    <w:rsid w:val="007154EC"/>
    <w:rsid w:val="007155E4"/>
    <w:rsid w:val="00715D77"/>
    <w:rsid w:val="0072325C"/>
    <w:rsid w:val="007407E3"/>
    <w:rsid w:val="00740DD3"/>
    <w:rsid w:val="00743566"/>
    <w:rsid w:val="00746630"/>
    <w:rsid w:val="00746AE8"/>
    <w:rsid w:val="00751541"/>
    <w:rsid w:val="00753B88"/>
    <w:rsid w:val="00756346"/>
    <w:rsid w:val="00757749"/>
    <w:rsid w:val="007616DD"/>
    <w:rsid w:val="00762913"/>
    <w:rsid w:val="007653D4"/>
    <w:rsid w:val="007705A1"/>
    <w:rsid w:val="007720A4"/>
    <w:rsid w:val="00775F8E"/>
    <w:rsid w:val="00780053"/>
    <w:rsid w:val="007810C3"/>
    <w:rsid w:val="00783E0D"/>
    <w:rsid w:val="00790073"/>
    <w:rsid w:val="00791B40"/>
    <w:rsid w:val="00792412"/>
    <w:rsid w:val="007941AE"/>
    <w:rsid w:val="007A033B"/>
    <w:rsid w:val="007A166F"/>
    <w:rsid w:val="007A1978"/>
    <w:rsid w:val="007A6ED8"/>
    <w:rsid w:val="007A7914"/>
    <w:rsid w:val="007B131A"/>
    <w:rsid w:val="007B1995"/>
    <w:rsid w:val="007B1A83"/>
    <w:rsid w:val="007B4ABE"/>
    <w:rsid w:val="007B6D64"/>
    <w:rsid w:val="007C1EC4"/>
    <w:rsid w:val="007C3E5F"/>
    <w:rsid w:val="007C3F79"/>
    <w:rsid w:val="007C512E"/>
    <w:rsid w:val="007D15B9"/>
    <w:rsid w:val="007D2214"/>
    <w:rsid w:val="007D2319"/>
    <w:rsid w:val="007D308C"/>
    <w:rsid w:val="007D622F"/>
    <w:rsid w:val="007E0965"/>
    <w:rsid w:val="007E0B3A"/>
    <w:rsid w:val="007E3E25"/>
    <w:rsid w:val="007F1623"/>
    <w:rsid w:val="007F2960"/>
    <w:rsid w:val="007F3095"/>
    <w:rsid w:val="007F3493"/>
    <w:rsid w:val="007F392E"/>
    <w:rsid w:val="007F75FB"/>
    <w:rsid w:val="00801A16"/>
    <w:rsid w:val="00801DAC"/>
    <w:rsid w:val="008028C1"/>
    <w:rsid w:val="00806062"/>
    <w:rsid w:val="00814CDA"/>
    <w:rsid w:val="0082085F"/>
    <w:rsid w:val="00820C3F"/>
    <w:rsid w:val="00821C6D"/>
    <w:rsid w:val="0082790C"/>
    <w:rsid w:val="008303A6"/>
    <w:rsid w:val="00830F72"/>
    <w:rsid w:val="00831270"/>
    <w:rsid w:val="00835A3A"/>
    <w:rsid w:val="00840196"/>
    <w:rsid w:val="0084150D"/>
    <w:rsid w:val="00842EF1"/>
    <w:rsid w:val="00843B14"/>
    <w:rsid w:val="008455E5"/>
    <w:rsid w:val="00847180"/>
    <w:rsid w:val="00847558"/>
    <w:rsid w:val="00850DC9"/>
    <w:rsid w:val="0085376A"/>
    <w:rsid w:val="0085526C"/>
    <w:rsid w:val="0086035B"/>
    <w:rsid w:val="008613D9"/>
    <w:rsid w:val="00861405"/>
    <w:rsid w:val="008630B2"/>
    <w:rsid w:val="00864E9F"/>
    <w:rsid w:val="0087259C"/>
    <w:rsid w:val="0088256A"/>
    <w:rsid w:val="008851BA"/>
    <w:rsid w:val="00890EED"/>
    <w:rsid w:val="0089263F"/>
    <w:rsid w:val="00892B3F"/>
    <w:rsid w:val="008930C8"/>
    <w:rsid w:val="00894FC8"/>
    <w:rsid w:val="0089501E"/>
    <w:rsid w:val="008970C7"/>
    <w:rsid w:val="008A1B18"/>
    <w:rsid w:val="008A26C2"/>
    <w:rsid w:val="008A7C72"/>
    <w:rsid w:val="008B1BF1"/>
    <w:rsid w:val="008B2A17"/>
    <w:rsid w:val="008B2AE5"/>
    <w:rsid w:val="008B5380"/>
    <w:rsid w:val="008B55A0"/>
    <w:rsid w:val="008C2834"/>
    <w:rsid w:val="008C5643"/>
    <w:rsid w:val="008D2D51"/>
    <w:rsid w:val="008D39C8"/>
    <w:rsid w:val="008D542B"/>
    <w:rsid w:val="008E3291"/>
    <w:rsid w:val="008E66EC"/>
    <w:rsid w:val="008E6C66"/>
    <w:rsid w:val="008F2247"/>
    <w:rsid w:val="008F5356"/>
    <w:rsid w:val="008F650C"/>
    <w:rsid w:val="00900769"/>
    <w:rsid w:val="00905051"/>
    <w:rsid w:val="00905F48"/>
    <w:rsid w:val="009066EE"/>
    <w:rsid w:val="00907743"/>
    <w:rsid w:val="00911F73"/>
    <w:rsid w:val="00913C9D"/>
    <w:rsid w:val="009153BC"/>
    <w:rsid w:val="00922D29"/>
    <w:rsid w:val="009243F9"/>
    <w:rsid w:val="009248DD"/>
    <w:rsid w:val="00924AA4"/>
    <w:rsid w:val="00924AC4"/>
    <w:rsid w:val="00924CE5"/>
    <w:rsid w:val="00925598"/>
    <w:rsid w:val="00926A1B"/>
    <w:rsid w:val="00932251"/>
    <w:rsid w:val="009339AA"/>
    <w:rsid w:val="009362AD"/>
    <w:rsid w:val="00942FA8"/>
    <w:rsid w:val="009515B4"/>
    <w:rsid w:val="009542D4"/>
    <w:rsid w:val="009546FE"/>
    <w:rsid w:val="00956D77"/>
    <w:rsid w:val="00957C32"/>
    <w:rsid w:val="00957D56"/>
    <w:rsid w:val="00957E08"/>
    <w:rsid w:val="009616A4"/>
    <w:rsid w:val="009620C7"/>
    <w:rsid w:val="0096309F"/>
    <w:rsid w:val="00963256"/>
    <w:rsid w:val="00970B8B"/>
    <w:rsid w:val="00970D6E"/>
    <w:rsid w:val="00974D68"/>
    <w:rsid w:val="00975CB9"/>
    <w:rsid w:val="00977C91"/>
    <w:rsid w:val="00980021"/>
    <w:rsid w:val="0098049D"/>
    <w:rsid w:val="009810B0"/>
    <w:rsid w:val="00982C55"/>
    <w:rsid w:val="00985DB7"/>
    <w:rsid w:val="00986610"/>
    <w:rsid w:val="009A2F9C"/>
    <w:rsid w:val="009A36CE"/>
    <w:rsid w:val="009A6D9A"/>
    <w:rsid w:val="009B072F"/>
    <w:rsid w:val="009B179C"/>
    <w:rsid w:val="009B2511"/>
    <w:rsid w:val="009B345E"/>
    <w:rsid w:val="009B4BF3"/>
    <w:rsid w:val="009C2644"/>
    <w:rsid w:val="009C5B7F"/>
    <w:rsid w:val="009C7BC0"/>
    <w:rsid w:val="009D296C"/>
    <w:rsid w:val="009D46E8"/>
    <w:rsid w:val="009D65EF"/>
    <w:rsid w:val="009D666C"/>
    <w:rsid w:val="009D6D8E"/>
    <w:rsid w:val="009D6FF2"/>
    <w:rsid w:val="009E2F4B"/>
    <w:rsid w:val="009E3F20"/>
    <w:rsid w:val="009E43F1"/>
    <w:rsid w:val="009E4AB4"/>
    <w:rsid w:val="009E7377"/>
    <w:rsid w:val="009E7564"/>
    <w:rsid w:val="009F05DB"/>
    <w:rsid w:val="009F2C15"/>
    <w:rsid w:val="009F3515"/>
    <w:rsid w:val="009F383E"/>
    <w:rsid w:val="009F5C12"/>
    <w:rsid w:val="009F7669"/>
    <w:rsid w:val="00A01CAE"/>
    <w:rsid w:val="00A03D00"/>
    <w:rsid w:val="00A05DFB"/>
    <w:rsid w:val="00A0737E"/>
    <w:rsid w:val="00A12689"/>
    <w:rsid w:val="00A13428"/>
    <w:rsid w:val="00A15E51"/>
    <w:rsid w:val="00A1726C"/>
    <w:rsid w:val="00A17571"/>
    <w:rsid w:val="00A1792D"/>
    <w:rsid w:val="00A2034A"/>
    <w:rsid w:val="00A21078"/>
    <w:rsid w:val="00A216B4"/>
    <w:rsid w:val="00A21724"/>
    <w:rsid w:val="00A2491C"/>
    <w:rsid w:val="00A25392"/>
    <w:rsid w:val="00A25E1D"/>
    <w:rsid w:val="00A26183"/>
    <w:rsid w:val="00A30AE7"/>
    <w:rsid w:val="00A31AEA"/>
    <w:rsid w:val="00A31EAF"/>
    <w:rsid w:val="00A34059"/>
    <w:rsid w:val="00A342D9"/>
    <w:rsid w:val="00A355A6"/>
    <w:rsid w:val="00A361BE"/>
    <w:rsid w:val="00A374F4"/>
    <w:rsid w:val="00A375C8"/>
    <w:rsid w:val="00A3797F"/>
    <w:rsid w:val="00A37E97"/>
    <w:rsid w:val="00A408BF"/>
    <w:rsid w:val="00A434A8"/>
    <w:rsid w:val="00A43B15"/>
    <w:rsid w:val="00A4439A"/>
    <w:rsid w:val="00A46BBA"/>
    <w:rsid w:val="00A46F12"/>
    <w:rsid w:val="00A509E6"/>
    <w:rsid w:val="00A543B1"/>
    <w:rsid w:val="00A555DC"/>
    <w:rsid w:val="00A62A47"/>
    <w:rsid w:val="00A62B63"/>
    <w:rsid w:val="00A6799C"/>
    <w:rsid w:val="00A702C8"/>
    <w:rsid w:val="00A7078C"/>
    <w:rsid w:val="00A7353E"/>
    <w:rsid w:val="00A74A05"/>
    <w:rsid w:val="00A764FD"/>
    <w:rsid w:val="00A820B4"/>
    <w:rsid w:val="00A837AB"/>
    <w:rsid w:val="00A84AA2"/>
    <w:rsid w:val="00A9029A"/>
    <w:rsid w:val="00A9119F"/>
    <w:rsid w:val="00A92ABC"/>
    <w:rsid w:val="00A93F0C"/>
    <w:rsid w:val="00A94EB4"/>
    <w:rsid w:val="00A96093"/>
    <w:rsid w:val="00AA0C35"/>
    <w:rsid w:val="00AA2BB5"/>
    <w:rsid w:val="00AA38D5"/>
    <w:rsid w:val="00AA70D9"/>
    <w:rsid w:val="00AB122C"/>
    <w:rsid w:val="00AB1E40"/>
    <w:rsid w:val="00AB2BFA"/>
    <w:rsid w:val="00AB2E40"/>
    <w:rsid w:val="00AB3ED8"/>
    <w:rsid w:val="00AB502B"/>
    <w:rsid w:val="00AC4550"/>
    <w:rsid w:val="00AC7113"/>
    <w:rsid w:val="00AC7DDD"/>
    <w:rsid w:val="00AC7FDE"/>
    <w:rsid w:val="00AD1620"/>
    <w:rsid w:val="00AD4102"/>
    <w:rsid w:val="00AD43E2"/>
    <w:rsid w:val="00AD54CE"/>
    <w:rsid w:val="00AD59C8"/>
    <w:rsid w:val="00AD64F3"/>
    <w:rsid w:val="00AD674D"/>
    <w:rsid w:val="00AD7E2E"/>
    <w:rsid w:val="00AE0379"/>
    <w:rsid w:val="00AE0505"/>
    <w:rsid w:val="00AE0FA6"/>
    <w:rsid w:val="00AE3328"/>
    <w:rsid w:val="00AF004C"/>
    <w:rsid w:val="00AF110F"/>
    <w:rsid w:val="00AF1BA9"/>
    <w:rsid w:val="00AF20B5"/>
    <w:rsid w:val="00AF33EA"/>
    <w:rsid w:val="00AF5CC6"/>
    <w:rsid w:val="00AF6ADA"/>
    <w:rsid w:val="00AF7011"/>
    <w:rsid w:val="00AF7491"/>
    <w:rsid w:val="00B008F2"/>
    <w:rsid w:val="00B00D43"/>
    <w:rsid w:val="00B017E9"/>
    <w:rsid w:val="00B018F3"/>
    <w:rsid w:val="00B027B3"/>
    <w:rsid w:val="00B05CCC"/>
    <w:rsid w:val="00B06468"/>
    <w:rsid w:val="00B1329C"/>
    <w:rsid w:val="00B247E4"/>
    <w:rsid w:val="00B25594"/>
    <w:rsid w:val="00B26CB1"/>
    <w:rsid w:val="00B27144"/>
    <w:rsid w:val="00B34B48"/>
    <w:rsid w:val="00B35161"/>
    <w:rsid w:val="00B36F3D"/>
    <w:rsid w:val="00B3789B"/>
    <w:rsid w:val="00B40B88"/>
    <w:rsid w:val="00B41C78"/>
    <w:rsid w:val="00B425FD"/>
    <w:rsid w:val="00B4334C"/>
    <w:rsid w:val="00B434A2"/>
    <w:rsid w:val="00B452EB"/>
    <w:rsid w:val="00B47C65"/>
    <w:rsid w:val="00B47E4A"/>
    <w:rsid w:val="00B52546"/>
    <w:rsid w:val="00B55044"/>
    <w:rsid w:val="00B57BE6"/>
    <w:rsid w:val="00B62119"/>
    <w:rsid w:val="00B664BC"/>
    <w:rsid w:val="00B677FB"/>
    <w:rsid w:val="00B71AA9"/>
    <w:rsid w:val="00B726C0"/>
    <w:rsid w:val="00B74506"/>
    <w:rsid w:val="00B76CA7"/>
    <w:rsid w:val="00B80525"/>
    <w:rsid w:val="00B806E5"/>
    <w:rsid w:val="00B8104C"/>
    <w:rsid w:val="00B818A9"/>
    <w:rsid w:val="00B823C4"/>
    <w:rsid w:val="00B834A5"/>
    <w:rsid w:val="00B86647"/>
    <w:rsid w:val="00B879B3"/>
    <w:rsid w:val="00B910E6"/>
    <w:rsid w:val="00B92F20"/>
    <w:rsid w:val="00B95862"/>
    <w:rsid w:val="00BA10CD"/>
    <w:rsid w:val="00BA1CF8"/>
    <w:rsid w:val="00BA2E1F"/>
    <w:rsid w:val="00BA2ED7"/>
    <w:rsid w:val="00BA2FFE"/>
    <w:rsid w:val="00BA43D9"/>
    <w:rsid w:val="00BA575F"/>
    <w:rsid w:val="00BB397B"/>
    <w:rsid w:val="00BB4669"/>
    <w:rsid w:val="00BB63AD"/>
    <w:rsid w:val="00BB7335"/>
    <w:rsid w:val="00BC1AD8"/>
    <w:rsid w:val="00BC266F"/>
    <w:rsid w:val="00BC5E15"/>
    <w:rsid w:val="00BC6DDE"/>
    <w:rsid w:val="00BD135C"/>
    <w:rsid w:val="00BD22B1"/>
    <w:rsid w:val="00BD2BAC"/>
    <w:rsid w:val="00BD38F1"/>
    <w:rsid w:val="00BD6689"/>
    <w:rsid w:val="00BD7AF2"/>
    <w:rsid w:val="00BE1DAF"/>
    <w:rsid w:val="00BE44FB"/>
    <w:rsid w:val="00BE560C"/>
    <w:rsid w:val="00BF1722"/>
    <w:rsid w:val="00BF2FCD"/>
    <w:rsid w:val="00BF3532"/>
    <w:rsid w:val="00BF6015"/>
    <w:rsid w:val="00C03E11"/>
    <w:rsid w:val="00C04E89"/>
    <w:rsid w:val="00C07FDF"/>
    <w:rsid w:val="00C109F5"/>
    <w:rsid w:val="00C10C75"/>
    <w:rsid w:val="00C1142B"/>
    <w:rsid w:val="00C121A1"/>
    <w:rsid w:val="00C13F3D"/>
    <w:rsid w:val="00C16A3C"/>
    <w:rsid w:val="00C1747D"/>
    <w:rsid w:val="00C20974"/>
    <w:rsid w:val="00C21B19"/>
    <w:rsid w:val="00C3271A"/>
    <w:rsid w:val="00C3405E"/>
    <w:rsid w:val="00C356C6"/>
    <w:rsid w:val="00C35858"/>
    <w:rsid w:val="00C41BA9"/>
    <w:rsid w:val="00C442CE"/>
    <w:rsid w:val="00C45CBC"/>
    <w:rsid w:val="00C46DE4"/>
    <w:rsid w:val="00C46F71"/>
    <w:rsid w:val="00C51994"/>
    <w:rsid w:val="00C52A7A"/>
    <w:rsid w:val="00C55F3C"/>
    <w:rsid w:val="00C56F4C"/>
    <w:rsid w:val="00C6057E"/>
    <w:rsid w:val="00C62C69"/>
    <w:rsid w:val="00C63638"/>
    <w:rsid w:val="00C63C1A"/>
    <w:rsid w:val="00C67589"/>
    <w:rsid w:val="00C67B00"/>
    <w:rsid w:val="00C71A00"/>
    <w:rsid w:val="00C755E5"/>
    <w:rsid w:val="00C76886"/>
    <w:rsid w:val="00C76E64"/>
    <w:rsid w:val="00C76F13"/>
    <w:rsid w:val="00C776D4"/>
    <w:rsid w:val="00C801D4"/>
    <w:rsid w:val="00C81321"/>
    <w:rsid w:val="00C84A57"/>
    <w:rsid w:val="00C91A0E"/>
    <w:rsid w:val="00C92925"/>
    <w:rsid w:val="00C92B47"/>
    <w:rsid w:val="00C94305"/>
    <w:rsid w:val="00C9631A"/>
    <w:rsid w:val="00CA212B"/>
    <w:rsid w:val="00CA685E"/>
    <w:rsid w:val="00CB062C"/>
    <w:rsid w:val="00CB29F8"/>
    <w:rsid w:val="00CB68BA"/>
    <w:rsid w:val="00CB7EC0"/>
    <w:rsid w:val="00CC0BC3"/>
    <w:rsid w:val="00CC30B8"/>
    <w:rsid w:val="00CC4EC9"/>
    <w:rsid w:val="00CC65E6"/>
    <w:rsid w:val="00CC6C30"/>
    <w:rsid w:val="00CC7FAD"/>
    <w:rsid w:val="00CD20B9"/>
    <w:rsid w:val="00CD2CCF"/>
    <w:rsid w:val="00CD561C"/>
    <w:rsid w:val="00CD5881"/>
    <w:rsid w:val="00CD797B"/>
    <w:rsid w:val="00CE41CD"/>
    <w:rsid w:val="00CE4ABF"/>
    <w:rsid w:val="00CE6D87"/>
    <w:rsid w:val="00CE729A"/>
    <w:rsid w:val="00CF11F4"/>
    <w:rsid w:val="00CF18C1"/>
    <w:rsid w:val="00CF3EAB"/>
    <w:rsid w:val="00CF3F84"/>
    <w:rsid w:val="00D02BC4"/>
    <w:rsid w:val="00D033EC"/>
    <w:rsid w:val="00D03638"/>
    <w:rsid w:val="00D03FE6"/>
    <w:rsid w:val="00D051CF"/>
    <w:rsid w:val="00D06D38"/>
    <w:rsid w:val="00D1151C"/>
    <w:rsid w:val="00D12AED"/>
    <w:rsid w:val="00D13235"/>
    <w:rsid w:val="00D13654"/>
    <w:rsid w:val="00D16D3F"/>
    <w:rsid w:val="00D17174"/>
    <w:rsid w:val="00D22953"/>
    <w:rsid w:val="00D24C76"/>
    <w:rsid w:val="00D32AB4"/>
    <w:rsid w:val="00D34B78"/>
    <w:rsid w:val="00D34FE7"/>
    <w:rsid w:val="00D3680E"/>
    <w:rsid w:val="00D4174D"/>
    <w:rsid w:val="00D42001"/>
    <w:rsid w:val="00D43170"/>
    <w:rsid w:val="00D47774"/>
    <w:rsid w:val="00D52E4A"/>
    <w:rsid w:val="00D53C17"/>
    <w:rsid w:val="00D570CF"/>
    <w:rsid w:val="00D571DF"/>
    <w:rsid w:val="00D60C5E"/>
    <w:rsid w:val="00D616A4"/>
    <w:rsid w:val="00D62F28"/>
    <w:rsid w:val="00D66797"/>
    <w:rsid w:val="00D67A9F"/>
    <w:rsid w:val="00D742F9"/>
    <w:rsid w:val="00D75368"/>
    <w:rsid w:val="00D75616"/>
    <w:rsid w:val="00D8127A"/>
    <w:rsid w:val="00D81A66"/>
    <w:rsid w:val="00D82415"/>
    <w:rsid w:val="00D82610"/>
    <w:rsid w:val="00D85696"/>
    <w:rsid w:val="00D91E73"/>
    <w:rsid w:val="00D92BA1"/>
    <w:rsid w:val="00D941A5"/>
    <w:rsid w:val="00D97D1F"/>
    <w:rsid w:val="00DA255A"/>
    <w:rsid w:val="00DA39FF"/>
    <w:rsid w:val="00DA6A6B"/>
    <w:rsid w:val="00DB2EBF"/>
    <w:rsid w:val="00DB3503"/>
    <w:rsid w:val="00DC12B2"/>
    <w:rsid w:val="00DC1B66"/>
    <w:rsid w:val="00DC2318"/>
    <w:rsid w:val="00DC2662"/>
    <w:rsid w:val="00DC309B"/>
    <w:rsid w:val="00DC393E"/>
    <w:rsid w:val="00DC3B2E"/>
    <w:rsid w:val="00DC5C8B"/>
    <w:rsid w:val="00DC65E7"/>
    <w:rsid w:val="00DC7DC0"/>
    <w:rsid w:val="00DD0452"/>
    <w:rsid w:val="00DD0D1B"/>
    <w:rsid w:val="00DD0F0C"/>
    <w:rsid w:val="00DD1793"/>
    <w:rsid w:val="00DD2B2E"/>
    <w:rsid w:val="00DE1AE1"/>
    <w:rsid w:val="00DE35E1"/>
    <w:rsid w:val="00DE3CC1"/>
    <w:rsid w:val="00DE6561"/>
    <w:rsid w:val="00DF0845"/>
    <w:rsid w:val="00DF4443"/>
    <w:rsid w:val="00DF6E96"/>
    <w:rsid w:val="00DF7601"/>
    <w:rsid w:val="00E00979"/>
    <w:rsid w:val="00E011A0"/>
    <w:rsid w:val="00E01F09"/>
    <w:rsid w:val="00E0239B"/>
    <w:rsid w:val="00E0244E"/>
    <w:rsid w:val="00E15E89"/>
    <w:rsid w:val="00E16690"/>
    <w:rsid w:val="00E230AB"/>
    <w:rsid w:val="00E25429"/>
    <w:rsid w:val="00E27BE4"/>
    <w:rsid w:val="00E317E4"/>
    <w:rsid w:val="00E322D7"/>
    <w:rsid w:val="00E358B0"/>
    <w:rsid w:val="00E35A9E"/>
    <w:rsid w:val="00E3784B"/>
    <w:rsid w:val="00E414AB"/>
    <w:rsid w:val="00E42533"/>
    <w:rsid w:val="00E438C6"/>
    <w:rsid w:val="00E4499B"/>
    <w:rsid w:val="00E46ABC"/>
    <w:rsid w:val="00E536DC"/>
    <w:rsid w:val="00E600B0"/>
    <w:rsid w:val="00E62A62"/>
    <w:rsid w:val="00E62AB4"/>
    <w:rsid w:val="00E67978"/>
    <w:rsid w:val="00E70275"/>
    <w:rsid w:val="00E7187A"/>
    <w:rsid w:val="00E71D84"/>
    <w:rsid w:val="00E8086B"/>
    <w:rsid w:val="00E82762"/>
    <w:rsid w:val="00E8312A"/>
    <w:rsid w:val="00E83645"/>
    <w:rsid w:val="00E849C4"/>
    <w:rsid w:val="00E93170"/>
    <w:rsid w:val="00E9646A"/>
    <w:rsid w:val="00E97332"/>
    <w:rsid w:val="00EA3EE9"/>
    <w:rsid w:val="00EA5270"/>
    <w:rsid w:val="00EA5664"/>
    <w:rsid w:val="00EB3A59"/>
    <w:rsid w:val="00EB4BE8"/>
    <w:rsid w:val="00EB5BC3"/>
    <w:rsid w:val="00EB764A"/>
    <w:rsid w:val="00EC0824"/>
    <w:rsid w:val="00EC0C79"/>
    <w:rsid w:val="00EC12B4"/>
    <w:rsid w:val="00EC18E5"/>
    <w:rsid w:val="00EC33F2"/>
    <w:rsid w:val="00EC4A6A"/>
    <w:rsid w:val="00EC5CCF"/>
    <w:rsid w:val="00EC6C0D"/>
    <w:rsid w:val="00ED395C"/>
    <w:rsid w:val="00ED500A"/>
    <w:rsid w:val="00ED5D1F"/>
    <w:rsid w:val="00ED5D93"/>
    <w:rsid w:val="00ED6C6F"/>
    <w:rsid w:val="00EE0A99"/>
    <w:rsid w:val="00EE2EF8"/>
    <w:rsid w:val="00EE46F6"/>
    <w:rsid w:val="00EE4866"/>
    <w:rsid w:val="00EE6A62"/>
    <w:rsid w:val="00EE6F61"/>
    <w:rsid w:val="00EF1799"/>
    <w:rsid w:val="00EF3822"/>
    <w:rsid w:val="00EF3C4D"/>
    <w:rsid w:val="00EF5EC9"/>
    <w:rsid w:val="00EF7256"/>
    <w:rsid w:val="00EF7CEC"/>
    <w:rsid w:val="00F00B5F"/>
    <w:rsid w:val="00F02FD2"/>
    <w:rsid w:val="00F0358D"/>
    <w:rsid w:val="00F06AEE"/>
    <w:rsid w:val="00F07356"/>
    <w:rsid w:val="00F07C79"/>
    <w:rsid w:val="00F125AB"/>
    <w:rsid w:val="00F12D3F"/>
    <w:rsid w:val="00F12D4F"/>
    <w:rsid w:val="00F14EA1"/>
    <w:rsid w:val="00F160EE"/>
    <w:rsid w:val="00F24363"/>
    <w:rsid w:val="00F2445D"/>
    <w:rsid w:val="00F26B0D"/>
    <w:rsid w:val="00F30E95"/>
    <w:rsid w:val="00F40E13"/>
    <w:rsid w:val="00F5358F"/>
    <w:rsid w:val="00F60016"/>
    <w:rsid w:val="00F613AC"/>
    <w:rsid w:val="00F648E2"/>
    <w:rsid w:val="00F650B1"/>
    <w:rsid w:val="00F65D15"/>
    <w:rsid w:val="00F678D7"/>
    <w:rsid w:val="00F701AA"/>
    <w:rsid w:val="00F717F8"/>
    <w:rsid w:val="00F73C3C"/>
    <w:rsid w:val="00F73D9F"/>
    <w:rsid w:val="00F74B2D"/>
    <w:rsid w:val="00F75B70"/>
    <w:rsid w:val="00F80F94"/>
    <w:rsid w:val="00F84F78"/>
    <w:rsid w:val="00F85087"/>
    <w:rsid w:val="00F86EAD"/>
    <w:rsid w:val="00F87F26"/>
    <w:rsid w:val="00F94A7F"/>
    <w:rsid w:val="00FA0171"/>
    <w:rsid w:val="00FA1DF7"/>
    <w:rsid w:val="00FA21EA"/>
    <w:rsid w:val="00FA469D"/>
    <w:rsid w:val="00FB4AD1"/>
    <w:rsid w:val="00FB7EF9"/>
    <w:rsid w:val="00FC0F3E"/>
    <w:rsid w:val="00FC26EE"/>
    <w:rsid w:val="00FC4F0C"/>
    <w:rsid w:val="00FC5363"/>
    <w:rsid w:val="00FD1CB1"/>
    <w:rsid w:val="00FD329B"/>
    <w:rsid w:val="00FD3A76"/>
    <w:rsid w:val="00FD45CE"/>
    <w:rsid w:val="00FD4F15"/>
    <w:rsid w:val="00FD4FD1"/>
    <w:rsid w:val="00FE114B"/>
    <w:rsid w:val="00FE1F85"/>
    <w:rsid w:val="00FE4CAE"/>
    <w:rsid w:val="00FE5E45"/>
    <w:rsid w:val="00FE6B1A"/>
    <w:rsid w:val="00FE7B85"/>
    <w:rsid w:val="00FF4A41"/>
    <w:rsid w:val="00FF5BB8"/>
    <w:rsid w:val="00FF64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BE158"/>
  <w15:docId w15:val="{EECA84FB-8027-479D-9268-E49A0597A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610"/>
    <w:pPr>
      <w:spacing w:after="0" w:line="240" w:lineRule="auto"/>
    </w:pPr>
    <w:rPr>
      <w:rFonts w:ascii="Times New Roman" w:eastAsia="MS Mincho" w:hAnsi="Times New Roman" w:cs="Times New Roman"/>
      <w:kern w:val="0"/>
      <w:sz w:val="24"/>
      <w:szCs w:val="24"/>
      <w:lang w:val="de-DE" w:eastAsia="ja-JP"/>
    </w:rPr>
  </w:style>
  <w:style w:type="paragraph" w:styleId="Heading1">
    <w:name w:val="heading 1"/>
    <w:basedOn w:val="Normal"/>
    <w:next w:val="Normal"/>
    <w:link w:val="Heading1Char"/>
    <w:uiPriority w:val="9"/>
    <w:qFormat/>
    <w:rsid w:val="00441D92"/>
    <w:pPr>
      <w:keepNext/>
      <w:keepLines/>
      <w:numPr>
        <w:numId w:val="5"/>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41D92"/>
    <w:pPr>
      <w:keepNext/>
      <w:keepLines/>
      <w:numPr>
        <w:ilvl w:val="1"/>
        <w:numId w:val="5"/>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D92"/>
    <w:pPr>
      <w:keepNext/>
      <w:keepLines/>
      <w:numPr>
        <w:ilvl w:val="2"/>
        <w:numId w:val="5"/>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41D92"/>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D92"/>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41D92"/>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41D92"/>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41D92"/>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41D92"/>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58B0"/>
    <w:pPr>
      <w:ind w:left="720"/>
      <w:contextualSpacing/>
    </w:pPr>
  </w:style>
  <w:style w:type="paragraph" w:styleId="Bibliography">
    <w:name w:val="Bibliography"/>
    <w:basedOn w:val="Normal"/>
    <w:next w:val="Normal"/>
    <w:uiPriority w:val="37"/>
    <w:unhideWhenUsed/>
    <w:rsid w:val="00E358B0"/>
    <w:pPr>
      <w:tabs>
        <w:tab w:val="left" w:pos="624"/>
      </w:tabs>
      <w:ind w:left="624" w:hanging="624"/>
    </w:pPr>
  </w:style>
  <w:style w:type="character" w:customStyle="1" w:styleId="Heading1Char">
    <w:name w:val="Heading 1 Char"/>
    <w:basedOn w:val="DefaultParagraphFont"/>
    <w:link w:val="Heading1"/>
    <w:uiPriority w:val="9"/>
    <w:rsid w:val="00441D9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41D9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41D9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D9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D9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41D9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41D9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41D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41D92"/>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rsid w:val="00094610"/>
    <w:pPr>
      <w:tabs>
        <w:tab w:val="center" w:pos="4536"/>
        <w:tab w:val="right" w:pos="9072"/>
      </w:tabs>
    </w:pPr>
  </w:style>
  <w:style w:type="character" w:customStyle="1" w:styleId="HeaderChar">
    <w:name w:val="Header Char"/>
    <w:link w:val="Header"/>
    <w:uiPriority w:val="99"/>
    <w:rsid w:val="00094610"/>
    <w:rPr>
      <w:rFonts w:ascii="Times New Roman" w:eastAsia="MS Mincho" w:hAnsi="Times New Roman" w:cs="Times New Roman"/>
      <w:kern w:val="0"/>
      <w:sz w:val="24"/>
      <w:szCs w:val="24"/>
      <w:lang w:eastAsia="ja-JP"/>
    </w:rPr>
  </w:style>
  <w:style w:type="paragraph" w:styleId="Footer">
    <w:name w:val="footer"/>
    <w:basedOn w:val="Normal"/>
    <w:link w:val="FooterChar"/>
    <w:uiPriority w:val="99"/>
    <w:rsid w:val="00094610"/>
    <w:pPr>
      <w:tabs>
        <w:tab w:val="center" w:pos="4536"/>
        <w:tab w:val="right" w:pos="9072"/>
      </w:tabs>
    </w:pPr>
  </w:style>
  <w:style w:type="character" w:customStyle="1" w:styleId="FooterChar">
    <w:name w:val="Footer Char"/>
    <w:link w:val="Footer"/>
    <w:uiPriority w:val="99"/>
    <w:rsid w:val="00094610"/>
    <w:rPr>
      <w:rFonts w:ascii="Times New Roman" w:eastAsia="MS Mincho" w:hAnsi="Times New Roman" w:cs="Times New Roman"/>
      <w:kern w:val="0"/>
      <w:sz w:val="24"/>
      <w:szCs w:val="24"/>
      <w:lang w:val="de-DE" w:eastAsia="ja-JP"/>
    </w:rPr>
  </w:style>
  <w:style w:type="paragraph" w:customStyle="1" w:styleId="AuthorsFull">
    <w:name w:val="Authors Full"/>
    <w:basedOn w:val="Normal"/>
    <w:rsid w:val="00094610"/>
    <w:rPr>
      <w:i/>
      <w:lang w:val="en-US"/>
    </w:rPr>
  </w:style>
  <w:style w:type="paragraph" w:customStyle="1" w:styleId="Addresses">
    <w:name w:val="Addresses"/>
    <w:basedOn w:val="Normal"/>
    <w:rsid w:val="00094610"/>
    <w:rPr>
      <w:lang w:val="en-US"/>
    </w:rPr>
  </w:style>
  <w:style w:type="paragraph" w:customStyle="1" w:styleId="Head1">
    <w:name w:val="Head 1"/>
    <w:basedOn w:val="Normal"/>
    <w:autoRedefine/>
    <w:rsid w:val="00094610"/>
    <w:pPr>
      <w:spacing w:line="360" w:lineRule="auto"/>
    </w:pPr>
    <w:rPr>
      <w:b/>
      <w:lang w:val="en-US"/>
    </w:rPr>
  </w:style>
  <w:style w:type="paragraph" w:customStyle="1" w:styleId="Acknowledgements">
    <w:name w:val="Acknowledgements"/>
    <w:basedOn w:val="Normal"/>
    <w:rsid w:val="00094610"/>
    <w:rPr>
      <w:lang w:val="en-US"/>
    </w:rPr>
  </w:style>
  <w:style w:type="paragraph" w:customStyle="1" w:styleId="dates">
    <w:name w:val="dates"/>
    <w:basedOn w:val="Normal"/>
    <w:rsid w:val="00094610"/>
    <w:pPr>
      <w:jc w:val="right"/>
    </w:pPr>
    <w:rPr>
      <w:lang w:val="en-US"/>
    </w:rPr>
  </w:style>
  <w:style w:type="paragraph" w:customStyle="1" w:styleId="MainText">
    <w:name w:val="Main Text"/>
    <w:basedOn w:val="Normal"/>
    <w:link w:val="MainTextChar"/>
    <w:rsid w:val="00094610"/>
    <w:pPr>
      <w:spacing w:line="480" w:lineRule="auto"/>
    </w:pPr>
    <w:rPr>
      <w:lang w:val="en-US"/>
    </w:rPr>
  </w:style>
  <w:style w:type="character" w:customStyle="1" w:styleId="MainTextChar">
    <w:name w:val="Main Text Char"/>
    <w:link w:val="MainText"/>
    <w:rsid w:val="00094610"/>
    <w:rPr>
      <w:rFonts w:ascii="Times New Roman" w:eastAsia="MS Mincho" w:hAnsi="Times New Roman" w:cs="Times New Roman"/>
      <w:kern w:val="0"/>
      <w:sz w:val="24"/>
      <w:szCs w:val="24"/>
      <w:lang w:eastAsia="ja-JP"/>
    </w:rPr>
  </w:style>
  <w:style w:type="paragraph" w:customStyle="1" w:styleId="Tableofcontents">
    <w:name w:val="Table of contents"/>
    <w:basedOn w:val="Normal"/>
    <w:autoRedefine/>
    <w:rsid w:val="00094610"/>
    <w:rPr>
      <w:lang w:val="en-US"/>
    </w:rPr>
  </w:style>
  <w:style w:type="paragraph" w:customStyle="1" w:styleId="Title2">
    <w:name w:val="Title2"/>
    <w:basedOn w:val="Normal"/>
    <w:rsid w:val="00094610"/>
    <w:rPr>
      <w:b/>
      <w:lang w:val="en-US"/>
    </w:rPr>
  </w:style>
  <w:style w:type="paragraph" w:customStyle="1" w:styleId="Maintext0">
    <w:name w:val="Main text"/>
    <w:basedOn w:val="Normal"/>
    <w:link w:val="MaintextChar0"/>
    <w:autoRedefine/>
    <w:rsid w:val="00094610"/>
    <w:pPr>
      <w:spacing w:line="480" w:lineRule="auto"/>
    </w:pPr>
    <w:rPr>
      <w:lang w:val="en-US"/>
    </w:rPr>
  </w:style>
  <w:style w:type="character" w:customStyle="1" w:styleId="MaintextChar0">
    <w:name w:val="Main text Char"/>
    <w:link w:val="Maintext0"/>
    <w:rsid w:val="00094610"/>
    <w:rPr>
      <w:rFonts w:ascii="Times New Roman" w:eastAsia="MS Mincho" w:hAnsi="Times New Roman" w:cs="Times New Roman"/>
      <w:kern w:val="0"/>
      <w:sz w:val="24"/>
      <w:szCs w:val="24"/>
      <w:lang w:eastAsia="ja-JP"/>
    </w:rPr>
  </w:style>
  <w:style w:type="table" w:styleId="TableGrid">
    <w:name w:val="Table Grid"/>
    <w:basedOn w:val="TableNormal"/>
    <w:uiPriority w:val="39"/>
    <w:rsid w:val="00D03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D3D01"/>
    <w:rPr>
      <w:color w:val="666666"/>
    </w:rPr>
  </w:style>
  <w:style w:type="character" w:styleId="Hyperlink">
    <w:name w:val="Hyperlink"/>
    <w:basedOn w:val="DefaultParagraphFont"/>
    <w:uiPriority w:val="99"/>
    <w:semiHidden/>
    <w:unhideWhenUsed/>
    <w:rsid w:val="000F0DBE"/>
    <w:rPr>
      <w:color w:val="0563C1"/>
      <w:u w:val="single"/>
    </w:rPr>
  </w:style>
  <w:style w:type="character" w:styleId="FollowedHyperlink">
    <w:name w:val="FollowedHyperlink"/>
    <w:basedOn w:val="DefaultParagraphFont"/>
    <w:uiPriority w:val="99"/>
    <w:semiHidden/>
    <w:unhideWhenUsed/>
    <w:rsid w:val="000F0DBE"/>
    <w:rPr>
      <w:color w:val="954F72"/>
      <w:u w:val="single"/>
    </w:rPr>
  </w:style>
  <w:style w:type="paragraph" w:customStyle="1" w:styleId="msonormal0">
    <w:name w:val="msonormal"/>
    <w:basedOn w:val="Normal"/>
    <w:rsid w:val="000F0DBE"/>
    <w:pPr>
      <w:spacing w:before="100" w:beforeAutospacing="1" w:after="100" w:afterAutospacing="1"/>
    </w:pPr>
    <w:rPr>
      <w:rFonts w:eastAsia="Times New Roman"/>
    </w:rPr>
  </w:style>
  <w:style w:type="paragraph" w:customStyle="1" w:styleId="font5">
    <w:name w:val="font5"/>
    <w:basedOn w:val="Normal"/>
    <w:rsid w:val="000F0DBE"/>
    <w:pPr>
      <w:spacing w:before="100" w:beforeAutospacing="1" w:after="100" w:afterAutospacing="1"/>
    </w:pPr>
    <w:rPr>
      <w:rFonts w:eastAsia="Times New Roman"/>
    </w:rPr>
  </w:style>
  <w:style w:type="paragraph" w:customStyle="1" w:styleId="font6">
    <w:name w:val="font6"/>
    <w:basedOn w:val="Normal"/>
    <w:rsid w:val="000F0DBE"/>
    <w:pPr>
      <w:spacing w:before="100" w:beforeAutospacing="1" w:after="100" w:afterAutospacing="1"/>
    </w:pPr>
    <w:rPr>
      <w:rFonts w:eastAsia="Times New Roman"/>
    </w:rPr>
  </w:style>
  <w:style w:type="paragraph" w:customStyle="1" w:styleId="xl65">
    <w:name w:val="xl65"/>
    <w:basedOn w:val="Normal"/>
    <w:rsid w:val="000F0DBE"/>
    <w:pPr>
      <w:spacing w:before="100" w:beforeAutospacing="1" w:after="100" w:afterAutospacing="1"/>
    </w:pPr>
    <w:rPr>
      <w:rFonts w:eastAsia="Times New Roman"/>
    </w:rPr>
  </w:style>
  <w:style w:type="paragraph" w:customStyle="1" w:styleId="xl66">
    <w:name w:val="xl66"/>
    <w:basedOn w:val="Normal"/>
    <w:rsid w:val="000F0DBE"/>
    <w:pPr>
      <w:spacing w:before="100" w:beforeAutospacing="1" w:after="100" w:afterAutospacing="1"/>
    </w:pPr>
    <w:rPr>
      <w:rFonts w:eastAsia="Times New Roman"/>
      <w:b/>
      <w:bCs/>
    </w:rPr>
  </w:style>
  <w:style w:type="paragraph" w:styleId="BalloonText">
    <w:name w:val="Balloon Text"/>
    <w:basedOn w:val="Normal"/>
    <w:link w:val="BalloonTextChar"/>
    <w:uiPriority w:val="99"/>
    <w:semiHidden/>
    <w:rsid w:val="00094610"/>
    <w:rPr>
      <w:rFonts w:ascii="Tahoma" w:hAnsi="Tahoma" w:cs="Tahoma"/>
      <w:sz w:val="16"/>
      <w:szCs w:val="16"/>
    </w:rPr>
  </w:style>
  <w:style w:type="character" w:customStyle="1" w:styleId="BalloonTextChar">
    <w:name w:val="Balloon Text Char"/>
    <w:basedOn w:val="DefaultParagraphFont"/>
    <w:link w:val="BalloonText"/>
    <w:uiPriority w:val="99"/>
    <w:semiHidden/>
    <w:rsid w:val="001276FE"/>
    <w:rPr>
      <w:rFonts w:ascii="Tahoma" w:eastAsia="MS Mincho" w:hAnsi="Tahoma" w:cs="Tahoma"/>
      <w:kern w:val="0"/>
      <w:sz w:val="16"/>
      <w:szCs w:val="16"/>
      <w:lang w:val="de-DE" w:eastAsia="ja-JP"/>
    </w:rPr>
  </w:style>
  <w:style w:type="character" w:styleId="CommentReference">
    <w:name w:val="annotation reference"/>
    <w:uiPriority w:val="99"/>
    <w:semiHidden/>
    <w:unhideWhenUsed/>
    <w:rsid w:val="00094610"/>
    <w:rPr>
      <w:sz w:val="16"/>
      <w:szCs w:val="16"/>
    </w:rPr>
  </w:style>
  <w:style w:type="paragraph" w:styleId="CommentText">
    <w:name w:val="annotation text"/>
    <w:basedOn w:val="Normal"/>
    <w:link w:val="CommentTextChar"/>
    <w:uiPriority w:val="99"/>
    <w:unhideWhenUsed/>
    <w:rsid w:val="00094610"/>
    <w:rPr>
      <w:sz w:val="20"/>
      <w:szCs w:val="20"/>
    </w:rPr>
  </w:style>
  <w:style w:type="character" w:customStyle="1" w:styleId="CommentTextChar">
    <w:name w:val="Comment Text Char"/>
    <w:link w:val="CommentText"/>
    <w:uiPriority w:val="99"/>
    <w:rsid w:val="00094610"/>
    <w:rPr>
      <w:rFonts w:ascii="Times New Roman" w:eastAsia="MS Mincho" w:hAnsi="Times New Roman" w:cs="Times New Roman"/>
      <w:kern w:val="0"/>
      <w:sz w:val="20"/>
      <w:szCs w:val="20"/>
      <w:lang w:eastAsia="ja-JP"/>
    </w:rPr>
  </w:style>
  <w:style w:type="paragraph" w:styleId="CommentSubject">
    <w:name w:val="annotation subject"/>
    <w:basedOn w:val="CommentText"/>
    <w:next w:val="CommentText"/>
    <w:link w:val="CommentSubjectChar"/>
    <w:uiPriority w:val="99"/>
    <w:semiHidden/>
    <w:unhideWhenUsed/>
    <w:rsid w:val="00094610"/>
    <w:rPr>
      <w:b/>
      <w:bCs/>
    </w:rPr>
  </w:style>
  <w:style w:type="character" w:customStyle="1" w:styleId="CommentSubjectChar">
    <w:name w:val="Comment Subject Char"/>
    <w:link w:val="CommentSubject"/>
    <w:uiPriority w:val="99"/>
    <w:semiHidden/>
    <w:rsid w:val="00094610"/>
    <w:rPr>
      <w:rFonts w:ascii="Times New Roman" w:eastAsia="MS Mincho" w:hAnsi="Times New Roman" w:cs="Times New Roman"/>
      <w:b/>
      <w:bCs/>
      <w:kern w:val="0"/>
      <w:sz w:val="20"/>
      <w:szCs w:val="20"/>
      <w:lang w:eastAsia="ja-JP"/>
    </w:rPr>
  </w:style>
  <w:style w:type="paragraph" w:styleId="Revision">
    <w:name w:val="Revision"/>
    <w:hidden/>
    <w:uiPriority w:val="99"/>
    <w:semiHidden/>
    <w:rsid w:val="00A0737E"/>
    <w:pPr>
      <w:spacing w:after="0" w:line="240" w:lineRule="auto"/>
    </w:pPr>
  </w:style>
  <w:style w:type="paragraph" w:customStyle="1" w:styleId="History">
    <w:name w:val="History"/>
    <w:basedOn w:val="Normal"/>
    <w:rsid w:val="00094610"/>
    <w:pPr>
      <w:spacing w:before="230" w:after="460" w:line="180" w:lineRule="exact"/>
      <w:jc w:val="right"/>
    </w:pPr>
    <w:rPr>
      <w:rFonts w:ascii="Arial" w:hAnsi="Arial"/>
      <w:sz w:val="14"/>
      <w:szCs w:val="16"/>
    </w:rPr>
  </w:style>
  <w:style w:type="paragraph" w:customStyle="1" w:styleId="References">
    <w:name w:val="References"/>
    <w:basedOn w:val="Normal"/>
    <w:rsid w:val="00094610"/>
    <w:pPr>
      <w:spacing w:line="200" w:lineRule="exact"/>
      <w:ind w:left="425" w:hanging="425"/>
      <w:jc w:val="both"/>
    </w:pPr>
    <w:rPr>
      <w:sz w:val="15"/>
      <w:szCs w:val="14"/>
      <w:lang w:val="en-GB"/>
    </w:rPr>
  </w:style>
  <w:style w:type="paragraph" w:customStyle="1" w:styleId="HExperimentalSection">
    <w:name w:val="HExperimental_Section"/>
    <w:basedOn w:val="Normal"/>
    <w:rsid w:val="00094610"/>
    <w:pPr>
      <w:spacing w:before="460" w:after="230" w:line="230" w:lineRule="atLeast"/>
    </w:pPr>
    <w:rPr>
      <w:i/>
      <w:szCs w:val="20"/>
    </w:rPr>
  </w:style>
  <w:style w:type="paragraph" w:customStyle="1" w:styleId="ExperimentalSection">
    <w:name w:val="ExperimentalSection"/>
    <w:basedOn w:val="Normal"/>
    <w:rsid w:val="00094610"/>
    <w:pPr>
      <w:spacing w:after="240" w:line="200" w:lineRule="exact"/>
      <w:ind w:firstLine="170"/>
      <w:jc w:val="both"/>
    </w:pPr>
    <w:rPr>
      <w:sz w:val="16"/>
      <w:szCs w:val="14"/>
      <w:lang w:val="en-GB"/>
    </w:rPr>
  </w:style>
  <w:style w:type="paragraph" w:customStyle="1" w:styleId="FNB">
    <w:name w:val="FNB"/>
    <w:basedOn w:val="Normal"/>
    <w:link w:val="FNBChar"/>
    <w:rsid w:val="00094610"/>
    <w:pPr>
      <w:widowControl w:val="0"/>
      <w:spacing w:after="40" w:line="160" w:lineRule="exact"/>
      <w:ind w:left="567" w:right="4434" w:hanging="567"/>
      <w:jc w:val="both"/>
    </w:pPr>
    <w:rPr>
      <w:rFonts w:ascii="Times" w:hAnsi="Times"/>
      <w:sz w:val="14"/>
      <w:szCs w:val="3276"/>
      <w:lang w:val="en-GB" w:eastAsia="de-DE"/>
    </w:rPr>
  </w:style>
  <w:style w:type="character" w:customStyle="1" w:styleId="FNBChar">
    <w:name w:val="FNB Char"/>
    <w:link w:val="FNB"/>
    <w:rsid w:val="00094610"/>
    <w:rPr>
      <w:rFonts w:ascii="Times" w:eastAsia="MS Mincho" w:hAnsi="Times" w:cs="Times New Roman"/>
      <w:kern w:val="0"/>
      <w:sz w:val="14"/>
      <w:szCs w:val="3276"/>
      <w:lang w:val="en-GB" w:eastAsia="de-DE"/>
    </w:rPr>
  </w:style>
  <w:style w:type="paragraph" w:customStyle="1" w:styleId="Ack">
    <w:name w:val="Ack"/>
    <w:basedOn w:val="Normal"/>
    <w:rsid w:val="00094610"/>
  </w:style>
  <w:style w:type="paragraph" w:customStyle="1" w:styleId="TableCaption">
    <w:name w:val="TableCaption"/>
    <w:basedOn w:val="Normal"/>
    <w:rsid w:val="00094610"/>
    <w:pPr>
      <w:spacing w:after="120" w:line="190" w:lineRule="exact"/>
      <w:jc w:val="both"/>
    </w:pPr>
    <w:rPr>
      <w:rFonts w:ascii="Arial" w:hAnsi="Arial"/>
      <w:sz w:val="16"/>
      <w:szCs w:val="14"/>
      <w:lang w:val="en-GB"/>
    </w:rPr>
  </w:style>
  <w:style w:type="paragraph" w:customStyle="1" w:styleId="TableHead">
    <w:name w:val="TableHead"/>
    <w:basedOn w:val="TableCaption"/>
    <w:rsid w:val="00094610"/>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094610"/>
  </w:style>
  <w:style w:type="paragraph" w:customStyle="1" w:styleId="TableFoot">
    <w:name w:val="TableFoot"/>
    <w:basedOn w:val="TableBody"/>
    <w:rsid w:val="00094610"/>
    <w:pPr>
      <w:spacing w:before="60" w:after="60"/>
    </w:pPr>
  </w:style>
  <w:style w:type="paragraph" w:customStyle="1" w:styleId="SchemeCaption">
    <w:name w:val="SchemeCaption"/>
    <w:basedOn w:val="Normal"/>
    <w:rsid w:val="00094610"/>
    <w:pPr>
      <w:spacing w:before="230" w:after="460" w:line="190" w:lineRule="exact"/>
      <w:jc w:val="both"/>
    </w:pPr>
    <w:rPr>
      <w:rFonts w:ascii="Arial" w:hAnsi="Arial"/>
      <w:sz w:val="16"/>
      <w:szCs w:val="14"/>
      <w:lang w:val="en-GB"/>
    </w:rPr>
  </w:style>
  <w:style w:type="paragraph" w:styleId="FootnoteText">
    <w:name w:val="footnote text"/>
    <w:basedOn w:val="Normal"/>
    <w:link w:val="FootnoteTextChar"/>
    <w:semiHidden/>
    <w:rsid w:val="00094610"/>
    <w:pPr>
      <w:keepLines/>
      <w:widowControl w:val="0"/>
      <w:jc w:val="both"/>
    </w:pPr>
    <w:rPr>
      <w:rFonts w:eastAsia="Times New Roman"/>
      <w:sz w:val="20"/>
      <w:szCs w:val="20"/>
      <w:lang w:val="en-GB" w:eastAsia="ro-RO"/>
    </w:rPr>
  </w:style>
  <w:style w:type="character" w:customStyle="1" w:styleId="FootnoteTextChar">
    <w:name w:val="Footnote Text Char"/>
    <w:basedOn w:val="DefaultParagraphFont"/>
    <w:link w:val="FootnoteText"/>
    <w:semiHidden/>
    <w:rsid w:val="00094610"/>
    <w:rPr>
      <w:rFonts w:ascii="Times New Roman" w:eastAsia="Times New Roman" w:hAnsi="Times New Roman" w:cs="Times New Roman"/>
      <w:kern w:val="0"/>
      <w:sz w:val="20"/>
      <w:szCs w:val="20"/>
      <w:lang w:val="en-GB" w:eastAsia="ro-RO"/>
    </w:rPr>
  </w:style>
  <w:style w:type="paragraph" w:customStyle="1" w:styleId="STOE">
    <w:name w:val="STOE"/>
    <w:basedOn w:val="Normal"/>
    <w:link w:val="STOEChar1"/>
    <w:rsid w:val="00094610"/>
    <w:pPr>
      <w:widowControl w:val="0"/>
      <w:spacing w:line="236" w:lineRule="exact"/>
      <w:ind w:right="4434"/>
      <w:jc w:val="both"/>
    </w:pPr>
    <w:rPr>
      <w:rFonts w:ascii="Times" w:hAnsi="Times"/>
      <w:sz w:val="18"/>
      <w:szCs w:val="3276"/>
      <w:lang w:val="en-GB" w:eastAsia="de-DE"/>
    </w:rPr>
  </w:style>
  <w:style w:type="character" w:customStyle="1" w:styleId="STOEChar1">
    <w:name w:val="STOE Char1"/>
    <w:link w:val="STOE"/>
    <w:rsid w:val="00094610"/>
    <w:rPr>
      <w:rFonts w:ascii="Times" w:eastAsia="MS Mincho" w:hAnsi="Times" w:cs="Times New Roman"/>
      <w:kern w:val="0"/>
      <w:sz w:val="18"/>
      <w:szCs w:val="3276"/>
      <w:lang w:val="en-GB" w:eastAsia="de-DE"/>
    </w:rPr>
  </w:style>
  <w:style w:type="paragraph" w:customStyle="1" w:styleId="Title1">
    <w:name w:val="Title1"/>
    <w:basedOn w:val="Normal"/>
    <w:rsid w:val="00094610"/>
    <w:rPr>
      <w:b/>
      <w:lang w:val="en-US"/>
    </w:rPr>
  </w:style>
  <w:style w:type="paragraph" w:customStyle="1" w:styleId="dedication">
    <w:name w:val="dedication"/>
    <w:basedOn w:val="Normal"/>
    <w:rsid w:val="00094610"/>
    <w:rPr>
      <w:i/>
      <w:lang w:val="en-US"/>
    </w:rPr>
  </w:style>
  <w:style w:type="paragraph" w:customStyle="1" w:styleId="Abstract">
    <w:name w:val="Abstract"/>
    <w:basedOn w:val="Normal"/>
    <w:autoRedefine/>
    <w:rsid w:val="00094610"/>
    <w:pPr>
      <w:spacing w:line="480" w:lineRule="auto"/>
    </w:pPr>
    <w:rPr>
      <w:lang w:val="en-US"/>
    </w:rPr>
  </w:style>
  <w:style w:type="paragraph" w:customStyle="1" w:styleId="Head2">
    <w:name w:val="Head 2"/>
    <w:basedOn w:val="Normal"/>
    <w:autoRedefine/>
    <w:rsid w:val="00094610"/>
    <w:pPr>
      <w:spacing w:line="360" w:lineRule="auto"/>
    </w:pPr>
    <w:rPr>
      <w:i/>
      <w:lang w:val="en-US"/>
    </w:rPr>
  </w:style>
  <w:style w:type="paragraph" w:customStyle="1" w:styleId="Literature">
    <w:name w:val="Literature"/>
    <w:basedOn w:val="Normal"/>
    <w:rsid w:val="00094610"/>
    <w:pPr>
      <w:spacing w:line="480" w:lineRule="auto"/>
    </w:pPr>
  </w:style>
  <w:style w:type="paragraph" w:customStyle="1" w:styleId="Legend">
    <w:name w:val="Legend"/>
    <w:basedOn w:val="Normal"/>
    <w:rsid w:val="00094610"/>
    <w:rPr>
      <w:lang w:val="en-US"/>
    </w:rPr>
  </w:style>
  <w:style w:type="paragraph" w:customStyle="1" w:styleId="ExperimentalText">
    <w:name w:val="Experimental Text"/>
    <w:basedOn w:val="Normal"/>
    <w:link w:val="ExperimentalTextChar"/>
    <w:rsid w:val="00094610"/>
    <w:pPr>
      <w:spacing w:line="480" w:lineRule="auto"/>
    </w:pPr>
    <w:rPr>
      <w:lang w:val="en-US"/>
    </w:rPr>
  </w:style>
  <w:style w:type="character" w:customStyle="1" w:styleId="ExperimentalTextChar">
    <w:name w:val="Experimental Text Char"/>
    <w:link w:val="ExperimentalText"/>
    <w:rsid w:val="00094610"/>
    <w:rPr>
      <w:rFonts w:ascii="Times New Roman" w:eastAsia="MS Mincho" w:hAnsi="Times New Roman" w:cs="Times New Roman"/>
      <w:kern w:val="0"/>
      <w:sz w:val="24"/>
      <w:szCs w:val="24"/>
      <w:lang w:eastAsia="ja-JP"/>
    </w:rPr>
  </w:style>
  <w:style w:type="paragraph" w:customStyle="1" w:styleId="Dedication0">
    <w:name w:val="Dedication"/>
    <w:basedOn w:val="Normal"/>
    <w:autoRedefine/>
    <w:rsid w:val="00094610"/>
    <w:rPr>
      <w:lang w:val="en-US"/>
    </w:rPr>
  </w:style>
  <w:style w:type="paragraph" w:customStyle="1" w:styleId="Biography">
    <w:name w:val="Biography"/>
    <w:basedOn w:val="Normal"/>
    <w:autoRedefine/>
    <w:rsid w:val="00094610"/>
    <w:rPr>
      <w:i/>
      <w:lang w:val="en-US"/>
    </w:rPr>
  </w:style>
  <w:style w:type="character" w:styleId="LineNumber">
    <w:name w:val="line number"/>
    <w:basedOn w:val="DefaultParagraphFont"/>
    <w:uiPriority w:val="99"/>
    <w:semiHidden/>
    <w:unhideWhenUsed/>
    <w:rsid w:val="00091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906201">
      <w:bodyDiv w:val="1"/>
      <w:marLeft w:val="0"/>
      <w:marRight w:val="0"/>
      <w:marTop w:val="0"/>
      <w:marBottom w:val="0"/>
      <w:divBdr>
        <w:top w:val="none" w:sz="0" w:space="0" w:color="auto"/>
        <w:left w:val="none" w:sz="0" w:space="0" w:color="auto"/>
        <w:bottom w:val="none" w:sz="0" w:space="0" w:color="auto"/>
        <w:right w:val="none" w:sz="0" w:space="0" w:color="auto"/>
      </w:divBdr>
    </w:div>
    <w:div w:id="70590754">
      <w:bodyDiv w:val="1"/>
      <w:marLeft w:val="0"/>
      <w:marRight w:val="0"/>
      <w:marTop w:val="0"/>
      <w:marBottom w:val="0"/>
      <w:divBdr>
        <w:top w:val="none" w:sz="0" w:space="0" w:color="auto"/>
        <w:left w:val="none" w:sz="0" w:space="0" w:color="auto"/>
        <w:bottom w:val="none" w:sz="0" w:space="0" w:color="auto"/>
        <w:right w:val="none" w:sz="0" w:space="0" w:color="auto"/>
      </w:divBdr>
    </w:div>
    <w:div w:id="108623994">
      <w:bodyDiv w:val="1"/>
      <w:marLeft w:val="0"/>
      <w:marRight w:val="0"/>
      <w:marTop w:val="0"/>
      <w:marBottom w:val="0"/>
      <w:divBdr>
        <w:top w:val="none" w:sz="0" w:space="0" w:color="auto"/>
        <w:left w:val="none" w:sz="0" w:space="0" w:color="auto"/>
        <w:bottom w:val="none" w:sz="0" w:space="0" w:color="auto"/>
        <w:right w:val="none" w:sz="0" w:space="0" w:color="auto"/>
      </w:divBdr>
    </w:div>
    <w:div w:id="194345355">
      <w:bodyDiv w:val="1"/>
      <w:marLeft w:val="0"/>
      <w:marRight w:val="0"/>
      <w:marTop w:val="0"/>
      <w:marBottom w:val="0"/>
      <w:divBdr>
        <w:top w:val="none" w:sz="0" w:space="0" w:color="auto"/>
        <w:left w:val="none" w:sz="0" w:space="0" w:color="auto"/>
        <w:bottom w:val="none" w:sz="0" w:space="0" w:color="auto"/>
        <w:right w:val="none" w:sz="0" w:space="0" w:color="auto"/>
      </w:divBdr>
    </w:div>
    <w:div w:id="207257324">
      <w:bodyDiv w:val="1"/>
      <w:marLeft w:val="0"/>
      <w:marRight w:val="0"/>
      <w:marTop w:val="0"/>
      <w:marBottom w:val="0"/>
      <w:divBdr>
        <w:top w:val="none" w:sz="0" w:space="0" w:color="auto"/>
        <w:left w:val="none" w:sz="0" w:space="0" w:color="auto"/>
        <w:bottom w:val="none" w:sz="0" w:space="0" w:color="auto"/>
        <w:right w:val="none" w:sz="0" w:space="0" w:color="auto"/>
      </w:divBdr>
    </w:div>
    <w:div w:id="563763766">
      <w:bodyDiv w:val="1"/>
      <w:marLeft w:val="0"/>
      <w:marRight w:val="0"/>
      <w:marTop w:val="0"/>
      <w:marBottom w:val="0"/>
      <w:divBdr>
        <w:top w:val="none" w:sz="0" w:space="0" w:color="auto"/>
        <w:left w:val="none" w:sz="0" w:space="0" w:color="auto"/>
        <w:bottom w:val="none" w:sz="0" w:space="0" w:color="auto"/>
        <w:right w:val="none" w:sz="0" w:space="0" w:color="auto"/>
      </w:divBdr>
    </w:div>
    <w:div w:id="591204339">
      <w:bodyDiv w:val="1"/>
      <w:marLeft w:val="0"/>
      <w:marRight w:val="0"/>
      <w:marTop w:val="0"/>
      <w:marBottom w:val="0"/>
      <w:divBdr>
        <w:top w:val="none" w:sz="0" w:space="0" w:color="auto"/>
        <w:left w:val="none" w:sz="0" w:space="0" w:color="auto"/>
        <w:bottom w:val="none" w:sz="0" w:space="0" w:color="auto"/>
        <w:right w:val="none" w:sz="0" w:space="0" w:color="auto"/>
      </w:divBdr>
    </w:div>
    <w:div w:id="602225305">
      <w:bodyDiv w:val="1"/>
      <w:marLeft w:val="0"/>
      <w:marRight w:val="0"/>
      <w:marTop w:val="0"/>
      <w:marBottom w:val="0"/>
      <w:divBdr>
        <w:top w:val="none" w:sz="0" w:space="0" w:color="auto"/>
        <w:left w:val="none" w:sz="0" w:space="0" w:color="auto"/>
        <w:bottom w:val="none" w:sz="0" w:space="0" w:color="auto"/>
        <w:right w:val="none" w:sz="0" w:space="0" w:color="auto"/>
      </w:divBdr>
    </w:div>
    <w:div w:id="607201686">
      <w:bodyDiv w:val="1"/>
      <w:marLeft w:val="0"/>
      <w:marRight w:val="0"/>
      <w:marTop w:val="0"/>
      <w:marBottom w:val="0"/>
      <w:divBdr>
        <w:top w:val="none" w:sz="0" w:space="0" w:color="auto"/>
        <w:left w:val="none" w:sz="0" w:space="0" w:color="auto"/>
        <w:bottom w:val="none" w:sz="0" w:space="0" w:color="auto"/>
        <w:right w:val="none" w:sz="0" w:space="0" w:color="auto"/>
      </w:divBdr>
    </w:div>
    <w:div w:id="792670873">
      <w:bodyDiv w:val="1"/>
      <w:marLeft w:val="0"/>
      <w:marRight w:val="0"/>
      <w:marTop w:val="0"/>
      <w:marBottom w:val="0"/>
      <w:divBdr>
        <w:top w:val="none" w:sz="0" w:space="0" w:color="auto"/>
        <w:left w:val="none" w:sz="0" w:space="0" w:color="auto"/>
        <w:bottom w:val="none" w:sz="0" w:space="0" w:color="auto"/>
        <w:right w:val="none" w:sz="0" w:space="0" w:color="auto"/>
      </w:divBdr>
    </w:div>
    <w:div w:id="877399636">
      <w:bodyDiv w:val="1"/>
      <w:marLeft w:val="0"/>
      <w:marRight w:val="0"/>
      <w:marTop w:val="0"/>
      <w:marBottom w:val="0"/>
      <w:divBdr>
        <w:top w:val="none" w:sz="0" w:space="0" w:color="auto"/>
        <w:left w:val="none" w:sz="0" w:space="0" w:color="auto"/>
        <w:bottom w:val="none" w:sz="0" w:space="0" w:color="auto"/>
        <w:right w:val="none" w:sz="0" w:space="0" w:color="auto"/>
      </w:divBdr>
    </w:div>
    <w:div w:id="1277365893">
      <w:bodyDiv w:val="1"/>
      <w:marLeft w:val="0"/>
      <w:marRight w:val="0"/>
      <w:marTop w:val="0"/>
      <w:marBottom w:val="0"/>
      <w:divBdr>
        <w:top w:val="none" w:sz="0" w:space="0" w:color="auto"/>
        <w:left w:val="none" w:sz="0" w:space="0" w:color="auto"/>
        <w:bottom w:val="none" w:sz="0" w:space="0" w:color="auto"/>
        <w:right w:val="none" w:sz="0" w:space="0" w:color="auto"/>
      </w:divBdr>
    </w:div>
    <w:div w:id="1517766450">
      <w:bodyDiv w:val="1"/>
      <w:marLeft w:val="0"/>
      <w:marRight w:val="0"/>
      <w:marTop w:val="0"/>
      <w:marBottom w:val="0"/>
      <w:divBdr>
        <w:top w:val="none" w:sz="0" w:space="0" w:color="auto"/>
        <w:left w:val="none" w:sz="0" w:space="0" w:color="auto"/>
        <w:bottom w:val="none" w:sz="0" w:space="0" w:color="auto"/>
        <w:right w:val="none" w:sz="0" w:space="0" w:color="auto"/>
      </w:divBdr>
    </w:div>
    <w:div w:id="1719470613">
      <w:bodyDiv w:val="1"/>
      <w:marLeft w:val="0"/>
      <w:marRight w:val="0"/>
      <w:marTop w:val="0"/>
      <w:marBottom w:val="0"/>
      <w:divBdr>
        <w:top w:val="none" w:sz="0" w:space="0" w:color="auto"/>
        <w:left w:val="none" w:sz="0" w:space="0" w:color="auto"/>
        <w:bottom w:val="none" w:sz="0" w:space="0" w:color="auto"/>
        <w:right w:val="none" w:sz="0" w:space="0" w:color="auto"/>
      </w:divBdr>
    </w:div>
    <w:div w:id="1797336834">
      <w:bodyDiv w:val="1"/>
      <w:marLeft w:val="0"/>
      <w:marRight w:val="0"/>
      <w:marTop w:val="0"/>
      <w:marBottom w:val="0"/>
      <w:divBdr>
        <w:top w:val="none" w:sz="0" w:space="0" w:color="auto"/>
        <w:left w:val="none" w:sz="0" w:space="0" w:color="auto"/>
        <w:bottom w:val="none" w:sz="0" w:space="0" w:color="auto"/>
        <w:right w:val="none" w:sz="0" w:space="0" w:color="auto"/>
      </w:divBdr>
    </w:div>
    <w:div w:id="1883471514">
      <w:bodyDiv w:val="1"/>
      <w:marLeft w:val="0"/>
      <w:marRight w:val="0"/>
      <w:marTop w:val="0"/>
      <w:marBottom w:val="0"/>
      <w:divBdr>
        <w:top w:val="none" w:sz="0" w:space="0" w:color="auto"/>
        <w:left w:val="none" w:sz="0" w:space="0" w:color="auto"/>
        <w:bottom w:val="none" w:sz="0" w:space="0" w:color="auto"/>
        <w:right w:val="none" w:sz="0" w:space="0" w:color="auto"/>
      </w:divBdr>
    </w:div>
    <w:div w:id="2040009107">
      <w:bodyDiv w:val="1"/>
      <w:marLeft w:val="0"/>
      <w:marRight w:val="0"/>
      <w:marTop w:val="0"/>
      <w:marBottom w:val="0"/>
      <w:divBdr>
        <w:top w:val="none" w:sz="0" w:space="0" w:color="auto"/>
        <w:left w:val="none" w:sz="0" w:space="0" w:color="auto"/>
        <w:bottom w:val="none" w:sz="0" w:space="0" w:color="auto"/>
        <w:right w:val="none" w:sz="0" w:space="0" w:color="auto"/>
      </w:divBdr>
    </w:div>
    <w:div w:id="21027490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ALL%20WORK\CACTUS\job167\article-templat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DDCA2-47A5-4C85-9478-619B502F7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article-template</Template>
  <TotalTime>4</TotalTime>
  <Pages>51</Pages>
  <Words>12464</Words>
  <Characters>69410</Characters>
  <Application>Microsoft Office Word</Application>
  <DocSecurity>0</DocSecurity>
  <Lines>4800</Lines>
  <Paragraphs>4270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Nirmal</dc:creator>
  <cp:keywords/>
  <dc:description/>
  <cp:lastModifiedBy>Kiran Nirmal</cp:lastModifiedBy>
  <cp:revision>9</cp:revision>
  <cp:lastPrinted>2023-12-07T08:16:00Z</cp:lastPrinted>
  <dcterms:created xsi:type="dcterms:W3CDTF">2024-08-19T00:12:00Z</dcterms:created>
  <dcterms:modified xsi:type="dcterms:W3CDTF">2024-08-19T01:28:00Z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be9df425-c6cf-4492-a168-0a818cd5793d</vt:lpwstr>
  </property>
  <property fmtid="{D5CDD505-2E9C-101B-9397-08002B2CF9AE}" pid="3" name="ZOTERO_PREF_1">
    <vt:lpwstr>&lt;data data-version="3" zotero-version="6.0.36"&gt;&lt;session id="9vcse4c3"/&gt;&lt;style id="http://www.zotero.org/styles/journal-of-energy-chemistry" hasBibliography="1" bibliographyStyleHasBeenSet="1"/&gt;&lt;prefs&gt;&lt;pref name="fieldType" value="Field"/&gt;&lt;pref name="delay</vt:lpwstr>
  </property>
  <property fmtid="{D5CDD505-2E9C-101B-9397-08002B2CF9AE}" pid="4" name="ZOTERO_PREF_2">
    <vt:lpwstr>CitationUpdates" value="true"/&gt;&lt;pref name="dontAskDelayCitationUpdates" value="true"/&gt;&lt;/prefs&gt;&lt;/data&gt;</vt:lpwstr>
  </property>
</Properties>
</file>