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  GameScene.swift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  HelloWorld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  Created by Vntlab on 7/11/16.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  Copyright (c) 2016 Vntlab. All rights reserved.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c2349b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SpriteKit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c2349b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GameScene: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SKScene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b84c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score: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b84c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let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xPosition =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400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b84c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let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yPosition =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300.50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b84c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hp =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100.10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2349b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gameOver =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44448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scoreText: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"Score :"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let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weapon = 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"shuriken"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100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let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enemy: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let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enemy2: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(healthPoints: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400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override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func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didMoveToView(view: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SKView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let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intHP =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hp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"Position x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xPosition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"Position y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yPosition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"HP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hp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"weapon description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weapon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 weapon damage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weapon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"HP intger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intHP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"Enemy Health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healthPoints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"Enemy Health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enemy2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healthPoints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"Enemy State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enemyState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doAttack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receivePlayerAttack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100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, weapon: 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"sword"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b84c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damage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200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"Enemy damage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damage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let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playerDamage =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doPowerStrike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,PlayerY: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"player damage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playerDamage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