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2E03" w:rsidRDefault="00782E03" w:rsidP="00C676D2"/>
    <w:p w:rsidR="00CC2675" w:rsidRDefault="0047154F" w:rsidP="004C78B5">
      <w:pPr>
        <w:jc w:val="center"/>
      </w:pPr>
      <w:r w:rsidRPr="00782E03">
        <w:t xml:space="preserve">SISTEMA DE </w:t>
      </w:r>
      <w:r w:rsidR="002B239C" w:rsidRPr="00782E03">
        <w:t>RISCO E COMPLIANCE – MANUAL</w:t>
      </w:r>
    </w:p>
    <w:p w:rsidR="00235288" w:rsidRDefault="00235288" w:rsidP="004C78B5">
      <w:pPr>
        <w:jc w:val="center"/>
      </w:pPr>
    </w:p>
    <w:p w:rsidR="00ED47CA" w:rsidRDefault="000B1A93">
      <w:pPr>
        <w:pStyle w:val="TOC1"/>
        <w:tabs>
          <w:tab w:val="left" w:pos="440"/>
          <w:tab w:val="right" w:leader="dot" w:pos="10790"/>
        </w:tabs>
        <w:rPr>
          <w:rFonts w:eastAsiaTheme="minorEastAsia"/>
          <w:noProof/>
          <w:lang w:eastAsia="pt-BR"/>
        </w:rPr>
      </w:pPr>
      <w:r>
        <w:fldChar w:fldCharType="begin"/>
      </w:r>
      <w:r w:rsidR="00235288">
        <w:instrText xml:space="preserve"> TOC \o "1-3" \h \z \u </w:instrText>
      </w:r>
      <w:r>
        <w:fldChar w:fldCharType="separate"/>
      </w:r>
      <w:hyperlink w:anchor="_Toc475092440" w:history="1">
        <w:r w:rsidR="00ED47CA" w:rsidRPr="00C21E03">
          <w:rPr>
            <w:rStyle w:val="Hyperlink"/>
            <w:noProof/>
          </w:rPr>
          <w:t>I-</w:t>
        </w:r>
        <w:r w:rsidR="00ED47CA">
          <w:rPr>
            <w:rFonts w:eastAsiaTheme="minorEastAsia"/>
            <w:noProof/>
            <w:lang w:eastAsia="pt-BR"/>
          </w:rPr>
          <w:tab/>
        </w:r>
        <w:r w:rsidR="00ED47CA" w:rsidRPr="00C21E03">
          <w:rPr>
            <w:rStyle w:val="Hyperlink"/>
            <w:noProof/>
          </w:rPr>
          <w:t>INTRODUÇÃO</w:t>
        </w:r>
        <w:r w:rsidR="00ED47CA">
          <w:rPr>
            <w:noProof/>
            <w:webHidden/>
          </w:rPr>
          <w:tab/>
        </w:r>
        <w:r w:rsidR="00ED47CA">
          <w:rPr>
            <w:noProof/>
            <w:webHidden/>
          </w:rPr>
          <w:fldChar w:fldCharType="begin"/>
        </w:r>
        <w:r w:rsidR="00ED47CA">
          <w:rPr>
            <w:noProof/>
            <w:webHidden/>
          </w:rPr>
          <w:instrText xml:space="preserve"> PAGEREF _Toc475092440 \h </w:instrText>
        </w:r>
        <w:r w:rsidR="00ED47CA">
          <w:rPr>
            <w:noProof/>
            <w:webHidden/>
          </w:rPr>
        </w:r>
        <w:r w:rsidR="00ED47CA">
          <w:rPr>
            <w:noProof/>
            <w:webHidden/>
          </w:rPr>
          <w:fldChar w:fldCharType="separate"/>
        </w:r>
        <w:r w:rsidR="00ED47CA">
          <w:rPr>
            <w:noProof/>
            <w:webHidden/>
          </w:rPr>
          <w:t>5</w:t>
        </w:r>
        <w:r w:rsidR="00ED47CA"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41" w:history="1">
        <w:r w:rsidRPr="00C21E03">
          <w:rPr>
            <w:rStyle w:val="Hyperlink"/>
            <w:noProof/>
          </w:rPr>
          <w:t>I-1.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42" w:history="1">
        <w:r w:rsidRPr="00C21E03">
          <w:rPr>
            <w:rStyle w:val="Hyperlink"/>
            <w:noProof/>
          </w:rPr>
          <w:t>I-2.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IMPORTAÇÃO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43" w:history="1">
        <w:r w:rsidRPr="00C21E03">
          <w:rPr>
            <w:rStyle w:val="Hyperlink"/>
            <w:noProof/>
          </w:rPr>
          <w:t>I-3.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REPORTE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44" w:history="1">
        <w:r w:rsidRPr="00C21E03">
          <w:rPr>
            <w:rStyle w:val="Hyperlink"/>
            <w:noProof/>
          </w:rPr>
          <w:t>I-4.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EXECUÇÃO EM BATCH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45" w:history="1">
        <w:r w:rsidRPr="00C21E03">
          <w:rPr>
            <w:rStyle w:val="Hyperlink"/>
            <w:noProof/>
          </w:rPr>
          <w:t>I-5.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FUNCIONALIDADES DE CARTEIRA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46" w:history="1">
        <w:r w:rsidRPr="00C21E03">
          <w:rPr>
            <w:rStyle w:val="Hyperlink"/>
            <w:noProof/>
          </w:rPr>
          <w:t>I-6.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FUNCIONALIDADES DE COMPLIANCE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47" w:history="1">
        <w:r w:rsidRPr="00C21E03">
          <w:rPr>
            <w:rStyle w:val="Hyperlink"/>
            <w:noProof/>
          </w:rPr>
          <w:t>I-7.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FUNCIONALIDADES DE RISCO DE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48" w:history="1">
        <w:r w:rsidRPr="00C21E03">
          <w:rPr>
            <w:rStyle w:val="Hyperlink"/>
            <w:noProof/>
          </w:rPr>
          <w:t>I-8.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FUNCIONALIDADES DE RISCO DE CRÉDITO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49" w:history="1">
        <w:r w:rsidRPr="00C21E03">
          <w:rPr>
            <w:rStyle w:val="Hyperlink"/>
            <w:noProof/>
          </w:rPr>
          <w:t>I-9.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FUNCIONALIDADES DE RISCO DE LIQUIDEZ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50" w:history="1">
        <w:r w:rsidRPr="00C21E03">
          <w:rPr>
            <w:rStyle w:val="Hyperlink"/>
            <w:noProof/>
          </w:rPr>
          <w:t>I-10.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FUNCIONALIDADES DE AML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51" w:history="1">
        <w:r w:rsidRPr="00C21E03">
          <w:rPr>
            <w:rStyle w:val="Hyperlink"/>
            <w:noProof/>
          </w:rPr>
          <w:t>I-11.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FUNCIONALIDADES DE RATEIO E ALOCAÇÃO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52" w:history="1">
        <w:r w:rsidRPr="00C21E03">
          <w:rPr>
            <w:rStyle w:val="Hyperlink"/>
            <w:noProof/>
          </w:rPr>
          <w:t>I-12.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OUTRAS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1"/>
        <w:tabs>
          <w:tab w:val="left" w:pos="440"/>
          <w:tab w:val="right" w:leader="dot" w:pos="10790"/>
        </w:tabs>
        <w:rPr>
          <w:rFonts w:eastAsiaTheme="minorEastAsia"/>
          <w:noProof/>
          <w:lang w:eastAsia="pt-BR"/>
        </w:rPr>
      </w:pPr>
      <w:hyperlink w:anchor="_Toc475092453" w:history="1">
        <w:r w:rsidRPr="00C21E03">
          <w:rPr>
            <w:rStyle w:val="Hyperlink"/>
            <w:noProof/>
          </w:rPr>
          <w:t>II-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INICIANDO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54" w:history="1">
        <w:r w:rsidRPr="00C21E03">
          <w:rPr>
            <w:rStyle w:val="Hyperlink"/>
            <w:noProof/>
          </w:rPr>
          <w:t>II-1.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PRÉ-REQUISITOS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55" w:history="1">
        <w:r w:rsidRPr="00C21E03">
          <w:rPr>
            <w:rStyle w:val="Hyperlink"/>
            <w:noProof/>
          </w:rPr>
          <w:t>II-2.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EXECUÇÃO EM BATCH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56" w:history="1">
        <w:r w:rsidRPr="00C21E03">
          <w:rPr>
            <w:rStyle w:val="Hyperlink"/>
            <w:noProof/>
          </w:rPr>
          <w:t>II-3.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INICIALIZAÇÃO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57" w:history="1">
        <w:r w:rsidRPr="00C21E03">
          <w:rPr>
            <w:rStyle w:val="Hyperlink"/>
            <w:noProof/>
          </w:rPr>
          <w:t>II-4.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TELA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1"/>
        <w:tabs>
          <w:tab w:val="left" w:pos="660"/>
          <w:tab w:val="right" w:leader="dot" w:pos="10790"/>
        </w:tabs>
        <w:rPr>
          <w:rFonts w:eastAsiaTheme="minorEastAsia"/>
          <w:noProof/>
          <w:lang w:eastAsia="pt-BR"/>
        </w:rPr>
      </w:pPr>
      <w:hyperlink w:anchor="_Toc475092458" w:history="1">
        <w:r w:rsidRPr="00C21E03">
          <w:rPr>
            <w:rStyle w:val="Hyperlink"/>
            <w:noProof/>
          </w:rPr>
          <w:t>III-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FUNDOS E CARTEIRAS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59" w:history="1">
        <w:r w:rsidRPr="00C21E03">
          <w:rPr>
            <w:rStyle w:val="Hyperlink"/>
            <w:noProof/>
          </w:rPr>
          <w:t>III-1.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DASHBOARD DOS FUNDOS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60" w:history="1">
        <w:r w:rsidRPr="00C21E03">
          <w:rPr>
            <w:rStyle w:val="Hyperlink"/>
            <w:noProof/>
          </w:rPr>
          <w:t>III-2.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TELA DE CARTEIRA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61" w:history="1">
        <w:r w:rsidRPr="00C21E03">
          <w:rPr>
            <w:rStyle w:val="Hyperlink"/>
            <w:noProof/>
          </w:rPr>
          <w:t>III-3.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CADASTRO DE FUNDOS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62" w:history="1">
        <w:r w:rsidRPr="00C21E03">
          <w:rPr>
            <w:rStyle w:val="Hyperlink"/>
            <w:noProof/>
          </w:rPr>
          <w:t>III-4.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IMPORTAÇÃO DE CARTEIRAS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63" w:history="1">
        <w:r w:rsidRPr="00C21E03">
          <w:rPr>
            <w:rStyle w:val="Hyperlink"/>
            <w:noProof/>
          </w:rPr>
          <w:t>III-5.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INVESTIMENTOS CRUZADOS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64" w:history="1">
        <w:r w:rsidRPr="00C21E03">
          <w:rPr>
            <w:rStyle w:val="Hyperlink"/>
            <w:noProof/>
          </w:rPr>
          <w:t>III-6.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CONSOLIDAÇÃO DE CARTEIRAS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1"/>
        <w:tabs>
          <w:tab w:val="left" w:pos="660"/>
          <w:tab w:val="right" w:leader="dot" w:pos="10790"/>
        </w:tabs>
        <w:rPr>
          <w:rFonts w:eastAsiaTheme="minorEastAsia"/>
          <w:noProof/>
          <w:lang w:eastAsia="pt-BR"/>
        </w:rPr>
      </w:pPr>
      <w:hyperlink w:anchor="_Toc475092465" w:history="1">
        <w:r w:rsidRPr="00C21E03">
          <w:rPr>
            <w:rStyle w:val="Hyperlink"/>
            <w:noProof/>
          </w:rPr>
          <w:t>IV-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CADASTRO DE TÍTULOS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66" w:history="1">
        <w:r w:rsidRPr="00C21E03">
          <w:rPr>
            <w:rStyle w:val="Hyperlink"/>
            <w:noProof/>
          </w:rPr>
          <w:t>IV-1.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MANUTENÇÃO DO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67" w:history="1">
        <w:r w:rsidRPr="00C21E03">
          <w:rPr>
            <w:rStyle w:val="Hyperlink"/>
            <w:noProof/>
          </w:rPr>
          <w:t>IV-2.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VISUALIZAÇÃO DO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68" w:history="1">
        <w:r w:rsidRPr="00C21E03">
          <w:rPr>
            <w:rStyle w:val="Hyperlink"/>
            <w:noProof/>
          </w:rPr>
          <w:t>IV-3.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IDENTIFICAÇÃO DO TÍTULO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69" w:history="1">
        <w:r w:rsidRPr="00C21E03">
          <w:rPr>
            <w:rStyle w:val="Hyperlink"/>
            <w:noProof/>
          </w:rPr>
          <w:t>IV-4.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CADASTRAMENTO AUTOMÁTICO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70" w:history="1">
        <w:r w:rsidRPr="00C21E03">
          <w:rPr>
            <w:rStyle w:val="Hyperlink"/>
            <w:noProof/>
          </w:rPr>
          <w:t>IV-5.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PROPRIEDADES FINANCEIRAS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71" w:history="1">
        <w:r w:rsidRPr="00C21E03">
          <w:rPr>
            <w:rStyle w:val="Hyperlink"/>
            <w:noProof/>
          </w:rPr>
          <w:t>IV-6.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PROPRIEDADES DESCRITIVAS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72" w:history="1">
        <w:r w:rsidRPr="00C21E03">
          <w:rPr>
            <w:rStyle w:val="Hyperlink"/>
            <w:noProof/>
          </w:rPr>
          <w:t>IV-7.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CRIANDO PROPRIEDADES DESCRITIVAS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73" w:history="1">
        <w:r w:rsidRPr="00C21E03">
          <w:rPr>
            <w:rStyle w:val="Hyperlink"/>
            <w:noProof/>
          </w:rPr>
          <w:t>IV-8.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CRIANDO UM TÍTULO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74" w:history="1">
        <w:r w:rsidRPr="00C21E03">
          <w:rPr>
            <w:rStyle w:val="Hyperlink"/>
            <w:noProof/>
          </w:rPr>
          <w:t>IV-9.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EDITANDO UM TÍTULO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75" w:history="1">
        <w:r w:rsidRPr="00C21E03">
          <w:rPr>
            <w:rStyle w:val="Hyperlink"/>
            <w:noProof/>
          </w:rPr>
          <w:t>IV-10.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FLUXO DE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76" w:history="1">
        <w:r w:rsidRPr="00C21E03">
          <w:rPr>
            <w:rStyle w:val="Hyperlink"/>
            <w:noProof/>
          </w:rPr>
          <w:t>IV-11.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ALIAS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1"/>
        <w:tabs>
          <w:tab w:val="left" w:pos="440"/>
          <w:tab w:val="right" w:leader="dot" w:pos="10790"/>
        </w:tabs>
        <w:rPr>
          <w:rFonts w:eastAsiaTheme="minorEastAsia"/>
          <w:noProof/>
          <w:lang w:eastAsia="pt-BR"/>
        </w:rPr>
      </w:pPr>
      <w:hyperlink w:anchor="_Toc475092477" w:history="1">
        <w:r w:rsidRPr="00C21E03">
          <w:rPr>
            <w:rStyle w:val="Hyperlink"/>
            <w:noProof/>
          </w:rPr>
          <w:t>V-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COMPLIANCE DE CARTEIRA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78" w:history="1">
        <w:r w:rsidRPr="00C21E03">
          <w:rPr>
            <w:rStyle w:val="Hyperlink"/>
            <w:noProof/>
          </w:rPr>
          <w:t>V-1.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79" w:history="1">
        <w:r w:rsidRPr="00C21E03">
          <w:rPr>
            <w:rStyle w:val="Hyperlink"/>
            <w:noProof/>
          </w:rPr>
          <w:t>V-2.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REGRAS DE COMPLIANCE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80" w:history="1">
        <w:r w:rsidRPr="00C21E03">
          <w:rPr>
            <w:rStyle w:val="Hyperlink"/>
            <w:noProof/>
          </w:rPr>
          <w:t>V-3.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VISUALIZANDO AS REGRAS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81" w:history="1">
        <w:r w:rsidRPr="00C21E03">
          <w:rPr>
            <w:rStyle w:val="Hyperlink"/>
            <w:noProof/>
          </w:rPr>
          <w:t>V-4.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ESCREVENDO REGRAS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82" w:history="1">
        <w:r w:rsidRPr="00C21E03">
          <w:rPr>
            <w:rStyle w:val="Hyperlink"/>
            <w:noProof/>
          </w:rPr>
          <w:t>V-5.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COMBINANDO CLÁUSULAS “PARA” E “POR”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83" w:history="1">
        <w:r w:rsidRPr="00C21E03">
          <w:rPr>
            <w:rStyle w:val="Hyperlink"/>
            <w:noProof/>
          </w:rPr>
          <w:t>V-6.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EXEMPLOS DE REGRAS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84" w:history="1">
        <w:r w:rsidRPr="00C21E03">
          <w:rPr>
            <w:rStyle w:val="Hyperlink"/>
            <w:noProof/>
          </w:rPr>
          <w:t>V-7.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REGRAS DE MOVIMENTAÇÃO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85" w:history="1">
        <w:r w:rsidRPr="00C21E03">
          <w:rPr>
            <w:rStyle w:val="Hyperlink"/>
            <w:noProof/>
          </w:rPr>
          <w:t>V-8.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PRÉ-TRADE COMPLIANCE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86" w:history="1">
        <w:r w:rsidRPr="00C21E03">
          <w:rPr>
            <w:rStyle w:val="Hyperlink"/>
            <w:noProof/>
          </w:rPr>
          <w:t>V-9.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LIVROS DE REGRAS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87" w:history="1">
        <w:r w:rsidRPr="00C21E03">
          <w:rPr>
            <w:rStyle w:val="Hyperlink"/>
            <w:noProof/>
          </w:rPr>
          <w:t>V-10.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ATRIBUINDO LIVROS AOS FUNDOS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88" w:history="1">
        <w:r w:rsidRPr="00C21E03">
          <w:rPr>
            <w:rStyle w:val="Hyperlink"/>
            <w:noProof/>
          </w:rPr>
          <w:t>V-11.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VISUALIZANDO A COMPLIANCE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1"/>
        <w:tabs>
          <w:tab w:val="left" w:pos="660"/>
          <w:tab w:val="right" w:leader="dot" w:pos="10790"/>
        </w:tabs>
        <w:rPr>
          <w:rFonts w:eastAsiaTheme="minorEastAsia"/>
          <w:noProof/>
          <w:lang w:eastAsia="pt-BR"/>
        </w:rPr>
      </w:pPr>
      <w:hyperlink w:anchor="_Toc475092489" w:history="1">
        <w:r w:rsidRPr="00C21E03">
          <w:rPr>
            <w:rStyle w:val="Hyperlink"/>
            <w:noProof/>
          </w:rPr>
          <w:t>VI-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RISCO DE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90" w:history="1">
        <w:r w:rsidRPr="00C21E03">
          <w:rPr>
            <w:rStyle w:val="Hyperlink"/>
            <w:noProof/>
          </w:rPr>
          <w:t>VI-1.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91" w:history="1">
        <w:r w:rsidRPr="00C21E03">
          <w:rPr>
            <w:rStyle w:val="Hyperlink"/>
            <w:noProof/>
          </w:rPr>
          <w:t>VI-2.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IMPORTAÇÃO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92" w:history="1">
        <w:r w:rsidRPr="00C21E03">
          <w:rPr>
            <w:rStyle w:val="Hyperlink"/>
            <w:noProof/>
          </w:rPr>
          <w:t>VI-3.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PARÂMETROS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93" w:history="1">
        <w:r w:rsidRPr="00C21E03">
          <w:rPr>
            <w:rStyle w:val="Hyperlink"/>
            <w:noProof/>
          </w:rPr>
          <w:t>VI-4.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CÁLCULO DO VAR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94" w:history="1">
        <w:r w:rsidRPr="00C21E03">
          <w:rPr>
            <w:rStyle w:val="Hyperlink"/>
            <w:noProof/>
          </w:rPr>
          <w:t>VI-5.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CÁLCULO DO STRESS HISTÓRICO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95" w:history="1">
        <w:r w:rsidRPr="00C21E03">
          <w:rPr>
            <w:rStyle w:val="Hyperlink"/>
            <w:noProof/>
          </w:rPr>
          <w:t>VI-6.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TELA DE RISCO DE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96" w:history="1">
        <w:r w:rsidRPr="00C21E03">
          <w:rPr>
            <w:rStyle w:val="Hyperlink"/>
            <w:noProof/>
          </w:rPr>
          <w:t>VI-7.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TELA DE RISCO DE CARTEIRA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97" w:history="1">
        <w:r w:rsidRPr="00C21E03">
          <w:rPr>
            <w:rStyle w:val="Hyperlink"/>
            <w:noProof/>
          </w:rPr>
          <w:t>VI-8.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STRESS POR CENÁRIO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98" w:history="1">
        <w:r w:rsidRPr="00C21E03">
          <w:rPr>
            <w:rStyle w:val="Hyperlink"/>
            <w:noProof/>
          </w:rPr>
          <w:t>VI-9.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LIMITES DE RISCO DE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499" w:history="1">
        <w:r w:rsidRPr="00C21E03">
          <w:rPr>
            <w:rStyle w:val="Hyperlink"/>
            <w:noProof/>
          </w:rPr>
          <w:t>VI-10.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SIMULAÇÃO DE TRANSAÇÕES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00" w:history="1">
        <w:r w:rsidRPr="00C21E03">
          <w:rPr>
            <w:rStyle w:val="Hyperlink"/>
            <w:noProof/>
          </w:rPr>
          <w:t>VI-11.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VISUALIZAÇÃO DO RISCO DE MERCADO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1"/>
        <w:tabs>
          <w:tab w:val="left" w:pos="660"/>
          <w:tab w:val="right" w:leader="dot" w:pos="10790"/>
        </w:tabs>
        <w:rPr>
          <w:rFonts w:eastAsiaTheme="minorEastAsia"/>
          <w:noProof/>
          <w:lang w:eastAsia="pt-BR"/>
        </w:rPr>
      </w:pPr>
      <w:hyperlink w:anchor="_Toc475092501" w:history="1">
        <w:r w:rsidRPr="00C21E03">
          <w:rPr>
            <w:rStyle w:val="Hyperlink"/>
            <w:noProof/>
          </w:rPr>
          <w:t>VII-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RISCO DE CRÉDITO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02" w:history="1">
        <w:r w:rsidRPr="00C21E03">
          <w:rPr>
            <w:rStyle w:val="Hyperlink"/>
            <w:noProof/>
          </w:rPr>
          <w:t>VII-1.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03" w:history="1">
        <w:r w:rsidRPr="00C21E03">
          <w:rPr>
            <w:rStyle w:val="Hyperlink"/>
            <w:noProof/>
          </w:rPr>
          <w:t>VII-2.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PARÂMETROS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04" w:history="1">
        <w:r w:rsidRPr="00C21E03">
          <w:rPr>
            <w:rStyle w:val="Hyperlink"/>
            <w:noProof/>
          </w:rPr>
          <w:t>VII-3.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 xml:space="preserve">MAPEAMENTO RATING </w:t>
        </w:r>
        <w:r w:rsidRPr="00C21E03">
          <w:rPr>
            <w:rStyle w:val="Hyperlink"/>
            <w:noProof/>
          </w:rPr>
          <w:sym w:font="Wingdings" w:char="F0E0"/>
        </w:r>
        <w:r w:rsidRPr="00C21E03">
          <w:rPr>
            <w:rStyle w:val="Hyperlink"/>
            <w:noProof/>
          </w:rPr>
          <w:t xml:space="preserve"> 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05" w:history="1">
        <w:r w:rsidRPr="00C21E03">
          <w:rPr>
            <w:rStyle w:val="Hyperlink"/>
            <w:noProof/>
          </w:rPr>
          <w:t>VII-4.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LIMITES DE RISCO DE CRÉDITO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06" w:history="1">
        <w:r w:rsidRPr="00C21E03">
          <w:rPr>
            <w:rStyle w:val="Hyperlink"/>
            <w:noProof/>
          </w:rPr>
          <w:t>VII-5.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SIMULAÇÃO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07" w:history="1">
        <w:r w:rsidRPr="00C21E03">
          <w:rPr>
            <w:rStyle w:val="Hyperlink"/>
            <w:noProof/>
          </w:rPr>
          <w:t>VII-6.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VISUALIZAÇÃO DO RISCO DE CRÉDITO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1"/>
        <w:tabs>
          <w:tab w:val="left" w:pos="660"/>
          <w:tab w:val="right" w:leader="dot" w:pos="10790"/>
        </w:tabs>
        <w:rPr>
          <w:rFonts w:eastAsiaTheme="minorEastAsia"/>
          <w:noProof/>
          <w:lang w:eastAsia="pt-BR"/>
        </w:rPr>
      </w:pPr>
      <w:hyperlink w:anchor="_Toc475092508" w:history="1">
        <w:r w:rsidRPr="00C21E03">
          <w:rPr>
            <w:rStyle w:val="Hyperlink"/>
            <w:noProof/>
          </w:rPr>
          <w:t>VIII-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RISCO DE LIQUIDEZ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09" w:history="1">
        <w:r w:rsidRPr="00C21E03">
          <w:rPr>
            <w:rStyle w:val="Hyperlink"/>
            <w:noProof/>
          </w:rPr>
          <w:t>VIII-1.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10" w:history="1">
        <w:r w:rsidRPr="00C21E03">
          <w:rPr>
            <w:rStyle w:val="Hyperlink"/>
            <w:noProof/>
          </w:rPr>
          <w:t>VIII-2.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CONFIGURAÇÕES DE LIQUIDEZ DO FUNDO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11" w:history="1">
        <w:r w:rsidRPr="00C21E03">
          <w:rPr>
            <w:rStyle w:val="Hyperlink"/>
            <w:noProof/>
          </w:rPr>
          <w:t>VIII-3.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LIQUIDEZ DO 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12" w:history="1">
        <w:r w:rsidRPr="00C21E03">
          <w:rPr>
            <w:rStyle w:val="Hyperlink"/>
            <w:noProof/>
          </w:rPr>
          <w:t>VIII-4.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OBRIGAÇÕES DO PASSIVO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13" w:history="1">
        <w:r w:rsidRPr="00C21E03">
          <w:rPr>
            <w:rStyle w:val="Hyperlink"/>
            <w:noProof/>
          </w:rPr>
          <w:t>VIII-5.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VISUALIZANDO A LIQUIDEZ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14" w:history="1">
        <w:r w:rsidRPr="00C21E03">
          <w:rPr>
            <w:rStyle w:val="Hyperlink"/>
            <w:noProof/>
          </w:rPr>
          <w:t>VIII-6.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LIQUIDEZ DE CADA TÍTULO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15" w:history="1">
        <w:r w:rsidRPr="00C21E03">
          <w:rPr>
            <w:rStyle w:val="Hyperlink"/>
            <w:noProof/>
          </w:rPr>
          <w:t>VIII-7.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CASH 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16" w:history="1">
        <w:r w:rsidRPr="00C21E03">
          <w:rPr>
            <w:rStyle w:val="Hyperlink"/>
            <w:noProof/>
          </w:rPr>
          <w:t>VIII-8.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STRESS DE LIQUIDEZ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1"/>
        <w:tabs>
          <w:tab w:val="left" w:pos="660"/>
          <w:tab w:val="right" w:leader="dot" w:pos="10790"/>
        </w:tabs>
        <w:rPr>
          <w:rFonts w:eastAsiaTheme="minorEastAsia"/>
          <w:noProof/>
          <w:lang w:eastAsia="pt-BR"/>
        </w:rPr>
      </w:pPr>
      <w:hyperlink w:anchor="_Toc475092517" w:history="1">
        <w:r w:rsidRPr="00C21E03">
          <w:rPr>
            <w:rStyle w:val="Hyperlink"/>
            <w:noProof/>
          </w:rPr>
          <w:t>IX-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AML E RATEIO &amp; ALOCAÇÃO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18" w:history="1">
        <w:r w:rsidRPr="00C21E03">
          <w:rPr>
            <w:rStyle w:val="Hyperlink"/>
            <w:noProof/>
          </w:rPr>
          <w:t>IX-1.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19" w:history="1">
        <w:r w:rsidRPr="00C21E03">
          <w:rPr>
            <w:rStyle w:val="Hyperlink"/>
            <w:noProof/>
          </w:rPr>
          <w:t>IX-2.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PROCEDIMENTO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1"/>
        <w:tabs>
          <w:tab w:val="left" w:pos="440"/>
          <w:tab w:val="right" w:leader="dot" w:pos="10790"/>
        </w:tabs>
        <w:rPr>
          <w:rFonts w:eastAsiaTheme="minorEastAsia"/>
          <w:noProof/>
          <w:lang w:eastAsia="pt-BR"/>
        </w:rPr>
      </w:pPr>
      <w:hyperlink w:anchor="_Toc475092520" w:history="1">
        <w:r w:rsidRPr="00C21E03">
          <w:rPr>
            <w:rStyle w:val="Hyperlink"/>
            <w:noProof/>
          </w:rPr>
          <w:t>X-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SIMULAÇÃO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21" w:history="1">
        <w:r w:rsidRPr="00C21E03">
          <w:rPr>
            <w:rStyle w:val="Hyperlink"/>
            <w:noProof/>
          </w:rPr>
          <w:t>X-1.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22" w:history="1">
        <w:r w:rsidRPr="00C21E03">
          <w:rPr>
            <w:rStyle w:val="Hyperlink"/>
            <w:noProof/>
          </w:rPr>
          <w:t>X-2.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SIMULAÇÃO DE TRANSAÇÕES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23" w:history="1">
        <w:r w:rsidRPr="00C21E03">
          <w:rPr>
            <w:rStyle w:val="Hyperlink"/>
            <w:noProof/>
          </w:rPr>
          <w:t>X-3.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SIMULAÇÃO DE LIQUIDEZ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1"/>
        <w:tabs>
          <w:tab w:val="left" w:pos="660"/>
          <w:tab w:val="right" w:leader="dot" w:pos="10790"/>
        </w:tabs>
        <w:rPr>
          <w:rFonts w:eastAsiaTheme="minorEastAsia"/>
          <w:noProof/>
          <w:lang w:eastAsia="pt-BR"/>
        </w:rPr>
      </w:pPr>
      <w:hyperlink w:anchor="_Toc475092524" w:history="1">
        <w:r w:rsidRPr="00C21E03">
          <w:rPr>
            <w:rStyle w:val="Hyperlink"/>
            <w:noProof/>
          </w:rPr>
          <w:t>XI-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HISTÓRICOS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25" w:history="1">
        <w:r w:rsidRPr="00C21E03">
          <w:rPr>
            <w:rStyle w:val="Hyperlink"/>
            <w:noProof/>
          </w:rPr>
          <w:t>XI-1.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26" w:history="1">
        <w:r w:rsidRPr="00C21E03">
          <w:rPr>
            <w:rStyle w:val="Hyperlink"/>
            <w:noProof/>
          </w:rPr>
          <w:t>XI-2.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HISTÓRICO DE CARTEIRA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27" w:history="1">
        <w:r w:rsidRPr="00C21E03">
          <w:rPr>
            <w:rStyle w:val="Hyperlink"/>
            <w:noProof/>
          </w:rPr>
          <w:t>XI-3.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FILTRO DE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28" w:history="1">
        <w:r w:rsidRPr="00C21E03">
          <w:rPr>
            <w:rStyle w:val="Hyperlink"/>
            <w:noProof/>
          </w:rPr>
          <w:t>XI-4.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FILTRO DE CONTEÚDO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29" w:history="1">
        <w:r w:rsidRPr="00C21E03">
          <w:rPr>
            <w:rStyle w:val="Hyperlink"/>
            <w:noProof/>
          </w:rPr>
          <w:t>XI-5.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OBSERVAÇÕES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1"/>
        <w:tabs>
          <w:tab w:val="left" w:pos="660"/>
          <w:tab w:val="right" w:leader="dot" w:pos="10790"/>
        </w:tabs>
        <w:rPr>
          <w:rFonts w:eastAsiaTheme="minorEastAsia"/>
          <w:noProof/>
          <w:lang w:eastAsia="pt-BR"/>
        </w:rPr>
      </w:pPr>
      <w:hyperlink w:anchor="_Toc475092530" w:history="1">
        <w:r w:rsidRPr="00C21E03">
          <w:rPr>
            <w:rStyle w:val="Hyperlink"/>
            <w:noProof/>
          </w:rPr>
          <w:t>XII-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GRÁFICOS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31" w:history="1">
        <w:r w:rsidRPr="00C21E03">
          <w:rPr>
            <w:rStyle w:val="Hyperlink"/>
            <w:noProof/>
          </w:rPr>
          <w:t>XII-1.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32" w:history="1">
        <w:r w:rsidRPr="00C21E03">
          <w:rPr>
            <w:rStyle w:val="Hyperlink"/>
            <w:noProof/>
          </w:rPr>
          <w:t>XII-2.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OBSERVAÇÕES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1"/>
        <w:tabs>
          <w:tab w:val="left" w:pos="660"/>
          <w:tab w:val="right" w:leader="dot" w:pos="10790"/>
        </w:tabs>
        <w:rPr>
          <w:rFonts w:eastAsiaTheme="minorEastAsia"/>
          <w:noProof/>
          <w:lang w:eastAsia="pt-BR"/>
        </w:rPr>
      </w:pPr>
      <w:hyperlink w:anchor="_Toc475092533" w:history="1">
        <w:r w:rsidRPr="00C21E03">
          <w:rPr>
            <w:rStyle w:val="Hyperlink"/>
            <w:noProof/>
          </w:rPr>
          <w:t>XIII-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MANUTENÇÃO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34" w:history="1">
        <w:r w:rsidRPr="00C21E03">
          <w:rPr>
            <w:rStyle w:val="Hyperlink"/>
            <w:noProof/>
          </w:rPr>
          <w:t>XIII-1.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GAPS NO PROCESSAMENTO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35" w:history="1">
        <w:r w:rsidRPr="00C21E03">
          <w:rPr>
            <w:rStyle w:val="Hyperlink"/>
            <w:noProof/>
          </w:rPr>
          <w:t>XIII-2.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DADOS INCOMPLETOS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36" w:history="1">
        <w:r w:rsidRPr="00C21E03">
          <w:rPr>
            <w:rStyle w:val="Hyperlink"/>
            <w:noProof/>
          </w:rPr>
          <w:t>XIII-3.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ABRIR DATA RETROATIVA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37" w:history="1">
        <w:r w:rsidRPr="00C21E03">
          <w:rPr>
            <w:rStyle w:val="Hyperlink"/>
            <w:noProof/>
          </w:rPr>
          <w:t>XIII-4.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ABRIR DATA PROSPECTIVA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38" w:history="1">
        <w:r w:rsidRPr="00C21E03">
          <w:rPr>
            <w:rStyle w:val="Hyperlink"/>
            <w:noProof/>
          </w:rPr>
          <w:t>XIII-5.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REIMPORTAR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39" w:history="1">
        <w:r w:rsidRPr="00C21E03">
          <w:rPr>
            <w:rStyle w:val="Hyperlink"/>
            <w:noProof/>
          </w:rPr>
          <w:t>XIII-6.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VIRAR D+1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1"/>
        <w:tabs>
          <w:tab w:val="left" w:pos="660"/>
          <w:tab w:val="right" w:leader="dot" w:pos="10790"/>
        </w:tabs>
        <w:rPr>
          <w:rFonts w:eastAsiaTheme="minorEastAsia"/>
          <w:noProof/>
          <w:lang w:eastAsia="pt-BR"/>
        </w:rPr>
      </w:pPr>
      <w:hyperlink w:anchor="_Toc475092540" w:history="1">
        <w:r w:rsidRPr="00C21E03">
          <w:rPr>
            <w:rStyle w:val="Hyperlink"/>
            <w:noProof/>
          </w:rPr>
          <w:t>XIV-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CONFIGURAÇÃO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41" w:history="1">
        <w:r w:rsidRPr="00C21E03">
          <w:rPr>
            <w:rStyle w:val="Hyperlink"/>
            <w:noProof/>
          </w:rPr>
          <w:t>XIV-1.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42" w:history="1">
        <w:r w:rsidRPr="00C21E03">
          <w:rPr>
            <w:rStyle w:val="Hyperlink"/>
            <w:noProof/>
          </w:rPr>
          <w:t>XIV-2.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TELA DE CONFIGURAÇÃO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43" w:history="1">
        <w:r w:rsidRPr="00C21E03">
          <w:rPr>
            <w:rStyle w:val="Hyperlink"/>
            <w:noProof/>
          </w:rPr>
          <w:t>XIV-3.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CONFIGURAÇÃO DE MAILING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ED47CA" w:rsidRDefault="00ED47CA">
      <w:pPr>
        <w:pStyle w:val="TOC2"/>
        <w:rPr>
          <w:rFonts w:eastAsiaTheme="minorEastAsia"/>
          <w:noProof/>
          <w:lang w:eastAsia="pt-BR"/>
        </w:rPr>
      </w:pPr>
      <w:hyperlink w:anchor="_Toc475092544" w:history="1">
        <w:r w:rsidRPr="00C21E03">
          <w:rPr>
            <w:rStyle w:val="Hyperlink"/>
            <w:noProof/>
          </w:rPr>
          <w:t>XIV-4.</w:t>
        </w:r>
        <w:r>
          <w:rPr>
            <w:rFonts w:eastAsiaTheme="minorEastAsia"/>
            <w:noProof/>
            <w:lang w:eastAsia="pt-BR"/>
          </w:rPr>
          <w:tab/>
        </w:r>
        <w:r w:rsidRPr="00C21E03">
          <w:rPr>
            <w:rStyle w:val="Hyperlink"/>
            <w:noProof/>
          </w:rPr>
          <w:t>CONFIGURAÇÃO DE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_Toc475092544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235288" w:rsidRPr="00782E03" w:rsidRDefault="000B1A93" w:rsidP="004C78B5">
      <w:pPr>
        <w:jc w:val="center"/>
      </w:pPr>
      <w:r>
        <w:fldChar w:fldCharType="end"/>
      </w:r>
    </w:p>
    <w:p w:rsidR="003B3FDC" w:rsidRDefault="003B3FDC" w:rsidP="00C676D2"/>
    <w:p w:rsidR="003B3FDC" w:rsidRPr="00C676D2" w:rsidRDefault="003B3FDC" w:rsidP="004C78B5">
      <w:pPr>
        <w:pStyle w:val="Heading1"/>
      </w:pPr>
      <w:bookmarkStart w:id="0" w:name="_Toc475092440"/>
      <w:r w:rsidRPr="00C676D2">
        <w:lastRenderedPageBreak/>
        <w:t>INTRODUÇÃO</w:t>
      </w:r>
      <w:bookmarkEnd w:id="0"/>
    </w:p>
    <w:p w:rsidR="002B239C" w:rsidRPr="00936959" w:rsidRDefault="002B239C" w:rsidP="00497CF1">
      <w:pPr>
        <w:pStyle w:val="Heading2"/>
      </w:pPr>
      <w:bookmarkStart w:id="1" w:name="_Toc475092441"/>
      <w:r w:rsidRPr="00936959">
        <w:t>FUNCIONALIDADES</w:t>
      </w:r>
      <w:bookmarkEnd w:id="1"/>
    </w:p>
    <w:p w:rsidR="002B239C" w:rsidRPr="00C676D2" w:rsidRDefault="002B239C" w:rsidP="00C676D2">
      <w:r w:rsidRPr="00C676D2">
        <w:t>O SRC (Sistema de Risco e Compliance) tem as seguintes funcionalidades:</w:t>
      </w:r>
    </w:p>
    <w:p w:rsidR="002B239C" w:rsidRDefault="002B239C" w:rsidP="00EB0614">
      <w:pPr>
        <w:pStyle w:val="ListParagraph"/>
      </w:pPr>
      <w:r w:rsidRPr="00EB0614">
        <w:t xml:space="preserve">Controle de enquadramento dos fundos </w:t>
      </w:r>
      <w:r w:rsidR="00CE01E3">
        <w:t>nas</w:t>
      </w:r>
      <w:r w:rsidRPr="00EB0614">
        <w:t xml:space="preserve"> regras regulamentares;</w:t>
      </w:r>
    </w:p>
    <w:p w:rsidR="002B239C" w:rsidRDefault="002B239C" w:rsidP="00EB0614">
      <w:pPr>
        <w:pStyle w:val="ListParagraph"/>
      </w:pPr>
      <w:r>
        <w:t>Controle da concentração e seu enquadramento em limites gerenciais;</w:t>
      </w:r>
    </w:p>
    <w:p w:rsidR="002B239C" w:rsidRDefault="002B239C" w:rsidP="00EB0614">
      <w:pPr>
        <w:pStyle w:val="ListParagraph"/>
      </w:pPr>
      <w:r>
        <w:t>Cálculo do risco de mercado (VaR e Stress) e enquadramento em limites;</w:t>
      </w:r>
    </w:p>
    <w:p w:rsidR="002B239C" w:rsidRDefault="002B239C" w:rsidP="00EB0614">
      <w:pPr>
        <w:pStyle w:val="ListParagraph"/>
      </w:pPr>
      <w:r>
        <w:t>Cálculo do risco de crédito (Credit-VaR) e enquadramento em limites;</w:t>
      </w:r>
    </w:p>
    <w:p w:rsidR="002B239C" w:rsidRDefault="002B239C" w:rsidP="00EB0614">
      <w:pPr>
        <w:pStyle w:val="ListParagraph"/>
      </w:pPr>
      <w:r>
        <w:t>Cálculo do risco de liquidez e enquadramento na conformidade;</w:t>
      </w:r>
    </w:p>
    <w:p w:rsidR="002B239C" w:rsidRPr="002B239C" w:rsidRDefault="002B239C" w:rsidP="00EB0614">
      <w:pPr>
        <w:pStyle w:val="ListParagraph"/>
      </w:pPr>
      <w:r w:rsidRPr="002B239C">
        <w:t>Anti-Money Laundering, com controle de off-market prices e de contrapartes</w:t>
      </w:r>
      <w:r>
        <w:t>;</w:t>
      </w:r>
    </w:p>
    <w:p w:rsidR="002B239C" w:rsidRDefault="002B239C" w:rsidP="00EB0614">
      <w:pPr>
        <w:pStyle w:val="ListParagraph"/>
      </w:pPr>
      <w:r w:rsidRPr="002B239C">
        <w:t>Conformidade do rateio e alocaç</w:t>
      </w:r>
      <w:r>
        <w:t>ão de ordens.</w:t>
      </w:r>
    </w:p>
    <w:p w:rsidR="002B239C" w:rsidRDefault="002B239C" w:rsidP="00C676D2">
      <w:r>
        <w:t xml:space="preserve">O SRC mantém uma </w:t>
      </w:r>
      <w:r w:rsidRPr="00C676D2">
        <w:rPr>
          <w:u w:val="single"/>
        </w:rPr>
        <w:t>base de dados</w:t>
      </w:r>
      <w:r>
        <w:t xml:space="preserve"> contendo:</w:t>
      </w:r>
    </w:p>
    <w:p w:rsidR="002B239C" w:rsidRDefault="002B239C" w:rsidP="00EB0614">
      <w:pPr>
        <w:pStyle w:val="ListParagraph"/>
      </w:pPr>
      <w:r>
        <w:t>Cadastro dos fundos;</w:t>
      </w:r>
    </w:p>
    <w:p w:rsidR="002B239C" w:rsidRDefault="002B239C" w:rsidP="00EB0614">
      <w:pPr>
        <w:pStyle w:val="ListParagraph"/>
      </w:pPr>
      <w:r>
        <w:t>Cadastro dos títulos;</w:t>
      </w:r>
    </w:p>
    <w:p w:rsidR="002B239C" w:rsidRDefault="002B239C" w:rsidP="00EB0614">
      <w:pPr>
        <w:pStyle w:val="ListParagraph"/>
      </w:pPr>
      <w:r>
        <w:t>Carteiras diárias de cada fundo;</w:t>
      </w:r>
    </w:p>
    <w:p w:rsidR="002B239C" w:rsidRDefault="002B239C" w:rsidP="00EB0614">
      <w:pPr>
        <w:pStyle w:val="ListParagraph"/>
      </w:pPr>
      <w:r>
        <w:t>Históricos de preços de mercado;</w:t>
      </w:r>
    </w:p>
    <w:p w:rsidR="002B239C" w:rsidRDefault="002B239C" w:rsidP="00EB0614">
      <w:pPr>
        <w:pStyle w:val="ListParagraph"/>
      </w:pPr>
      <w:r>
        <w:t>Históricos dos negócios realizados;</w:t>
      </w:r>
    </w:p>
    <w:p w:rsidR="005C6A46" w:rsidRDefault="005C6A46" w:rsidP="00EB0614">
      <w:pPr>
        <w:pStyle w:val="ListParagraph"/>
      </w:pPr>
      <w:r>
        <w:t>Históricos de pedidos de resgate e transferências;</w:t>
      </w:r>
    </w:p>
    <w:p w:rsidR="002B239C" w:rsidRDefault="002B239C" w:rsidP="00EB0614">
      <w:pPr>
        <w:pStyle w:val="ListParagraph"/>
      </w:pPr>
      <w:r>
        <w:t>Cadastros de regras e limites;</w:t>
      </w:r>
    </w:p>
    <w:p w:rsidR="002B239C" w:rsidRPr="002B239C" w:rsidRDefault="002B239C" w:rsidP="00EB0614">
      <w:pPr>
        <w:pStyle w:val="ListParagraph"/>
      </w:pPr>
      <w:r>
        <w:t>Histórico dos resultados de enquadramento e cálculo de riscos.</w:t>
      </w:r>
    </w:p>
    <w:p w:rsidR="002B239C" w:rsidRDefault="002B239C" w:rsidP="00C676D2">
      <w:r>
        <w:t xml:space="preserve">Os dados </w:t>
      </w:r>
      <w:r w:rsidRPr="002B239C">
        <w:rPr>
          <w:u w:val="single"/>
        </w:rPr>
        <w:t>cadastrais</w:t>
      </w:r>
      <w:r>
        <w:t xml:space="preserve"> de fundos, títulos e regras são mantidos pelo usuário por meio de telas do SRC. </w:t>
      </w:r>
    </w:p>
    <w:p w:rsidR="002B239C" w:rsidRDefault="002B239C" w:rsidP="00C676D2">
      <w:r>
        <w:t>Os dados diários de carteira</w:t>
      </w:r>
      <w:r w:rsidR="005C6A46">
        <w:t>, movimentações</w:t>
      </w:r>
      <w:r>
        <w:t xml:space="preserve"> e preços de mercado são </w:t>
      </w:r>
      <w:r w:rsidRPr="002B239C">
        <w:rPr>
          <w:u w:val="single"/>
        </w:rPr>
        <w:t>importados</w:t>
      </w:r>
      <w:r>
        <w:t xml:space="preserve"> de fontes externas via arquivos .txt, .xml ANBIMA e planilhas Excel.</w:t>
      </w:r>
    </w:p>
    <w:p w:rsidR="002B239C" w:rsidRDefault="005C6A46" w:rsidP="00497CF1">
      <w:pPr>
        <w:pStyle w:val="Heading2"/>
      </w:pPr>
      <w:bookmarkStart w:id="2" w:name="_Toc475092442"/>
      <w:r>
        <w:lastRenderedPageBreak/>
        <w:t>IMPORTAÇÃO</w:t>
      </w:r>
      <w:bookmarkEnd w:id="2"/>
    </w:p>
    <w:p w:rsidR="00934DBB" w:rsidRDefault="00223BD8" w:rsidP="00EB0614">
      <w:r>
        <w:t xml:space="preserve">A </w:t>
      </w:r>
      <w:r w:rsidRPr="000A50AF">
        <w:t>importação</w:t>
      </w:r>
      <w:r>
        <w:t xml:space="preserve"> de dados externos é uma operação </w:t>
      </w:r>
      <w:r w:rsidRPr="00EB0614">
        <w:rPr>
          <w:u w:val="single"/>
        </w:rPr>
        <w:t>independente</w:t>
      </w:r>
      <w:r w:rsidR="00934DBB">
        <w:t xml:space="preserve"> das demais, que pode ser executada previamente ao processamento.</w:t>
      </w:r>
    </w:p>
    <w:p w:rsidR="00934DBB" w:rsidRDefault="00934DBB" w:rsidP="00EB0614">
      <w:r>
        <w:t>Os seguintes dados são adquiridos unicamente via importação:</w:t>
      </w:r>
    </w:p>
    <w:p w:rsidR="00934DBB" w:rsidRDefault="00934DBB" w:rsidP="00934DBB">
      <w:pPr>
        <w:pStyle w:val="ListParagraph"/>
      </w:pPr>
      <w:r>
        <w:t>Carteiras;</w:t>
      </w:r>
    </w:p>
    <w:p w:rsidR="00934DBB" w:rsidRDefault="00934DBB" w:rsidP="00934DBB">
      <w:pPr>
        <w:pStyle w:val="ListParagraph"/>
      </w:pPr>
      <w:r>
        <w:t>Preços de fechamento;</w:t>
      </w:r>
    </w:p>
    <w:p w:rsidR="00934DBB" w:rsidRDefault="00934DBB" w:rsidP="00934DBB">
      <w:pPr>
        <w:pStyle w:val="ListParagraph"/>
      </w:pPr>
      <w:r>
        <w:t>Volumes negociados;</w:t>
      </w:r>
    </w:p>
    <w:p w:rsidR="00934DBB" w:rsidRDefault="00934DBB" w:rsidP="00934DBB">
      <w:pPr>
        <w:pStyle w:val="ListParagraph"/>
      </w:pPr>
      <w:r>
        <w:t>Fila de resgates e transferências entre fundos;</w:t>
      </w:r>
    </w:p>
    <w:p w:rsidR="00934DBB" w:rsidRDefault="00934DBB" w:rsidP="00934DBB">
      <w:pPr>
        <w:pStyle w:val="ListParagraph"/>
      </w:pPr>
      <w:r>
        <w:t>Posição de maiores cotistas;</w:t>
      </w:r>
    </w:p>
    <w:p w:rsidR="00934DBB" w:rsidRDefault="00934DBB" w:rsidP="00934DBB">
      <w:pPr>
        <w:pStyle w:val="ListParagraph"/>
      </w:pPr>
      <w:r>
        <w:t>Negócios realizados.</w:t>
      </w:r>
    </w:p>
    <w:p w:rsidR="00934DBB" w:rsidRDefault="00223BD8" w:rsidP="00EB0614">
      <w:r>
        <w:t>A importação</w:t>
      </w:r>
      <w:r w:rsidR="00934DBB">
        <w:t xml:space="preserve"> poderá</w:t>
      </w:r>
      <w:r>
        <w:t xml:space="preserve"> </w:t>
      </w:r>
      <w:r w:rsidR="00934DBB">
        <w:t xml:space="preserve">ler </w:t>
      </w:r>
      <w:r>
        <w:t xml:space="preserve">arquivos </w:t>
      </w:r>
      <w:r w:rsidR="00934DBB">
        <w:t>de tipos .txt, .xls, .xlm e .accdb dependendo do tipo de dado a ser importado.</w:t>
      </w:r>
    </w:p>
    <w:p w:rsidR="005C6A46" w:rsidRDefault="00934DBB" w:rsidP="00EB0614">
      <w:r>
        <w:t xml:space="preserve">Ela busca os arquivos </w:t>
      </w:r>
      <w:r w:rsidR="00223BD8">
        <w:t xml:space="preserve">em pastas </w:t>
      </w:r>
      <w:r>
        <w:t>configuradas no sistema</w:t>
      </w:r>
      <w:r w:rsidR="00223BD8">
        <w:t>, lê toda a informação disponível e a armazena na base de dados para uso posterior.</w:t>
      </w:r>
    </w:p>
    <w:p w:rsidR="00223BD8" w:rsidRDefault="00223BD8" w:rsidP="00EB0614">
      <w:r>
        <w:t>Após a importação</w:t>
      </w:r>
      <w:r w:rsidR="00353899">
        <w:t>,</w:t>
      </w:r>
      <w:r>
        <w:t xml:space="preserve"> os arquivos externos podem ser alterados ou suprimidos sem </w:t>
      </w:r>
      <w:r w:rsidR="00353899">
        <w:t xml:space="preserve">afetar os dados que já foram </w:t>
      </w:r>
      <w:r w:rsidR="006D4674">
        <w:t>copiados na</w:t>
      </w:r>
      <w:r w:rsidR="00353899">
        <w:t xml:space="preserve"> base de dados do SRC.</w:t>
      </w:r>
    </w:p>
    <w:p w:rsidR="00353899" w:rsidRDefault="00353899" w:rsidP="00EB0614">
      <w:r>
        <w:t>Independente</w:t>
      </w:r>
      <w:r w:rsidR="00223BD8">
        <w:t xml:space="preserve"> </w:t>
      </w:r>
      <w:r>
        <w:t>d</w:t>
      </w:r>
      <w:r w:rsidR="00223BD8">
        <w:t>a importação</w:t>
      </w:r>
      <w:r>
        <w:t>,</w:t>
      </w:r>
      <w:r w:rsidR="00223BD8">
        <w:t xml:space="preserve"> o sistema </w:t>
      </w:r>
      <w:r>
        <w:t xml:space="preserve">sempre iniciará na </w:t>
      </w:r>
      <w:r w:rsidRPr="00EB0614">
        <w:rPr>
          <w:u w:val="single"/>
        </w:rPr>
        <w:t>data mais recente</w:t>
      </w:r>
      <w:r>
        <w:t xml:space="preserve"> para a qual já </w:t>
      </w:r>
      <w:r w:rsidR="00632DB4">
        <w:t xml:space="preserve">existam carteiras </w:t>
      </w:r>
      <w:r>
        <w:t xml:space="preserve">na base </w:t>
      </w:r>
      <w:r w:rsidR="006D4674">
        <w:t xml:space="preserve">de dados </w:t>
      </w:r>
      <w:r w:rsidR="00EB0614">
        <w:t>(a Data Base).</w:t>
      </w:r>
    </w:p>
    <w:p w:rsidR="00223BD8" w:rsidRDefault="00290AC0" w:rsidP="00EB0614">
      <w:r>
        <w:t>A importação é realizada:</w:t>
      </w:r>
    </w:p>
    <w:p w:rsidR="00290AC0" w:rsidRDefault="00290AC0" w:rsidP="00EB0614">
      <w:pPr>
        <w:pStyle w:val="ListParagraph"/>
      </w:pPr>
      <w:r>
        <w:t xml:space="preserve">completa, toda vez que o sistema é iniciado por </w:t>
      </w:r>
      <w:r w:rsidR="00353899">
        <w:t>um usuário autorizado como “Importador</w:t>
      </w:r>
      <w:r>
        <w:t>”;</w:t>
      </w:r>
    </w:p>
    <w:p w:rsidR="00290AC0" w:rsidRDefault="00934DBB" w:rsidP="00EB0614">
      <w:pPr>
        <w:pStyle w:val="ListParagraph"/>
      </w:pPr>
      <w:r>
        <w:t xml:space="preserve">apenas </w:t>
      </w:r>
      <w:r w:rsidR="00290AC0">
        <w:t>das carteiras do dia, quando qualquer usuário comandar a “re-importação”</w:t>
      </w:r>
      <w:r w:rsidR="00632DB4">
        <w:t xml:space="preserve"> (ver </w:t>
      </w:r>
      <w:r w:rsidR="000B1A93">
        <w:fldChar w:fldCharType="begin"/>
      </w:r>
      <w:r w:rsidR="00632DB4">
        <w:instrText xml:space="preserve"> REF _Ref459022985 \r \h </w:instrText>
      </w:r>
      <w:r w:rsidR="000B1A93">
        <w:fldChar w:fldCharType="separate"/>
      </w:r>
      <w:r w:rsidR="00632DB4">
        <w:t>XIII-5</w:t>
      </w:r>
      <w:r w:rsidR="000B1A93">
        <w:fldChar w:fldCharType="end"/>
      </w:r>
      <w:r w:rsidR="00632DB4">
        <w:t>);</w:t>
      </w:r>
    </w:p>
    <w:p w:rsidR="00290AC0" w:rsidRDefault="00934DBB" w:rsidP="00EB0614">
      <w:pPr>
        <w:pStyle w:val="ListParagraph"/>
      </w:pPr>
      <w:r>
        <w:t xml:space="preserve">apenas </w:t>
      </w:r>
      <w:r w:rsidR="00290AC0">
        <w:t xml:space="preserve">da carteira de qualquer data, quando o usuário </w:t>
      </w:r>
      <w:r w:rsidR="00353899">
        <w:t>comandar</w:t>
      </w:r>
      <w:r w:rsidR="00290AC0">
        <w:t xml:space="preserve"> uma “</w:t>
      </w:r>
      <w:r w:rsidR="00632DB4">
        <w:t>mudança</w:t>
      </w:r>
      <w:r w:rsidR="00290AC0">
        <w:t xml:space="preserve"> de data” e o sistema não detectar </w:t>
      </w:r>
      <w:r w:rsidR="00353899">
        <w:t>a carteira da nova data na base</w:t>
      </w:r>
      <w:r w:rsidR="00632DB4">
        <w:t xml:space="preserve"> (ver </w:t>
      </w:r>
      <w:r w:rsidR="000B1A93">
        <w:fldChar w:fldCharType="begin"/>
      </w:r>
      <w:r w:rsidR="00632DB4">
        <w:instrText xml:space="preserve"> REF _Ref459020802 \r \h </w:instrText>
      </w:r>
      <w:r w:rsidR="000B1A93">
        <w:fldChar w:fldCharType="separate"/>
      </w:r>
      <w:r w:rsidR="00632DB4">
        <w:t>XIII-3</w:t>
      </w:r>
      <w:r w:rsidR="000B1A93">
        <w:fldChar w:fldCharType="end"/>
      </w:r>
      <w:r w:rsidR="00632DB4">
        <w:t>)</w:t>
      </w:r>
      <w:r w:rsidR="00353899">
        <w:t>.</w:t>
      </w:r>
    </w:p>
    <w:p w:rsidR="00223BD8" w:rsidRDefault="00353899" w:rsidP="00497CF1">
      <w:pPr>
        <w:pStyle w:val="Heading2"/>
      </w:pPr>
      <w:bookmarkStart w:id="3" w:name="_Toc475092443"/>
      <w:r>
        <w:t>REPORTE</w:t>
      </w:r>
      <w:bookmarkEnd w:id="3"/>
    </w:p>
    <w:p w:rsidR="00353899" w:rsidRDefault="00353899" w:rsidP="00EB0614">
      <w:r>
        <w:t>O SRC grava os resultados dos testes de enquadramento e cálculos de risco sempre que é acionado por um usuário autorizado como “Reporter”.</w:t>
      </w:r>
      <w:r w:rsidR="001B09DA">
        <w:t xml:space="preserve"> Os resultados do dia incluem:</w:t>
      </w:r>
    </w:p>
    <w:p w:rsidR="001B09DA" w:rsidRDefault="001B09DA" w:rsidP="00EB0614">
      <w:pPr>
        <w:pStyle w:val="ListParagraph"/>
      </w:pPr>
      <w:r>
        <w:t xml:space="preserve"> O teste de enquadramento dos fundos nas regras;</w:t>
      </w:r>
    </w:p>
    <w:p w:rsidR="001B09DA" w:rsidRDefault="001B09DA" w:rsidP="00EB0614">
      <w:pPr>
        <w:pStyle w:val="ListParagraph"/>
      </w:pPr>
      <w:r>
        <w:lastRenderedPageBreak/>
        <w:t xml:space="preserve"> A lista de desenquadramentos;</w:t>
      </w:r>
    </w:p>
    <w:p w:rsidR="001B09DA" w:rsidRDefault="001B09DA" w:rsidP="00EB0614">
      <w:pPr>
        <w:pStyle w:val="ListParagraph"/>
      </w:pPr>
      <w:r>
        <w:t xml:space="preserve"> As métricas de risco de mercado (VaR e Stress) por fundo;</w:t>
      </w:r>
    </w:p>
    <w:p w:rsidR="001B09DA" w:rsidRDefault="001B09DA" w:rsidP="00EB0614">
      <w:pPr>
        <w:pStyle w:val="ListParagraph"/>
      </w:pPr>
      <w:r>
        <w:t xml:space="preserve"> As exposições a fatores de risco de mecado por fundo;</w:t>
      </w:r>
    </w:p>
    <w:p w:rsidR="001B09DA" w:rsidRDefault="001B09DA" w:rsidP="00EB0614">
      <w:pPr>
        <w:pStyle w:val="ListParagraph"/>
      </w:pPr>
      <w:r>
        <w:t xml:space="preserve"> As métricas de risco de crédito (Expected Loss e Credit-VaR) por fundo;</w:t>
      </w:r>
    </w:p>
    <w:p w:rsidR="001B09DA" w:rsidRDefault="001B09DA" w:rsidP="00EB0614">
      <w:pPr>
        <w:pStyle w:val="ListParagraph"/>
      </w:pPr>
      <w:r>
        <w:t xml:space="preserve"> O enquadramento em liquidez e o índice de cobertura de liquidez para cada vértice padrão;</w:t>
      </w:r>
    </w:p>
    <w:p w:rsidR="001B09DA" w:rsidRDefault="001B09DA" w:rsidP="00EB0614">
      <w:pPr>
        <w:pStyle w:val="ListParagraph"/>
      </w:pPr>
      <w:r>
        <w:t xml:space="preserve"> O teste de Anti-Money-Laudering de todos os negócios realizados;</w:t>
      </w:r>
    </w:p>
    <w:p w:rsidR="001B09DA" w:rsidRDefault="001B09DA" w:rsidP="00EB0614">
      <w:pPr>
        <w:pStyle w:val="ListParagraph"/>
      </w:pPr>
      <w:r>
        <w:t xml:space="preserve"> As métricas de concentração;</w:t>
      </w:r>
    </w:p>
    <w:p w:rsidR="001B09DA" w:rsidRDefault="001B09DA" w:rsidP="00EB0614">
      <w:pPr>
        <w:pStyle w:val="ListParagraph"/>
      </w:pPr>
      <w:r>
        <w:t>O teste de rateio e divisão de ordens de todos os negócios realizados.</w:t>
      </w:r>
    </w:p>
    <w:p w:rsidR="00353899" w:rsidRDefault="00353899" w:rsidP="00934DBB">
      <w:r>
        <w:t>Cada reporte sobrescreve o reporte anterior da mesma data, de modo que só existe um reporte por data.</w:t>
      </w:r>
    </w:p>
    <w:p w:rsidR="00353899" w:rsidRPr="00E82180" w:rsidRDefault="003B3FDC" w:rsidP="00497CF1">
      <w:pPr>
        <w:pStyle w:val="Heading2"/>
      </w:pPr>
      <w:bookmarkStart w:id="4" w:name="_Ref458696608"/>
      <w:bookmarkStart w:id="5" w:name="_Toc475092444"/>
      <w:r w:rsidRPr="00E82180">
        <w:t xml:space="preserve">EXECUÇÃO EM </w:t>
      </w:r>
      <w:r w:rsidR="00353899" w:rsidRPr="00E82180">
        <w:t>BATCH</w:t>
      </w:r>
      <w:bookmarkEnd w:id="4"/>
      <w:bookmarkEnd w:id="5"/>
    </w:p>
    <w:p w:rsidR="00297B7C" w:rsidRDefault="00353899" w:rsidP="00C676D2">
      <w:r>
        <w:t>Caso qualquer das duas situações ocorra:</w:t>
      </w:r>
    </w:p>
    <w:p w:rsidR="00353899" w:rsidRDefault="00353899" w:rsidP="00EB0614">
      <w:pPr>
        <w:pStyle w:val="ListParagraph"/>
      </w:pPr>
      <w:r>
        <w:t>O SRC é iniciado por um usuário autorizado como “Batch User”</w:t>
      </w:r>
      <w:r w:rsidR="00EB0614">
        <w:t xml:space="preserve"> </w:t>
      </w:r>
      <w:r w:rsidR="00EB0614">
        <w:rPr>
          <w:u w:val="single"/>
        </w:rPr>
        <w:t>ou</w:t>
      </w:r>
    </w:p>
    <w:p w:rsidR="00353899" w:rsidRDefault="00353899" w:rsidP="00EB0614">
      <w:pPr>
        <w:pStyle w:val="ListParagraph"/>
      </w:pPr>
      <w:r>
        <w:t>O SRC é acionado da linha de comando com a opção “/b”</w:t>
      </w:r>
    </w:p>
    <w:p w:rsidR="00EB0614" w:rsidRDefault="00353899" w:rsidP="00C676D2">
      <w:r>
        <w:t>então o SRC rodará em modo “</w:t>
      </w:r>
      <w:r w:rsidRPr="00EB0614">
        <w:rPr>
          <w:u w:val="single"/>
        </w:rPr>
        <w:t>batch</w:t>
      </w:r>
      <w:r w:rsidR="00EB0614">
        <w:t xml:space="preserve">”, sem abrir nenhuma sessão interativa com o usuário. </w:t>
      </w:r>
    </w:p>
    <w:p w:rsidR="00353899" w:rsidRPr="00EB0614" w:rsidRDefault="00EB0614" w:rsidP="00C676D2">
      <w:r>
        <w:t xml:space="preserve">A sequência de processamento será executada normalmente e, se o usuário for um “Reporter”, os resultados serão gravados e serão enviados por </w:t>
      </w:r>
      <w:r>
        <w:rPr>
          <w:u w:val="single"/>
        </w:rPr>
        <w:t>e-mail</w:t>
      </w:r>
      <w:r>
        <w:t xml:space="preserve"> para a mailing list cadastrada. O SRC terminará após isso.</w:t>
      </w:r>
    </w:p>
    <w:p w:rsidR="001B09DA" w:rsidRDefault="001B09DA" w:rsidP="00C676D2">
      <w:r>
        <w:t>A execução em “batch” é agendada diariamente de modo a perfazer o ciclo diário de atualização e reporte.</w:t>
      </w:r>
    </w:p>
    <w:p w:rsidR="001B09DA" w:rsidRDefault="001B09DA" w:rsidP="00497CF1">
      <w:pPr>
        <w:pStyle w:val="Heading2"/>
      </w:pPr>
      <w:bookmarkStart w:id="6" w:name="_Toc475092445"/>
      <w:r>
        <w:t>FUNCIONALIDADES DE CARTEIRA</w:t>
      </w:r>
      <w:bookmarkEnd w:id="6"/>
    </w:p>
    <w:p w:rsidR="00906260" w:rsidRDefault="002E19E0" w:rsidP="00EB0614">
      <w:pPr>
        <w:pStyle w:val="ListParagraph"/>
      </w:pPr>
      <w:r>
        <w:t>Importar carteira .txt formato interno da Capitânia</w:t>
      </w:r>
      <w:r w:rsidR="00A472DB">
        <w:t>;</w:t>
      </w:r>
    </w:p>
    <w:p w:rsidR="002E19E0" w:rsidRDefault="002E19E0" w:rsidP="00EB0614">
      <w:pPr>
        <w:pStyle w:val="ListParagraph"/>
      </w:pPr>
      <w:r>
        <w:t>Importar carteira .XML ANBIMA</w:t>
      </w:r>
      <w:r w:rsidR="00A472DB">
        <w:t>;</w:t>
      </w:r>
    </w:p>
    <w:p w:rsidR="002E19E0" w:rsidRDefault="002E19E0" w:rsidP="00EB0614">
      <w:pPr>
        <w:pStyle w:val="ListParagraph"/>
      </w:pPr>
      <w:r>
        <w:t>Cadastro automático dos títulos novos detectados nas importações</w:t>
      </w:r>
      <w:r w:rsidR="00A472DB">
        <w:t>;</w:t>
      </w:r>
    </w:p>
    <w:p w:rsidR="002E19E0" w:rsidRDefault="002E19E0" w:rsidP="00EB0614">
      <w:pPr>
        <w:pStyle w:val="ListParagraph"/>
      </w:pPr>
      <w:r>
        <w:t>Cadastro das propriedades dos títulos (emissor, vencimento, etc)</w:t>
      </w:r>
      <w:r w:rsidR="00A472DB">
        <w:t>;</w:t>
      </w:r>
    </w:p>
    <w:p w:rsidR="002E19E0" w:rsidRDefault="002E19E0" w:rsidP="00EB0614">
      <w:pPr>
        <w:pStyle w:val="ListParagraph"/>
      </w:pPr>
      <w:r>
        <w:t>Consolidar carteira de fundos investidos e tratar carteira consolidada</w:t>
      </w:r>
      <w:r w:rsidR="00A472DB">
        <w:t>;</w:t>
      </w:r>
    </w:p>
    <w:p w:rsidR="00223C8B" w:rsidRDefault="00223C8B" w:rsidP="00EB0614">
      <w:pPr>
        <w:pStyle w:val="ListParagraph"/>
      </w:pPr>
      <w:r>
        <w:lastRenderedPageBreak/>
        <w:t>Visualização da carteira dos fundos, ‘fechada’ e ‘aberta’</w:t>
      </w:r>
    </w:p>
    <w:p w:rsidR="002E19E0" w:rsidRDefault="00223C8B" w:rsidP="00EB0614">
      <w:pPr>
        <w:pStyle w:val="ListParagraph"/>
      </w:pPr>
      <w:r>
        <w:t xml:space="preserve">Visualização dos </w:t>
      </w:r>
      <w:r w:rsidR="002E19E0">
        <w:t>investimentos cruzados de um fundo em outro</w:t>
      </w:r>
      <w:r w:rsidR="00A472DB">
        <w:t>;</w:t>
      </w:r>
    </w:p>
    <w:p w:rsidR="002E19E0" w:rsidRDefault="00223C8B" w:rsidP="00EB0614">
      <w:pPr>
        <w:pStyle w:val="ListParagraph"/>
      </w:pPr>
      <w:r>
        <w:t xml:space="preserve">Visualização da </w:t>
      </w:r>
      <w:r w:rsidR="002E19E0">
        <w:t xml:space="preserve">concentração </w:t>
      </w:r>
      <w:r>
        <w:t xml:space="preserve">de carteira </w:t>
      </w:r>
      <w:r w:rsidR="002E19E0">
        <w:t>por qualquer propriedade dos títulos</w:t>
      </w:r>
      <w:r w:rsidR="00A472DB">
        <w:t>;</w:t>
      </w:r>
    </w:p>
    <w:p w:rsidR="002E19E0" w:rsidRDefault="00223C8B" w:rsidP="00EB0614">
      <w:pPr>
        <w:pStyle w:val="ListParagraph"/>
      </w:pPr>
      <w:r>
        <w:t>Visualização da</w:t>
      </w:r>
      <w:r w:rsidR="002E19E0">
        <w:t xml:space="preserve"> alocação de um título entre fundos</w:t>
      </w:r>
      <w:r w:rsidR="00A472DB">
        <w:t>.</w:t>
      </w:r>
    </w:p>
    <w:p w:rsidR="003B3FDC" w:rsidRDefault="001B09DA" w:rsidP="00497CF1">
      <w:pPr>
        <w:pStyle w:val="Heading2"/>
      </w:pPr>
      <w:bookmarkStart w:id="7" w:name="_Toc475092446"/>
      <w:r>
        <w:t>FUNCIONALIDADES DE COMPLIANCE</w:t>
      </w:r>
      <w:bookmarkEnd w:id="7"/>
    </w:p>
    <w:p w:rsidR="002E19E0" w:rsidRDefault="002E19E0" w:rsidP="00EB0614">
      <w:pPr>
        <w:pStyle w:val="ListParagraph"/>
      </w:pPr>
      <w:r>
        <w:t>criar e cadastrar novas propriedades dos títulos (rating, emissor, tipo, etc)</w:t>
      </w:r>
      <w:r w:rsidR="00A472DB">
        <w:t>;</w:t>
      </w:r>
    </w:p>
    <w:p w:rsidR="002E19E0" w:rsidRDefault="002E19E0" w:rsidP="00EB0614">
      <w:pPr>
        <w:pStyle w:val="ListParagraph"/>
      </w:pPr>
      <w:r>
        <w:t>atualizar as propriedades dos títulos</w:t>
      </w:r>
      <w:r w:rsidR="00A472DB">
        <w:t>;</w:t>
      </w:r>
    </w:p>
    <w:p w:rsidR="00A472DB" w:rsidRDefault="00223C8B" w:rsidP="00EB0614">
      <w:pPr>
        <w:pStyle w:val="ListParagraph"/>
      </w:pPr>
      <w:r>
        <w:t>consulta a</w:t>
      </w:r>
      <w:r w:rsidR="00A472DB">
        <w:t xml:space="preserve"> todos os valores históricos das propriedades (ex: ratings anteriores);</w:t>
      </w:r>
    </w:p>
    <w:p w:rsidR="00390EF6" w:rsidRDefault="002E19E0" w:rsidP="00EB0614">
      <w:pPr>
        <w:pStyle w:val="ListParagraph"/>
      </w:pPr>
      <w:r>
        <w:t>cadastrar regras em 3 níveis</w:t>
      </w:r>
      <w:r w:rsidR="00390EF6">
        <w:t>, com reportes separados</w:t>
      </w:r>
      <w:r>
        <w:t xml:space="preserve">: </w:t>
      </w:r>
    </w:p>
    <w:p w:rsidR="00390EF6" w:rsidRDefault="00EB0614" w:rsidP="00EB0614">
      <w:pPr>
        <w:ind w:left="2160" w:firstLine="720"/>
      </w:pPr>
      <w:r>
        <w:t xml:space="preserve">- </w:t>
      </w:r>
      <w:r w:rsidR="002E19E0">
        <w:t xml:space="preserve">regulamentar; </w:t>
      </w:r>
    </w:p>
    <w:p w:rsidR="00390EF6" w:rsidRDefault="00EB0614" w:rsidP="00EB0614">
      <w:pPr>
        <w:ind w:left="2160" w:firstLine="720"/>
      </w:pPr>
      <w:r>
        <w:t xml:space="preserve">- </w:t>
      </w:r>
      <w:r w:rsidR="002E19E0">
        <w:t>limite interno</w:t>
      </w:r>
      <w:r w:rsidR="00390EF6">
        <w:t xml:space="preserve"> (crédito, concentração)</w:t>
      </w:r>
      <w:r w:rsidR="002E19E0">
        <w:t xml:space="preserve">; </w:t>
      </w:r>
    </w:p>
    <w:p w:rsidR="002E19E0" w:rsidRDefault="00EB0614" w:rsidP="00EB0614">
      <w:pPr>
        <w:ind w:left="2160" w:firstLine="720"/>
      </w:pPr>
      <w:r>
        <w:t>-</w:t>
      </w:r>
      <w:r w:rsidR="00390EF6">
        <w:t xml:space="preserve">limite </w:t>
      </w:r>
      <w:r w:rsidR="002E19E0">
        <w:t>gerencial</w:t>
      </w:r>
      <w:r w:rsidR="00A472DB">
        <w:t>;</w:t>
      </w:r>
    </w:p>
    <w:p w:rsidR="002E19E0" w:rsidRDefault="002E19E0" w:rsidP="00EB0614">
      <w:pPr>
        <w:pStyle w:val="ListParagraph"/>
      </w:pPr>
      <w:r>
        <w:t>cadastrar regras de limites sobre quaisquer propriedades dos títulos</w:t>
      </w:r>
      <w:r w:rsidR="00A472DB">
        <w:t>;</w:t>
      </w:r>
    </w:p>
    <w:p w:rsidR="002E19E0" w:rsidRDefault="002E19E0" w:rsidP="00EB0614">
      <w:pPr>
        <w:pStyle w:val="ListParagraph"/>
      </w:pPr>
      <w:r>
        <w:t>regras de concentração agregada e de concentração por cada emissor, tomador, etc</w:t>
      </w:r>
      <w:r w:rsidR="00A472DB">
        <w:t>;</w:t>
      </w:r>
    </w:p>
    <w:p w:rsidR="002E19E0" w:rsidRDefault="002E19E0" w:rsidP="00EB0614">
      <w:pPr>
        <w:pStyle w:val="ListParagraph"/>
      </w:pPr>
      <w:r>
        <w:t>regras de concentração na carteira ou de percentual da emissão</w:t>
      </w:r>
      <w:r w:rsidR="00A472DB">
        <w:t>;</w:t>
      </w:r>
    </w:p>
    <w:p w:rsidR="002E19E0" w:rsidRDefault="002E19E0" w:rsidP="00EB0614">
      <w:pPr>
        <w:pStyle w:val="ListParagraph"/>
      </w:pPr>
      <w:r>
        <w:t xml:space="preserve">regras de estoque ou de movimentação (observadas </w:t>
      </w:r>
      <w:r w:rsidR="00390EF6">
        <w:t xml:space="preserve">somente </w:t>
      </w:r>
      <w:r>
        <w:t>na aquisição)</w:t>
      </w:r>
      <w:r w:rsidR="00A472DB">
        <w:t>;</w:t>
      </w:r>
    </w:p>
    <w:p w:rsidR="00223C8B" w:rsidRDefault="00223C8B" w:rsidP="00EB0614">
      <w:pPr>
        <w:pStyle w:val="ListParagraph"/>
      </w:pPr>
      <w:r>
        <w:t>comparadores para qualidade de crédito e funções de datas;</w:t>
      </w:r>
    </w:p>
    <w:p w:rsidR="00A472DB" w:rsidRDefault="00A472DB" w:rsidP="00EB0614">
      <w:pPr>
        <w:pStyle w:val="ListParagraph"/>
      </w:pPr>
      <w:r>
        <w:t>agrupamento das regras em “livros” (ex: 3792);</w:t>
      </w:r>
    </w:p>
    <w:p w:rsidR="002E19E0" w:rsidRPr="001C7455" w:rsidRDefault="00A472DB" w:rsidP="00EB0614">
      <w:pPr>
        <w:pStyle w:val="ListParagraph"/>
        <w:rPr>
          <w:lang w:val="en-US"/>
        </w:rPr>
      </w:pPr>
      <w:r w:rsidRPr="001C7455">
        <w:rPr>
          <w:lang w:val="en-US"/>
        </w:rPr>
        <w:t>hard limits e soft limits (warnings);</w:t>
      </w:r>
    </w:p>
    <w:p w:rsidR="00A472DB" w:rsidRDefault="00A472DB" w:rsidP="00EB0614">
      <w:pPr>
        <w:pStyle w:val="ListParagraph"/>
      </w:pPr>
      <w:r w:rsidRPr="00A472DB">
        <w:t>dashboard do enquadramento dos fundos com ‘sem</w:t>
      </w:r>
      <w:r>
        <w:t>áforo’;</w:t>
      </w:r>
    </w:p>
    <w:p w:rsidR="00A472DB" w:rsidRDefault="00A472DB" w:rsidP="00EB0614">
      <w:pPr>
        <w:pStyle w:val="ListParagraph"/>
      </w:pPr>
      <w:r>
        <w:t>dashboard das regras por fundo, com ‘semáforo’;</w:t>
      </w:r>
    </w:p>
    <w:p w:rsidR="00A472DB" w:rsidRDefault="00A472DB" w:rsidP="00EB0614">
      <w:pPr>
        <w:pStyle w:val="ListParagraph"/>
      </w:pPr>
      <w:r>
        <w:t>gravação dos resultados de Compliance.</w:t>
      </w:r>
    </w:p>
    <w:p w:rsidR="00A472DB" w:rsidRPr="00A472DB" w:rsidRDefault="00A472DB" w:rsidP="00C676D2"/>
    <w:p w:rsidR="001B09DA" w:rsidRDefault="001B09DA" w:rsidP="00497CF1">
      <w:pPr>
        <w:pStyle w:val="Heading2"/>
      </w:pPr>
      <w:bookmarkStart w:id="8" w:name="_Toc475092447"/>
      <w:r>
        <w:lastRenderedPageBreak/>
        <w:t>FUNCIONALIDADES DE RISCO DE MERCADO</w:t>
      </w:r>
      <w:bookmarkEnd w:id="8"/>
    </w:p>
    <w:p w:rsidR="00A472DB" w:rsidRDefault="00A472DB" w:rsidP="001C7455">
      <w:pPr>
        <w:pStyle w:val="ListParagraph"/>
      </w:pPr>
      <w:r>
        <w:t>Cálculo de VaR e Stress de mercado por fundo;</w:t>
      </w:r>
    </w:p>
    <w:p w:rsidR="00A472DB" w:rsidRDefault="00A472DB" w:rsidP="001C7455">
      <w:pPr>
        <w:pStyle w:val="ListParagraph"/>
      </w:pPr>
      <w:r>
        <w:t>Cálculo de Stress nos fundos por cenário determinado;</w:t>
      </w:r>
    </w:p>
    <w:p w:rsidR="00A472DB" w:rsidRDefault="00A472DB" w:rsidP="001C7455">
      <w:pPr>
        <w:pStyle w:val="ListParagraph"/>
      </w:pPr>
      <w:r>
        <w:t>Cadastro dos cenários de Stress;</w:t>
      </w:r>
    </w:p>
    <w:p w:rsidR="00A472DB" w:rsidRDefault="00A472DB" w:rsidP="001C7455">
      <w:pPr>
        <w:pStyle w:val="ListParagraph"/>
      </w:pPr>
      <w:r>
        <w:t>Cálculo da exposição a fatores de risco (delta e duration);</w:t>
      </w:r>
    </w:p>
    <w:p w:rsidR="00A472DB" w:rsidRDefault="00A472DB" w:rsidP="001C7455">
      <w:pPr>
        <w:pStyle w:val="ListParagraph"/>
      </w:pPr>
      <w:r>
        <w:t>Fatores: pré, IPCA, IGPM, dólar e IFIX;</w:t>
      </w:r>
    </w:p>
    <w:p w:rsidR="00A472DB" w:rsidRDefault="00A472DB" w:rsidP="001C7455">
      <w:pPr>
        <w:pStyle w:val="ListParagraph"/>
      </w:pPr>
      <w:r>
        <w:t>Importação e manutenção das séries históricas de fatores de risco;</w:t>
      </w:r>
    </w:p>
    <w:p w:rsidR="00A472DB" w:rsidRDefault="00223C8B" w:rsidP="001C7455">
      <w:pPr>
        <w:pStyle w:val="ListParagraph"/>
      </w:pPr>
      <w:r>
        <w:t>Visualização</w:t>
      </w:r>
      <w:r w:rsidR="00A472DB">
        <w:t xml:space="preserve"> dos parâmetros (volatilidades e stress) computados das séries;</w:t>
      </w:r>
    </w:p>
    <w:p w:rsidR="00E35936" w:rsidRDefault="00223C8B" w:rsidP="001C7455">
      <w:pPr>
        <w:pStyle w:val="ListParagraph"/>
      </w:pPr>
      <w:r>
        <w:t>Visualização</w:t>
      </w:r>
      <w:r w:rsidR="00E35936">
        <w:t xml:space="preserve"> da exposição por título de cada carteira;</w:t>
      </w:r>
    </w:p>
    <w:p w:rsidR="00A472DB" w:rsidRDefault="00A472DB" w:rsidP="001C7455">
      <w:pPr>
        <w:pStyle w:val="ListParagraph"/>
      </w:pPr>
      <w:r>
        <w:t>Cadastro dos limites de risco de Política, por tipo do fundo;</w:t>
      </w:r>
    </w:p>
    <w:p w:rsidR="00A472DB" w:rsidRDefault="00A472DB" w:rsidP="001C7455">
      <w:pPr>
        <w:pStyle w:val="ListParagraph"/>
      </w:pPr>
      <w:r>
        <w:t>Cadastro dos limites especiais por fundo;</w:t>
      </w:r>
    </w:p>
    <w:p w:rsidR="00A472DB" w:rsidRDefault="00A472DB" w:rsidP="001C7455">
      <w:pPr>
        <w:pStyle w:val="ListParagraph"/>
      </w:pPr>
      <w:r>
        <w:t>Cadastro dos soft limits (warnings);</w:t>
      </w:r>
    </w:p>
    <w:p w:rsidR="00A472DB" w:rsidRDefault="00A472DB" w:rsidP="001C7455">
      <w:pPr>
        <w:pStyle w:val="ListParagraph"/>
      </w:pPr>
      <w:r>
        <w:t>dashboard de enquadramento dos fundos nos limites com ‘semáforo’;</w:t>
      </w:r>
    </w:p>
    <w:p w:rsidR="00A472DB" w:rsidRPr="00A472DB" w:rsidRDefault="00A472DB" w:rsidP="001C7455">
      <w:pPr>
        <w:pStyle w:val="ListParagraph"/>
      </w:pPr>
      <w:r>
        <w:t>gravação dos resultados de risco de mercado;</w:t>
      </w:r>
    </w:p>
    <w:p w:rsidR="001B09DA" w:rsidRDefault="001B09DA" w:rsidP="00497CF1">
      <w:pPr>
        <w:pStyle w:val="Heading2"/>
      </w:pPr>
      <w:bookmarkStart w:id="9" w:name="_Toc475092448"/>
      <w:r>
        <w:t>FUNCIONALIDADES DE RISCO DE CRÉDITO</w:t>
      </w:r>
      <w:bookmarkEnd w:id="9"/>
    </w:p>
    <w:p w:rsidR="00A472DB" w:rsidRDefault="00A472DB" w:rsidP="001C7455">
      <w:pPr>
        <w:pStyle w:val="ListParagraph"/>
      </w:pPr>
      <w:r>
        <w:t>Cálculo de “Perda esperada” e “Credit-VaR”</w:t>
      </w:r>
      <w:r w:rsidR="00E35936">
        <w:t xml:space="preserve"> com base em ‘rating’;</w:t>
      </w:r>
    </w:p>
    <w:p w:rsidR="00A472DB" w:rsidRDefault="00A472DB" w:rsidP="001C7455">
      <w:pPr>
        <w:pStyle w:val="ListParagraph"/>
      </w:pPr>
      <w:r>
        <w:t xml:space="preserve">Cadastro </w:t>
      </w:r>
      <w:r w:rsidR="00E35936">
        <w:t xml:space="preserve">e atualização </w:t>
      </w:r>
      <w:r>
        <w:t>d</w:t>
      </w:r>
      <w:r w:rsidR="00E35936">
        <w:t>o</w:t>
      </w:r>
      <w:r>
        <w:t xml:space="preserve"> ‘rating’</w:t>
      </w:r>
      <w:r w:rsidR="00E35936">
        <w:t>;</w:t>
      </w:r>
    </w:p>
    <w:p w:rsidR="00E35936" w:rsidRDefault="00E35936" w:rsidP="001C7455">
      <w:pPr>
        <w:pStyle w:val="ListParagraph"/>
      </w:pPr>
      <w:r>
        <w:t>Configuração das constantes (correlação, LGD) do cálculo do risco;</w:t>
      </w:r>
    </w:p>
    <w:p w:rsidR="00E35936" w:rsidRDefault="00223C8B" w:rsidP="001C7455">
      <w:pPr>
        <w:pStyle w:val="ListParagraph"/>
      </w:pPr>
      <w:r>
        <w:t>Visualização</w:t>
      </w:r>
      <w:r w:rsidR="00E35936">
        <w:t xml:space="preserve"> da exposição por título de cada carteira;</w:t>
      </w:r>
    </w:p>
    <w:p w:rsidR="00A472DB" w:rsidRDefault="00A472DB" w:rsidP="001C7455">
      <w:pPr>
        <w:pStyle w:val="ListParagraph"/>
      </w:pPr>
      <w:r>
        <w:t>Cadastro dos limites de risco de Política, por tipo do fundo;</w:t>
      </w:r>
    </w:p>
    <w:p w:rsidR="00A472DB" w:rsidRDefault="00A472DB" w:rsidP="001C7455">
      <w:pPr>
        <w:pStyle w:val="ListParagraph"/>
      </w:pPr>
      <w:r>
        <w:t>Cadastro dos limites especiais por fundo</w:t>
      </w:r>
      <w:r w:rsidR="00390EF6">
        <w:t xml:space="preserve"> e fundos isentos</w:t>
      </w:r>
      <w:r>
        <w:t>;</w:t>
      </w:r>
    </w:p>
    <w:p w:rsidR="00A472DB" w:rsidRDefault="00A472DB" w:rsidP="001C7455">
      <w:pPr>
        <w:pStyle w:val="ListParagraph"/>
      </w:pPr>
      <w:r>
        <w:t>Cadastro dos soft limits (warnings);</w:t>
      </w:r>
    </w:p>
    <w:p w:rsidR="00A472DB" w:rsidRDefault="00A472DB" w:rsidP="001C7455">
      <w:pPr>
        <w:pStyle w:val="ListParagraph"/>
      </w:pPr>
      <w:r>
        <w:t>dashboard de enquadramento dos fundos nos limites com ‘semáforo’;</w:t>
      </w:r>
    </w:p>
    <w:p w:rsidR="00A472DB" w:rsidRDefault="00A472DB" w:rsidP="001C7455">
      <w:pPr>
        <w:pStyle w:val="ListParagraph"/>
      </w:pPr>
      <w:r>
        <w:lastRenderedPageBreak/>
        <w:t xml:space="preserve">gravação dos resultados de risco de </w:t>
      </w:r>
      <w:r w:rsidR="00E35936">
        <w:t>crédito</w:t>
      </w:r>
      <w:r>
        <w:t>;</w:t>
      </w:r>
    </w:p>
    <w:p w:rsidR="00E35936" w:rsidRDefault="00E35936" w:rsidP="001C7455">
      <w:pPr>
        <w:ind w:left="1440" w:firstLine="720"/>
      </w:pPr>
      <w:r>
        <w:t xml:space="preserve">Obs: o enquadramento nos limites de risco de crédito </w:t>
      </w:r>
      <w:r>
        <w:rPr>
          <w:u w:val="single"/>
        </w:rPr>
        <w:t>não</w:t>
      </w:r>
      <w:r>
        <w:t xml:space="preserve"> é reportado no e-mail diário.</w:t>
      </w:r>
    </w:p>
    <w:p w:rsidR="00E35936" w:rsidRPr="00E35936" w:rsidRDefault="00E35936" w:rsidP="00C676D2"/>
    <w:p w:rsidR="001B09DA" w:rsidRDefault="001B09DA" w:rsidP="00497CF1">
      <w:pPr>
        <w:pStyle w:val="Heading2"/>
      </w:pPr>
      <w:bookmarkStart w:id="10" w:name="_Toc475092449"/>
      <w:r>
        <w:t>FUNCIONALIDADES DE RISCO DE LIQUIDEZ</w:t>
      </w:r>
      <w:bookmarkEnd w:id="10"/>
    </w:p>
    <w:p w:rsidR="00E35936" w:rsidRDefault="00E35936" w:rsidP="001C7455">
      <w:pPr>
        <w:pStyle w:val="ListParagraph"/>
      </w:pPr>
      <w:r>
        <w:t>Cadastro dos fluxos de caixa dos títulos;</w:t>
      </w:r>
    </w:p>
    <w:p w:rsidR="00E35936" w:rsidRDefault="00E35936" w:rsidP="001C7455">
      <w:pPr>
        <w:pStyle w:val="ListParagraph"/>
      </w:pPr>
      <w:r>
        <w:t>Importação do ADTV dos títulos;</w:t>
      </w:r>
    </w:p>
    <w:p w:rsidR="00E35936" w:rsidRDefault="00E35936" w:rsidP="001C7455">
      <w:pPr>
        <w:pStyle w:val="ListParagraph"/>
      </w:pPr>
      <w:r>
        <w:t xml:space="preserve">Cadastro do modelo de </w:t>
      </w:r>
      <w:r w:rsidR="00390EF6">
        <w:t>gestão</w:t>
      </w:r>
      <w:r>
        <w:t xml:space="preserve"> de liquidez por fundo e do caixa mínimo gerencial;</w:t>
      </w:r>
    </w:p>
    <w:p w:rsidR="00E35936" w:rsidRDefault="00E35936" w:rsidP="001C7455">
      <w:pPr>
        <w:pStyle w:val="ListParagraph"/>
      </w:pPr>
      <w:r>
        <w:t>Cadastro do prazo de cotização dos fundos;</w:t>
      </w:r>
    </w:p>
    <w:p w:rsidR="00E35936" w:rsidRDefault="00E35936" w:rsidP="001C7455">
      <w:pPr>
        <w:pStyle w:val="ListParagraph"/>
      </w:pPr>
      <w:r>
        <w:t>Cálculo da concentração de cotistas;</w:t>
      </w:r>
    </w:p>
    <w:p w:rsidR="00E35936" w:rsidRDefault="00E35936" w:rsidP="001C7455">
      <w:pPr>
        <w:pStyle w:val="ListParagraph"/>
      </w:pPr>
      <w:r>
        <w:t>Cálculo da volatilidade de resgates e da volatilidade de PL;</w:t>
      </w:r>
    </w:p>
    <w:p w:rsidR="00E35936" w:rsidRDefault="00E35936" w:rsidP="001C7455">
      <w:pPr>
        <w:pStyle w:val="ListParagraph"/>
      </w:pPr>
      <w:r>
        <w:t>Importação da fila de resgates e da agenda de transferências;</w:t>
      </w:r>
    </w:p>
    <w:p w:rsidR="00E35936" w:rsidRDefault="00E35936" w:rsidP="001C7455">
      <w:pPr>
        <w:pStyle w:val="ListParagraph"/>
      </w:pPr>
      <w:r>
        <w:t>Cálculo da liquidez do ativo contando fluxos  de caixa, regras da ANBIMA e ADTV;</w:t>
      </w:r>
    </w:p>
    <w:p w:rsidR="00E35936" w:rsidRDefault="00E35936" w:rsidP="001C7455">
      <w:pPr>
        <w:pStyle w:val="ListParagraph"/>
      </w:pPr>
      <w:r>
        <w:t xml:space="preserve">Cálculo da necessidade do passivo </w:t>
      </w:r>
      <w:r w:rsidR="00390EF6">
        <w:t>por</w:t>
      </w:r>
      <w:r>
        <w:t xml:space="preserve"> regates pedidos, previstos e concentração;</w:t>
      </w:r>
    </w:p>
    <w:p w:rsidR="00E35936" w:rsidRDefault="00E35936" w:rsidP="001C7455">
      <w:pPr>
        <w:pStyle w:val="ListParagraph"/>
      </w:pPr>
      <w:r>
        <w:t>Simulação de stress de liquidez;</w:t>
      </w:r>
    </w:p>
    <w:p w:rsidR="00E35936" w:rsidRDefault="00E35936" w:rsidP="001C7455">
      <w:pPr>
        <w:pStyle w:val="ListParagraph"/>
      </w:pPr>
      <w:r>
        <w:t>Simulação de quitação ou modificação de fluxo;</w:t>
      </w:r>
    </w:p>
    <w:p w:rsidR="00E35936" w:rsidRDefault="00223C8B" w:rsidP="001C7455">
      <w:pPr>
        <w:pStyle w:val="ListParagraph"/>
      </w:pPr>
      <w:r>
        <w:t>Visualização</w:t>
      </w:r>
      <w:r w:rsidR="00E35936">
        <w:t xml:space="preserve"> da cobertura do passivo;</w:t>
      </w:r>
    </w:p>
    <w:p w:rsidR="00E35936" w:rsidRDefault="00223C8B" w:rsidP="001C7455">
      <w:pPr>
        <w:pStyle w:val="ListParagraph"/>
      </w:pPr>
      <w:r>
        <w:t xml:space="preserve">Visualização </w:t>
      </w:r>
      <w:r w:rsidR="00E35936">
        <w:t>do “cash report” com o caixa de curto prazo;</w:t>
      </w:r>
    </w:p>
    <w:p w:rsidR="00E35936" w:rsidRDefault="00E35936" w:rsidP="001C7455">
      <w:pPr>
        <w:pStyle w:val="ListParagraph"/>
      </w:pPr>
      <w:r>
        <w:t>dashboard de enquadramento dos fundos nos limites com ‘semáforo’;</w:t>
      </w:r>
    </w:p>
    <w:p w:rsidR="00E35936" w:rsidRDefault="00E35936" w:rsidP="001C7455">
      <w:pPr>
        <w:pStyle w:val="ListParagraph"/>
      </w:pPr>
      <w:r>
        <w:t xml:space="preserve">gravação dos </w:t>
      </w:r>
      <w:r w:rsidR="00390EF6">
        <w:t>resultados de risco de liquidez.</w:t>
      </w:r>
    </w:p>
    <w:p w:rsidR="001B09DA" w:rsidRDefault="001B09DA" w:rsidP="00497CF1">
      <w:pPr>
        <w:pStyle w:val="Heading2"/>
      </w:pPr>
      <w:bookmarkStart w:id="11" w:name="_Toc475092450"/>
      <w:r>
        <w:t>FUNCIONALIDADES DE AML</w:t>
      </w:r>
      <w:bookmarkEnd w:id="11"/>
    </w:p>
    <w:p w:rsidR="00390EF6" w:rsidRDefault="00390EF6" w:rsidP="001C7455">
      <w:pPr>
        <w:pStyle w:val="ListParagraph"/>
      </w:pPr>
      <w:r>
        <w:t>Cadastro de contrapartes com informação de “blacklist”;</w:t>
      </w:r>
    </w:p>
    <w:p w:rsidR="00E35936" w:rsidRDefault="00E35936" w:rsidP="001C7455">
      <w:pPr>
        <w:pStyle w:val="ListParagraph"/>
      </w:pPr>
      <w:r>
        <w:t>Importação dos trades do CRM e da planilha de envio ao Administrador;</w:t>
      </w:r>
    </w:p>
    <w:p w:rsidR="00223C8B" w:rsidRDefault="00223C8B" w:rsidP="001C7455">
      <w:pPr>
        <w:pStyle w:val="ListParagraph"/>
      </w:pPr>
      <w:r>
        <w:t>Importação dos preços de fechamento dos ativos;</w:t>
      </w:r>
    </w:p>
    <w:p w:rsidR="00E35936" w:rsidRDefault="00E35936" w:rsidP="001C7455">
      <w:pPr>
        <w:pStyle w:val="ListParagraph"/>
      </w:pPr>
      <w:r>
        <w:lastRenderedPageBreak/>
        <w:t>Cálculo do túnel de preço</w:t>
      </w:r>
      <w:r w:rsidR="00390EF6">
        <w:t>;</w:t>
      </w:r>
    </w:p>
    <w:p w:rsidR="00E35936" w:rsidRPr="001C7455" w:rsidRDefault="00E35936" w:rsidP="001C7455">
      <w:pPr>
        <w:pStyle w:val="ListParagraph"/>
        <w:rPr>
          <w:lang w:val="en-US"/>
        </w:rPr>
      </w:pPr>
      <w:r w:rsidRPr="001C7455">
        <w:rPr>
          <w:lang w:val="en-US"/>
        </w:rPr>
        <w:t>Dete</w:t>
      </w:r>
      <w:r w:rsidR="001C7455">
        <w:rPr>
          <w:lang w:val="en-US"/>
        </w:rPr>
        <w:t>c</w:t>
      </w:r>
      <w:r w:rsidRPr="001C7455">
        <w:rPr>
          <w:lang w:val="en-US"/>
        </w:rPr>
        <w:t xml:space="preserve">ção de </w:t>
      </w:r>
      <w:r w:rsidR="00390EF6" w:rsidRPr="001C7455">
        <w:rPr>
          <w:lang w:val="en-US"/>
        </w:rPr>
        <w:t>off-market price;</w:t>
      </w:r>
    </w:p>
    <w:p w:rsidR="00390EF6" w:rsidRPr="00390EF6" w:rsidRDefault="00390EF6" w:rsidP="001C7455">
      <w:pPr>
        <w:pStyle w:val="ListParagraph"/>
      </w:pPr>
      <w:r w:rsidRPr="00390EF6">
        <w:t>Detecção de day-trade</w:t>
      </w:r>
      <w:r>
        <w:t>;</w:t>
      </w:r>
    </w:p>
    <w:p w:rsidR="00390EF6" w:rsidRDefault="00390EF6" w:rsidP="001C7455">
      <w:pPr>
        <w:pStyle w:val="ListParagraph"/>
      </w:pPr>
      <w:r w:rsidRPr="00390EF6">
        <w:t>Detecção de trade com contraparte n</w:t>
      </w:r>
      <w:r>
        <w:t>ão cadastrada;</w:t>
      </w:r>
    </w:p>
    <w:p w:rsidR="00390EF6" w:rsidRDefault="00390EF6" w:rsidP="001C7455">
      <w:pPr>
        <w:pStyle w:val="ListParagraph"/>
      </w:pPr>
      <w:r>
        <w:t>gravação dos resultados de AML.</w:t>
      </w:r>
    </w:p>
    <w:p w:rsidR="00223C8B" w:rsidRDefault="00223C8B" w:rsidP="00497CF1">
      <w:pPr>
        <w:pStyle w:val="Heading2"/>
      </w:pPr>
      <w:bookmarkStart w:id="12" w:name="_Toc475092451"/>
      <w:r>
        <w:t>FUNCIONALIDADES DE RATEIO E ALOCAÇÃO</w:t>
      </w:r>
      <w:bookmarkEnd w:id="12"/>
    </w:p>
    <w:p w:rsidR="00223C8B" w:rsidRDefault="00223C8B" w:rsidP="001C7455">
      <w:pPr>
        <w:pStyle w:val="ListParagraph"/>
      </w:pPr>
      <w:r>
        <w:t>importação dos trades;</w:t>
      </w:r>
    </w:p>
    <w:p w:rsidR="00223C8B" w:rsidRDefault="00223C8B" w:rsidP="001C7455">
      <w:pPr>
        <w:pStyle w:val="ListParagraph"/>
      </w:pPr>
      <w:r>
        <w:t>Verificação do preço médio do rateio entre fundos.</w:t>
      </w:r>
    </w:p>
    <w:p w:rsidR="00223C8B" w:rsidRDefault="00223C8B" w:rsidP="001C7455">
      <w:pPr>
        <w:pStyle w:val="ListParagraph"/>
      </w:pPr>
      <w:r>
        <w:t>Gravação dos resultados de rateio e alocação.</w:t>
      </w:r>
    </w:p>
    <w:p w:rsidR="001B09DA" w:rsidRDefault="001B09DA" w:rsidP="00497CF1">
      <w:pPr>
        <w:pStyle w:val="Heading2"/>
      </w:pPr>
      <w:bookmarkStart w:id="13" w:name="_Toc475092452"/>
      <w:r>
        <w:t>OUTRAS FUNCIONALIDADES</w:t>
      </w:r>
      <w:bookmarkEnd w:id="13"/>
    </w:p>
    <w:p w:rsidR="00E613DB" w:rsidRPr="00E613DB" w:rsidRDefault="00E613DB" w:rsidP="00E613DB">
      <w:pPr>
        <w:pStyle w:val="ListParagraph"/>
        <w:rPr>
          <w:u w:val="single"/>
        </w:rPr>
      </w:pPr>
      <w:r w:rsidRPr="00E613DB">
        <w:rPr>
          <w:u w:val="single"/>
        </w:rPr>
        <w:t xml:space="preserve">Todas as tabelas em tela podem ser copiadas </w:t>
      </w:r>
      <w:r>
        <w:rPr>
          <w:u w:val="single"/>
        </w:rPr>
        <w:t xml:space="preserve">para outros aplicativos com </w:t>
      </w:r>
      <w:r w:rsidRPr="00E613DB">
        <w:rPr>
          <w:u w:val="single"/>
        </w:rPr>
        <w:t>Ct</w:t>
      </w:r>
      <w:r>
        <w:rPr>
          <w:u w:val="single"/>
        </w:rPr>
        <w:t>rl</w:t>
      </w:r>
      <w:r w:rsidRPr="00E613DB">
        <w:rPr>
          <w:u w:val="single"/>
        </w:rPr>
        <w:t>-C.</w:t>
      </w:r>
    </w:p>
    <w:p w:rsidR="00390EF6" w:rsidRDefault="00390EF6" w:rsidP="001C7455">
      <w:pPr>
        <w:pStyle w:val="ListParagraph"/>
      </w:pPr>
      <w:r>
        <w:t>Consul</w:t>
      </w:r>
      <w:r w:rsidR="001C7455">
        <w:t xml:space="preserve">ta a todos os históricos </w:t>
      </w:r>
      <w:r>
        <w:t xml:space="preserve">(trades, carteiras, </w:t>
      </w:r>
      <w:r w:rsidR="00223C8B">
        <w:t>preços, resultados, etc);</w:t>
      </w:r>
    </w:p>
    <w:p w:rsidR="00223C8B" w:rsidRDefault="00223C8B" w:rsidP="001C7455">
      <w:pPr>
        <w:pStyle w:val="ListParagraph"/>
      </w:pPr>
      <w:r w:rsidRPr="001C7455">
        <w:rPr>
          <w:u w:val="single"/>
        </w:rPr>
        <w:t>Gráficos</w:t>
      </w:r>
      <w:r>
        <w:t xml:space="preserve"> de composição (pizza) e históricos (estoque e concentração);</w:t>
      </w:r>
    </w:p>
    <w:p w:rsidR="00223C8B" w:rsidRDefault="00223C8B" w:rsidP="001C7455">
      <w:pPr>
        <w:pStyle w:val="ListParagraph"/>
      </w:pPr>
      <w:r>
        <w:t>Navegação para outras datas;</w:t>
      </w:r>
    </w:p>
    <w:p w:rsidR="00223C8B" w:rsidRDefault="00223C8B" w:rsidP="001C7455">
      <w:pPr>
        <w:pStyle w:val="ListParagraph"/>
      </w:pPr>
      <w:r>
        <w:t>Funções de manutenção e consistência das bases de dados;</w:t>
      </w:r>
    </w:p>
    <w:p w:rsidR="001C7455" w:rsidRDefault="001C7455" w:rsidP="001C7455">
      <w:pPr>
        <w:pStyle w:val="ListParagraph"/>
      </w:pPr>
      <w:r>
        <w:t>Consulta de ISIN;</w:t>
      </w:r>
    </w:p>
    <w:p w:rsidR="00223C8B" w:rsidRDefault="00223C8B" w:rsidP="001C7455">
      <w:pPr>
        <w:pStyle w:val="ListParagraph"/>
      </w:pPr>
      <w:r>
        <w:t>Cadastro de permissionamento por usuário;</w:t>
      </w:r>
    </w:p>
    <w:p w:rsidR="000A50AF" w:rsidRDefault="000A50AF" w:rsidP="001C7455">
      <w:pPr>
        <w:pStyle w:val="ListParagraph"/>
      </w:pPr>
      <w:r>
        <w:t>Log de ações do usuário;</w:t>
      </w:r>
    </w:p>
    <w:p w:rsidR="00223C8B" w:rsidRDefault="00223C8B" w:rsidP="001C7455">
      <w:pPr>
        <w:pStyle w:val="ListParagraph"/>
      </w:pPr>
      <w:r>
        <w:t>Configuração do sistema;</w:t>
      </w:r>
    </w:p>
    <w:p w:rsidR="00223C8B" w:rsidRDefault="00223C8B" w:rsidP="00EB0614">
      <w:pPr>
        <w:pStyle w:val="ListParagraph"/>
        <w:numPr>
          <w:ilvl w:val="0"/>
          <w:numId w:val="0"/>
        </w:numPr>
        <w:ind w:left="2160"/>
      </w:pPr>
    </w:p>
    <w:p w:rsidR="00DB5D1A" w:rsidRPr="00DB5D1A" w:rsidRDefault="00DB5D1A" w:rsidP="004C78B5">
      <w:pPr>
        <w:pStyle w:val="Heading1"/>
      </w:pPr>
      <w:bookmarkStart w:id="14" w:name="_Toc475092453"/>
      <w:r w:rsidRPr="00DB5D1A">
        <w:lastRenderedPageBreak/>
        <w:t>INICIANDO O SISTEMA</w:t>
      </w:r>
      <w:bookmarkEnd w:id="14"/>
    </w:p>
    <w:p w:rsidR="001C7455" w:rsidRDefault="001C7455" w:rsidP="00497CF1">
      <w:pPr>
        <w:pStyle w:val="Heading2"/>
      </w:pPr>
      <w:bookmarkStart w:id="15" w:name="_Toc475092454"/>
      <w:r>
        <w:t>PRÉ-REQUISITOS</w:t>
      </w:r>
      <w:bookmarkEnd w:id="15"/>
    </w:p>
    <w:p w:rsidR="00E82180" w:rsidRDefault="00E82180" w:rsidP="00E82180">
      <w:r>
        <w:t>O arquivo executável do SCR</w:t>
      </w:r>
      <w:r w:rsidR="006D4674">
        <w:t xml:space="preserve"> (Compliance.exe)</w:t>
      </w:r>
      <w:r>
        <w:t xml:space="preserve"> deve estar instalado no computador do usuário.</w:t>
      </w:r>
    </w:p>
    <w:p w:rsidR="001C7455" w:rsidRDefault="001C7455" w:rsidP="001C7455">
      <w:r>
        <w:t>O usuário deve estar previamente autorizado no SCR.</w:t>
      </w:r>
    </w:p>
    <w:p w:rsidR="001C7455" w:rsidRPr="001C7455" w:rsidRDefault="001C7455" w:rsidP="001C7455">
      <w:r>
        <w:t>A autenticação será feita pelo login do usuário na rede.</w:t>
      </w:r>
    </w:p>
    <w:p w:rsidR="0012121E" w:rsidRDefault="0012121E" w:rsidP="00497CF1">
      <w:pPr>
        <w:pStyle w:val="Heading2"/>
      </w:pPr>
      <w:bookmarkStart w:id="16" w:name="_Toc475092455"/>
      <w:r>
        <w:t>EXECUÇÃO EM BATCH</w:t>
      </w:r>
      <w:bookmarkEnd w:id="16"/>
    </w:p>
    <w:p w:rsidR="0012121E" w:rsidRPr="0012121E" w:rsidRDefault="0012121E" w:rsidP="0012121E">
      <w:r>
        <w:t xml:space="preserve">Em alguns casos, o sistema pode ser acionado para rodar em “batch”, ou seja, sem abrir sessão interativa com o usuário. </w:t>
      </w:r>
      <w:r w:rsidR="00C128DB">
        <w:t>C</w:t>
      </w:r>
      <w:r>
        <w:t>aso</w:t>
      </w:r>
      <w:r w:rsidR="00C128DB">
        <w:t xml:space="preserve"> rode em batch</w:t>
      </w:r>
      <w:r>
        <w:t>, o sistema encerrará depois de ser inicializado, executar os c</w:t>
      </w:r>
      <w:r w:rsidR="00C128DB">
        <w:t xml:space="preserve">álculos e gravar os resultados. (ver </w:t>
      </w:r>
      <w:r w:rsidR="000B1A93">
        <w:fldChar w:fldCharType="begin"/>
      </w:r>
      <w:r w:rsidR="00C128DB">
        <w:instrText xml:space="preserve"> REF _Ref458696608 \r \h </w:instrText>
      </w:r>
      <w:r w:rsidR="000B1A93">
        <w:fldChar w:fldCharType="separate"/>
      </w:r>
      <w:r w:rsidR="00C128DB">
        <w:t>I-4</w:t>
      </w:r>
      <w:r w:rsidR="000B1A93">
        <w:fldChar w:fldCharType="end"/>
      </w:r>
      <w:r w:rsidR="00C128DB">
        <w:t>)</w:t>
      </w:r>
    </w:p>
    <w:p w:rsidR="00DB5D1A" w:rsidRDefault="001C7455" w:rsidP="00497CF1">
      <w:pPr>
        <w:pStyle w:val="Heading2"/>
      </w:pPr>
      <w:bookmarkStart w:id="17" w:name="_Toc475092456"/>
      <w:r>
        <w:t>INICIALIZAÇÃO</w:t>
      </w:r>
      <w:bookmarkEnd w:id="17"/>
    </w:p>
    <w:p w:rsidR="00DB5D1A" w:rsidRDefault="00DB5D1A" w:rsidP="001C7455">
      <w:r>
        <w:t>Quando o usuário aciona o SCR, as seguintes ações ocorrem em sequência:</w:t>
      </w:r>
    </w:p>
    <w:p w:rsidR="000B3D67" w:rsidRPr="001C7455" w:rsidRDefault="000B3D67" w:rsidP="00E82180">
      <w:pPr>
        <w:pStyle w:val="ListParagraph"/>
        <w:numPr>
          <w:ilvl w:val="0"/>
          <w:numId w:val="0"/>
        </w:numPr>
        <w:ind w:left="720"/>
        <w:rPr>
          <w:u w:val="single"/>
        </w:rPr>
      </w:pPr>
      <w:r w:rsidRPr="001C7455">
        <w:rPr>
          <w:u w:val="single"/>
        </w:rPr>
        <w:t>Ações automáticas sem interação com o usuário:</w:t>
      </w:r>
    </w:p>
    <w:p w:rsidR="000B3D67" w:rsidRPr="000B3D67" w:rsidRDefault="000B3D67" w:rsidP="00E82180">
      <w:pPr>
        <w:pStyle w:val="ListParagraph"/>
        <w:numPr>
          <w:ilvl w:val="0"/>
          <w:numId w:val="0"/>
        </w:numPr>
        <w:ind w:left="720"/>
      </w:pPr>
      <w:r>
        <w:t xml:space="preserve">(ao executar essa sequência, </w:t>
      </w:r>
      <w:r w:rsidR="006D4674">
        <w:t>será mostrada</w:t>
      </w:r>
      <w:r>
        <w:t xml:space="preserve"> </w:t>
      </w:r>
      <w:r w:rsidR="006D4674">
        <w:t>apenas uma</w:t>
      </w:r>
      <w:r>
        <w:t xml:space="preserve"> janela de progresso):</w:t>
      </w:r>
    </w:p>
    <w:p w:rsidR="00DB5D1A" w:rsidRPr="00665F1D" w:rsidRDefault="008064DF" w:rsidP="00EB0614">
      <w:pPr>
        <w:pStyle w:val="ListParagraph"/>
      </w:pPr>
      <w:r w:rsidRPr="00665F1D">
        <w:t>O SCR se conecta com a base de dados</w:t>
      </w:r>
      <w:r w:rsidR="00C128DB">
        <w:t>;</w:t>
      </w:r>
    </w:p>
    <w:p w:rsidR="008064DF" w:rsidRPr="00665F1D" w:rsidRDefault="008064DF" w:rsidP="00EB0614">
      <w:pPr>
        <w:pStyle w:val="ListParagraph"/>
      </w:pPr>
      <w:r w:rsidRPr="00665F1D">
        <w:t xml:space="preserve">O SCR identifica o usuário que está logado </w:t>
      </w:r>
      <w:r w:rsidR="00A34988">
        <w:t xml:space="preserve">na rede </w:t>
      </w:r>
      <w:r w:rsidRPr="00665F1D">
        <w:t xml:space="preserve">e verifica se ele tem autorização para </w:t>
      </w:r>
      <w:r w:rsidR="001C7455">
        <w:t xml:space="preserve">acessar </w:t>
      </w:r>
      <w:r w:rsidRPr="00665F1D">
        <w:t>o sistema, e</w:t>
      </w:r>
      <w:r w:rsidR="00C128DB">
        <w:t xml:space="preserve"> de que tipo é essa autorização;</w:t>
      </w:r>
    </w:p>
    <w:p w:rsidR="008064DF" w:rsidRDefault="008064DF" w:rsidP="00EB0614">
      <w:pPr>
        <w:pStyle w:val="ListParagraph"/>
      </w:pPr>
      <w:r w:rsidRPr="00665F1D">
        <w:t>Se o usuário for autorizado para “Importar”, o SCR executará uma rotina de importação</w:t>
      </w:r>
      <w:r w:rsidR="00665F1D">
        <w:t xml:space="preserve"> </w:t>
      </w:r>
      <w:r w:rsidR="001C7455">
        <w:t xml:space="preserve">completa </w:t>
      </w:r>
      <w:r w:rsidR="00665F1D">
        <w:t>(carteiras, resgates, séries históricas, trades, etc)</w:t>
      </w:r>
      <w:r w:rsidR="00C128DB">
        <w:t>;</w:t>
      </w:r>
    </w:p>
    <w:p w:rsidR="008064DF" w:rsidRDefault="008064DF" w:rsidP="00EB0614">
      <w:pPr>
        <w:pStyle w:val="ListParagraph"/>
      </w:pPr>
      <w:r w:rsidRPr="00665F1D">
        <w:t xml:space="preserve">O SCR lerá a base de dados e determinará a </w:t>
      </w:r>
      <w:r w:rsidRPr="00665F1D">
        <w:rPr>
          <w:u w:val="single"/>
        </w:rPr>
        <w:t>data mais recente</w:t>
      </w:r>
      <w:r w:rsidRPr="00665F1D">
        <w:t xml:space="preserve"> para a qual o sistema pode rodar</w:t>
      </w:r>
      <w:r w:rsidR="00665F1D">
        <w:t xml:space="preserve"> – a </w:t>
      </w:r>
      <w:r w:rsidR="00665F1D" w:rsidRPr="00665F1D">
        <w:rPr>
          <w:u w:val="single"/>
        </w:rPr>
        <w:t>Data Base</w:t>
      </w:r>
      <w:r w:rsidR="00C128DB">
        <w:t>;</w:t>
      </w:r>
    </w:p>
    <w:p w:rsidR="00075A98" w:rsidRDefault="00075A98" w:rsidP="001C7455">
      <w:pPr>
        <w:pStyle w:val="ListParagraph"/>
        <w:numPr>
          <w:ilvl w:val="0"/>
          <w:numId w:val="0"/>
        </w:numPr>
        <w:ind w:left="2160"/>
      </w:pPr>
      <w:r w:rsidRPr="00075A98">
        <w:t xml:space="preserve">A Data Base é a data mais recente para a qual </w:t>
      </w:r>
      <w:r w:rsidRPr="00075A98">
        <w:rPr>
          <w:u w:val="single"/>
        </w:rPr>
        <w:t>pelo menos um</w:t>
      </w:r>
      <w:r w:rsidRPr="00075A98">
        <w:t xml:space="preserve"> fundo tenha carteira. </w:t>
      </w:r>
      <w:r w:rsidR="00C128DB">
        <w:t>O</w:t>
      </w:r>
      <w:r w:rsidRPr="00075A98">
        <w:t xml:space="preserve"> SCR pode abrir em uma data na qual </w:t>
      </w:r>
      <w:r w:rsidRPr="00075A98">
        <w:rPr>
          <w:u w:val="single"/>
        </w:rPr>
        <w:t>alguns fundos</w:t>
      </w:r>
      <w:r w:rsidRPr="00075A98">
        <w:t xml:space="preserve"> não tenham carteira ou faltem outros dados</w:t>
      </w:r>
      <w:r w:rsidR="00F774C8">
        <w:t xml:space="preserve"> (ver </w:t>
      </w:r>
      <w:r w:rsidR="000B1A93">
        <w:fldChar w:fldCharType="begin"/>
      </w:r>
      <w:r w:rsidR="006D4674">
        <w:instrText xml:space="preserve"> REF _Ref458498467 \r \h </w:instrText>
      </w:r>
      <w:r w:rsidR="000B1A93">
        <w:fldChar w:fldCharType="separate"/>
      </w:r>
      <w:r w:rsidR="006D4674">
        <w:t>II-4</w:t>
      </w:r>
      <w:r w:rsidR="000B1A93">
        <w:fldChar w:fldCharType="end"/>
      </w:r>
      <w:r w:rsidR="00A34988">
        <w:t xml:space="preserve"> </w:t>
      </w:r>
      <w:r w:rsidR="00C128DB">
        <w:t>abaixo);</w:t>
      </w:r>
    </w:p>
    <w:p w:rsidR="00665F1D" w:rsidRDefault="00665F1D" w:rsidP="00EB0614">
      <w:pPr>
        <w:pStyle w:val="ListParagraph"/>
      </w:pPr>
      <w:r>
        <w:t xml:space="preserve">O SCR </w:t>
      </w:r>
      <w:r w:rsidR="00A34988">
        <w:t>processará</w:t>
      </w:r>
      <w:r>
        <w:t xml:space="preserve"> </w:t>
      </w:r>
      <w:r>
        <w:rPr>
          <w:u w:val="single"/>
        </w:rPr>
        <w:t>todos</w:t>
      </w:r>
      <w:r>
        <w:t xml:space="preserve"> os cá</w:t>
      </w:r>
      <w:r w:rsidR="00075A98">
        <w:t xml:space="preserve">lculos de risco e </w:t>
      </w:r>
      <w:r w:rsidR="00A34988">
        <w:t xml:space="preserve">compliance para a </w:t>
      </w:r>
      <w:r w:rsidR="00075A98">
        <w:t>Data Base</w:t>
      </w:r>
      <w:r w:rsidR="00C128DB">
        <w:t>;</w:t>
      </w:r>
    </w:p>
    <w:p w:rsidR="00665F1D" w:rsidRDefault="00665F1D" w:rsidP="00EB0614">
      <w:pPr>
        <w:pStyle w:val="ListParagraph"/>
      </w:pPr>
      <w:r>
        <w:lastRenderedPageBreak/>
        <w:t>Se o usuário tiver autorização para “Reportar”, o SCR gravará os resultados de risco e enquadramento na base de dados</w:t>
      </w:r>
      <w:r w:rsidR="00C128DB">
        <w:t>, relativos à Data Base;</w:t>
      </w:r>
    </w:p>
    <w:p w:rsidR="00665F1D" w:rsidRDefault="00665F1D" w:rsidP="00EB0614">
      <w:pPr>
        <w:pStyle w:val="ListParagraph"/>
      </w:pPr>
      <w:r>
        <w:t>Se o usuário for um “</w:t>
      </w:r>
      <w:r>
        <w:rPr>
          <w:u w:val="single"/>
        </w:rPr>
        <w:t>Batch User</w:t>
      </w:r>
      <w:r>
        <w:t>”</w:t>
      </w:r>
      <w:r w:rsidR="00A34988">
        <w:t xml:space="preserve"> ou tiver sido rodado com a opção /b</w:t>
      </w:r>
      <w:r>
        <w:t>:</w:t>
      </w:r>
    </w:p>
    <w:p w:rsidR="00665F1D" w:rsidRDefault="00665F1D" w:rsidP="001C7455">
      <w:pPr>
        <w:ind w:left="2880"/>
      </w:pPr>
      <w:r>
        <w:t xml:space="preserve">- se </w:t>
      </w:r>
      <w:r w:rsidR="00A34988">
        <w:t xml:space="preserve">o usuário </w:t>
      </w:r>
      <w:r w:rsidRPr="00665F1D">
        <w:t>tiver autorização para “Reportar”, o SCR enviará um e-mail com os resultados de risco e enquadramento para a mailing list cadastrada.</w:t>
      </w:r>
    </w:p>
    <w:p w:rsidR="00665F1D" w:rsidRDefault="00665F1D" w:rsidP="001C7455">
      <w:pPr>
        <w:ind w:left="2880"/>
      </w:pPr>
      <w:r>
        <w:t xml:space="preserve">- </w:t>
      </w:r>
      <w:r w:rsidR="00A34988">
        <w:t>o</w:t>
      </w:r>
      <w:r>
        <w:t xml:space="preserve"> SCR terminará nesse ponto.</w:t>
      </w:r>
    </w:p>
    <w:p w:rsidR="000B3D67" w:rsidRPr="001C7455" w:rsidRDefault="000B3D67" w:rsidP="00E82180">
      <w:pPr>
        <w:pStyle w:val="ListParagraph"/>
        <w:numPr>
          <w:ilvl w:val="0"/>
          <w:numId w:val="0"/>
        </w:numPr>
        <w:ind w:left="720"/>
        <w:rPr>
          <w:u w:val="single"/>
        </w:rPr>
      </w:pPr>
      <w:r w:rsidRPr="001C7455">
        <w:rPr>
          <w:u w:val="single"/>
        </w:rPr>
        <w:t>Ações com interação com o usuário</w:t>
      </w:r>
      <w:r w:rsidR="00A34988" w:rsidRPr="001C7455">
        <w:rPr>
          <w:u w:val="single"/>
        </w:rPr>
        <w:t>:</w:t>
      </w:r>
    </w:p>
    <w:p w:rsidR="00665F1D" w:rsidRDefault="00665F1D" w:rsidP="00EB0614">
      <w:pPr>
        <w:pStyle w:val="ListParagraph"/>
      </w:pPr>
      <w:r>
        <w:t xml:space="preserve">Se o usuário </w:t>
      </w:r>
      <w:r w:rsidRPr="00A34988">
        <w:rPr>
          <w:u w:val="single"/>
        </w:rPr>
        <w:t>não</w:t>
      </w:r>
      <w:r w:rsidRPr="00A34988">
        <w:t xml:space="preserve"> for</w:t>
      </w:r>
      <w:r>
        <w:t xml:space="preserve"> um “Batch User”</w:t>
      </w:r>
      <w:r w:rsidR="006D4674">
        <w:t xml:space="preserve"> e o sistema </w:t>
      </w:r>
      <w:r w:rsidR="006D4674">
        <w:rPr>
          <w:u w:val="single"/>
        </w:rPr>
        <w:t>não</w:t>
      </w:r>
      <w:r w:rsidR="006D4674">
        <w:t xml:space="preserve"> tiver sido chamado da linha de comando com a opção “/b”</w:t>
      </w:r>
      <w:r>
        <w:t>:</w:t>
      </w:r>
    </w:p>
    <w:p w:rsidR="00665F1D" w:rsidRPr="00665F1D" w:rsidRDefault="00665F1D" w:rsidP="001C7455">
      <w:pPr>
        <w:pStyle w:val="ListParagraph"/>
        <w:numPr>
          <w:ilvl w:val="0"/>
          <w:numId w:val="0"/>
        </w:numPr>
        <w:ind w:left="2880"/>
      </w:pPr>
      <w:r>
        <w:t xml:space="preserve">- </w:t>
      </w:r>
      <w:r w:rsidRPr="00665F1D">
        <w:t>o SCR abrirá a sessão interativa do usuário, mostrando a Tela Principal e permitido seu uso.</w:t>
      </w:r>
    </w:p>
    <w:p w:rsidR="00665F1D" w:rsidRPr="00665F1D" w:rsidRDefault="00665F1D" w:rsidP="001C7455">
      <w:pPr>
        <w:pStyle w:val="ListParagraph"/>
        <w:numPr>
          <w:ilvl w:val="0"/>
          <w:numId w:val="0"/>
        </w:numPr>
        <w:ind w:left="2880"/>
      </w:pPr>
      <w:r>
        <w:t xml:space="preserve">- </w:t>
      </w:r>
      <w:r w:rsidR="00A34988">
        <w:t>O</w:t>
      </w:r>
      <w:r>
        <w:t xml:space="preserve"> SCR termina</w:t>
      </w:r>
      <w:r w:rsidR="00A34988">
        <w:t>rá</w:t>
      </w:r>
      <w:r>
        <w:t xml:space="preserve"> quando o usuário fechar o aplicativo.</w:t>
      </w:r>
    </w:p>
    <w:p w:rsidR="00DB5D1A" w:rsidRDefault="00E82180" w:rsidP="00497CF1">
      <w:pPr>
        <w:pStyle w:val="Heading2"/>
      </w:pPr>
      <w:bookmarkStart w:id="18" w:name="_Toc475092457"/>
      <w:r>
        <w:t>TELA PRINCIPAL</w:t>
      </w:r>
      <w:bookmarkEnd w:id="18"/>
    </w:p>
    <w:p w:rsidR="00C676D2" w:rsidRDefault="001C7455" w:rsidP="00CE01E3">
      <w:r>
        <w:t xml:space="preserve">Ao início da sessão interativa, é mostrada a Tela </w:t>
      </w:r>
      <w:r w:rsidR="00CE01E3">
        <w:t>Principal</w:t>
      </w:r>
      <w:r>
        <w:t>.</w:t>
      </w:r>
    </w:p>
    <w:p w:rsidR="00C676D2" w:rsidRDefault="00C676D2" w:rsidP="008833C2">
      <w:pPr>
        <w:tabs>
          <w:tab w:val="left" w:pos="270"/>
        </w:tabs>
        <w:ind w:left="0" w:firstLine="270"/>
      </w:pPr>
    </w:p>
    <w:p w:rsidR="00863F33" w:rsidRDefault="00C52375" w:rsidP="00C52375">
      <w:pPr>
        <w:ind w:left="0"/>
      </w:pPr>
      <w:r>
        <w:rPr>
          <w:noProof/>
          <w:lang w:eastAsia="pt-BR"/>
        </w:rPr>
        <w:lastRenderedPageBreak/>
        <w:drawing>
          <wp:inline distT="0" distB="0" distL="0" distR="0">
            <wp:extent cx="6858000" cy="5277028"/>
            <wp:effectExtent l="19050" t="0" r="0" b="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7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A98" w:rsidRDefault="00CE01E3" w:rsidP="00CE01E3">
      <w:r>
        <w:t>A Tela Inicial possui:</w:t>
      </w:r>
    </w:p>
    <w:p w:rsidR="00C676D2" w:rsidRDefault="00CE01E3" w:rsidP="00EB0614">
      <w:pPr>
        <w:pStyle w:val="ListParagraph"/>
      </w:pPr>
      <w:r>
        <w:t xml:space="preserve">O </w:t>
      </w:r>
      <w:r>
        <w:rPr>
          <w:u w:val="single"/>
        </w:rPr>
        <w:t>menu</w:t>
      </w:r>
      <w:r>
        <w:t xml:space="preserve"> fixo</w:t>
      </w:r>
    </w:p>
    <w:p w:rsidR="00CE01E3" w:rsidRDefault="00CE01E3" w:rsidP="00EB0614">
      <w:pPr>
        <w:pStyle w:val="ListParagraph"/>
      </w:pPr>
      <w:r>
        <w:t xml:space="preserve">Um </w:t>
      </w:r>
      <w:r>
        <w:rPr>
          <w:u w:val="single"/>
        </w:rPr>
        <w:t>rodapé</w:t>
      </w:r>
      <w:r>
        <w:t xml:space="preserve"> que mostra a Data Base, o ‘status’ do sistema (</w:t>
      </w:r>
      <w:r w:rsidR="00EA0F19">
        <w:t xml:space="preserve">ver </w:t>
      </w:r>
      <w:r w:rsidR="000B1A93">
        <w:fldChar w:fldCharType="begin"/>
      </w:r>
      <w:r w:rsidR="00EA0F19">
        <w:instrText xml:space="preserve"> REF _Ref458667286 \r \h </w:instrText>
      </w:r>
      <w:r w:rsidR="000B1A93">
        <w:fldChar w:fldCharType="separate"/>
      </w:r>
      <w:r w:rsidR="00EA0F19">
        <w:t>X-</w:t>
      </w:r>
      <w:r w:rsidR="000B1A93">
        <w:fldChar w:fldCharType="end"/>
      </w:r>
      <w:r w:rsidR="00EA0F19">
        <w:t>Simulação</w:t>
      </w:r>
      <w:r>
        <w:t>)</w:t>
      </w:r>
      <w:r w:rsidR="00EA0F19">
        <w:t>,</w:t>
      </w:r>
      <w:r w:rsidR="00366E96">
        <w:t xml:space="preserve"> e o usuário ativo.</w:t>
      </w:r>
    </w:p>
    <w:p w:rsidR="00C676D2" w:rsidRDefault="00CE01E3" w:rsidP="00CE01E3">
      <w:r>
        <w:t>A Tela Principal é mostrada inicialmente com duas janelas contidas:</w:t>
      </w:r>
    </w:p>
    <w:p w:rsidR="00CE01E3" w:rsidRPr="00CE01E3" w:rsidRDefault="00CE01E3" w:rsidP="00CE01E3">
      <w:pPr>
        <w:pStyle w:val="ListParagraph"/>
        <w:rPr>
          <w:u w:val="single"/>
        </w:rPr>
      </w:pPr>
      <w:r w:rsidRPr="00CE01E3">
        <w:rPr>
          <w:u w:val="single"/>
        </w:rPr>
        <w:t>Dashboard</w:t>
      </w:r>
      <w:r>
        <w:t xml:space="preserve"> dos fundos</w:t>
      </w:r>
    </w:p>
    <w:p w:rsidR="00CE01E3" w:rsidRDefault="00CE01E3" w:rsidP="00CE01E3">
      <w:pPr>
        <w:pStyle w:val="ListParagraph"/>
      </w:pPr>
      <w:r>
        <w:t>Carteira do Fundo</w:t>
      </w:r>
      <w:r w:rsidR="006D4674">
        <w:t xml:space="preserve"> selecionado no Dashboard</w:t>
      </w:r>
    </w:p>
    <w:p w:rsidR="00CE01E3" w:rsidRDefault="00CE01E3" w:rsidP="00CE01E3">
      <w:r>
        <w:t>Janelas de outras operações poderão estar contidas ou não na Tela Princ</w:t>
      </w:r>
      <w:r w:rsidR="006D4674">
        <w:t>ipal da aplicação</w:t>
      </w:r>
      <w:r>
        <w:t xml:space="preserve"> SCR.</w:t>
      </w:r>
    </w:p>
    <w:p w:rsidR="00DB5D1A" w:rsidRPr="004C78B5" w:rsidRDefault="00DB5D1A" w:rsidP="004C78B5">
      <w:pPr>
        <w:pStyle w:val="Heading1"/>
      </w:pPr>
      <w:bookmarkStart w:id="19" w:name="_Toc475092458"/>
      <w:r w:rsidRPr="004C78B5">
        <w:lastRenderedPageBreak/>
        <w:t>FUNDOS E CARTEIRAS</w:t>
      </w:r>
      <w:bookmarkEnd w:id="19"/>
    </w:p>
    <w:p w:rsidR="00DB5D1A" w:rsidRDefault="00CE01E3" w:rsidP="00497CF1">
      <w:pPr>
        <w:pStyle w:val="Heading2"/>
      </w:pPr>
      <w:bookmarkStart w:id="20" w:name="_Toc475092459"/>
      <w:r>
        <w:t>DASHBOARD DOS FUNDOS</w:t>
      </w:r>
      <w:bookmarkEnd w:id="20"/>
    </w:p>
    <w:p w:rsidR="00DB5D1A" w:rsidRDefault="00DB5D1A" w:rsidP="00EE5943">
      <w:r>
        <w:t xml:space="preserve">Ao iniciar o SRC, o sistema lerá a base de dados, procurará a </w:t>
      </w:r>
      <w:r w:rsidR="00EE5943">
        <w:t xml:space="preserve">Data Base </w:t>
      </w:r>
      <w:r>
        <w:t>mais recente</w:t>
      </w:r>
      <w:r w:rsidR="00EE5943">
        <w:t>, processará todos os cálculos</w:t>
      </w:r>
      <w:r>
        <w:t xml:space="preserve"> e abrirá nessa data mostrando a Tela Principal</w:t>
      </w:r>
      <w:r w:rsidR="00EE5943">
        <w:t xml:space="preserve"> com </w:t>
      </w:r>
      <w:r>
        <w:t>o Dashboard</w:t>
      </w:r>
      <w:r w:rsidR="00EE5943">
        <w:t xml:space="preserve"> e</w:t>
      </w:r>
      <w:r>
        <w:t xml:space="preserve"> a Tela de Carteira</w:t>
      </w:r>
      <w:r w:rsidR="00EE5943">
        <w:t>.</w:t>
      </w:r>
    </w:p>
    <w:p w:rsidR="00863F33" w:rsidRDefault="00C52375" w:rsidP="00863F33">
      <w:pPr>
        <w:ind w:left="274"/>
      </w:pPr>
      <w:r>
        <w:rPr>
          <w:noProof/>
          <w:lang w:eastAsia="pt-BR"/>
        </w:rPr>
        <w:drawing>
          <wp:inline distT="0" distB="0" distL="0" distR="0">
            <wp:extent cx="6858000" cy="3885074"/>
            <wp:effectExtent l="19050" t="0" r="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8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92A" w:rsidRDefault="007C692A" w:rsidP="00863F33">
      <w:pPr>
        <w:ind w:left="274"/>
      </w:pPr>
      <w:r>
        <w:t xml:space="preserve">Caso o Dashboard seja fechado </w:t>
      </w:r>
      <w:r w:rsidR="00AE09AE">
        <w:t xml:space="preserve">ou ocultado </w:t>
      </w:r>
      <w:r>
        <w:t>durante a operação do sistema, a opção de menu Fundos</w:t>
      </w:r>
      <w:r>
        <w:sym w:font="Wingdings" w:char="F0E0"/>
      </w:r>
      <w:r>
        <w:t xml:space="preserve">Cadastro de Fundos ou a tecla </w:t>
      </w:r>
      <w:r w:rsidRPr="00AE09AE">
        <w:rPr>
          <w:u w:val="single"/>
        </w:rPr>
        <w:t>F6</w:t>
      </w:r>
      <w:r>
        <w:t xml:space="preserve"> </w:t>
      </w:r>
      <w:r w:rsidR="00AE09AE">
        <w:t xml:space="preserve">o </w:t>
      </w:r>
      <w:r>
        <w:t>fará reaparecer.</w:t>
      </w:r>
    </w:p>
    <w:p w:rsidR="008833C2" w:rsidRDefault="008833C2" w:rsidP="00CD05E5">
      <w:r>
        <w:t>O Dashboard mostra as seguintes colunas:</w:t>
      </w:r>
    </w:p>
    <w:p w:rsidR="008833C2" w:rsidRDefault="008833C2" w:rsidP="00CD05E5">
      <w:pPr>
        <w:pStyle w:val="ListParagraph"/>
      </w:pPr>
      <w:r>
        <w:t>O nome do fundo</w:t>
      </w:r>
      <w:r w:rsidR="00CD05E5">
        <w:t>;</w:t>
      </w:r>
    </w:p>
    <w:p w:rsidR="008833C2" w:rsidRDefault="008833C2" w:rsidP="00CD05E5">
      <w:pPr>
        <w:pStyle w:val="ListParagraph"/>
      </w:pPr>
      <w:r>
        <w:t>O flag se o fundo tem carteira válida para a Data Base (</w:t>
      </w:r>
      <w:r>
        <w:sym w:font="Wingdings" w:char="F0FC"/>
      </w:r>
      <w:r>
        <w:t>) ou não (×)</w:t>
      </w:r>
      <w:r w:rsidR="00CD05E5">
        <w:t>;</w:t>
      </w:r>
    </w:p>
    <w:p w:rsidR="008833C2" w:rsidRDefault="008833C2" w:rsidP="00CD05E5">
      <w:pPr>
        <w:pStyle w:val="ListParagraph"/>
      </w:pPr>
      <w:r>
        <w:t>O CNPJ do fundo</w:t>
      </w:r>
      <w:r w:rsidR="00CD05E5">
        <w:t>;</w:t>
      </w:r>
    </w:p>
    <w:p w:rsidR="008833C2" w:rsidRDefault="008833C2" w:rsidP="00CD05E5">
      <w:pPr>
        <w:pStyle w:val="ListParagraph"/>
      </w:pPr>
      <w:r>
        <w:t>O tipo “EXCLUSIVO”, “MASTER”, “FEEDER”, “CLOSED” ou “OPEN”</w:t>
      </w:r>
      <w:r w:rsidR="00CD05E5">
        <w:t>;</w:t>
      </w:r>
    </w:p>
    <w:p w:rsidR="008833C2" w:rsidRDefault="008833C2" w:rsidP="00CD05E5">
      <w:pPr>
        <w:pStyle w:val="ListParagraph"/>
      </w:pPr>
      <w:r>
        <w:lastRenderedPageBreak/>
        <w:t>O público-alvo “VAREJO”, “QUALI” ou “PROF”</w:t>
      </w:r>
      <w:r w:rsidR="00CD05E5">
        <w:t>;</w:t>
      </w:r>
    </w:p>
    <w:p w:rsidR="00CD05E5" w:rsidRDefault="00CD05E5" w:rsidP="00CD05E5">
      <w:pPr>
        <w:pStyle w:val="ListParagraph"/>
      </w:pPr>
      <w:r>
        <w:t>O tipo de consolidação de fundos investidos, “FULL” ou “PROP”;</w:t>
      </w:r>
    </w:p>
    <w:p w:rsidR="00CD05E5" w:rsidRDefault="00CD05E5" w:rsidP="00CD05E5">
      <w:pPr>
        <w:pStyle w:val="ListParagraph"/>
      </w:pPr>
      <w:r>
        <w:t>O patrimônio líquido do fundo;</w:t>
      </w:r>
    </w:p>
    <w:p w:rsidR="00CD05E5" w:rsidRDefault="00CD05E5" w:rsidP="00CD05E5">
      <w:pPr>
        <w:pStyle w:val="ListParagraph"/>
      </w:pPr>
      <w:r>
        <w:t>O percentual da carteira investido em ativos “caixa”;</w:t>
      </w:r>
    </w:p>
    <w:p w:rsidR="00CD05E5" w:rsidRDefault="00CD05E5" w:rsidP="00CD05E5">
      <w:pPr>
        <w:pStyle w:val="ListParagraph"/>
      </w:pPr>
      <w:r>
        <w:t>O “semáforo” de enquadramento em liquidez;</w:t>
      </w:r>
    </w:p>
    <w:p w:rsidR="00CD05E5" w:rsidRDefault="00CD05E5" w:rsidP="00CD05E5">
      <w:pPr>
        <w:pStyle w:val="ListParagraph"/>
      </w:pPr>
      <w:r>
        <w:t>O “semáforo” de enquadramento em compliance;</w:t>
      </w:r>
    </w:p>
    <w:p w:rsidR="00863F33" w:rsidRDefault="00863F33" w:rsidP="00CD05E5">
      <w:pPr>
        <w:pStyle w:val="ListParagraph"/>
      </w:pPr>
      <w:r>
        <w:t>O “semáforo” de enquadramento das regras internas e limites gerenciais.</w:t>
      </w:r>
    </w:p>
    <w:p w:rsidR="00CD05E5" w:rsidRDefault="00CD05E5" w:rsidP="00CD05E5">
      <w:pPr>
        <w:pStyle w:val="ListParagraph"/>
      </w:pPr>
      <w:r>
        <w:t>A perda esperada em crédito;</w:t>
      </w:r>
    </w:p>
    <w:p w:rsidR="00CD05E5" w:rsidRDefault="00CD05E5" w:rsidP="00CD05E5">
      <w:pPr>
        <w:pStyle w:val="ListParagraph"/>
      </w:pPr>
      <w:r>
        <w:t>O Credit-Var;</w:t>
      </w:r>
    </w:p>
    <w:p w:rsidR="00CD05E5" w:rsidRDefault="00CD05E5" w:rsidP="00CD05E5">
      <w:pPr>
        <w:pStyle w:val="ListParagraph"/>
      </w:pPr>
      <w:r>
        <w:t>O “semáforo” de enquadramento no limite de risco de crédito;</w:t>
      </w:r>
    </w:p>
    <w:p w:rsidR="00C52375" w:rsidRDefault="00C52375" w:rsidP="00CD05E5">
      <w:pPr>
        <w:pStyle w:val="ListParagraph"/>
      </w:pPr>
      <w:r>
        <w:t>A perda esperada em crédito, segundo o rating interno;</w:t>
      </w:r>
    </w:p>
    <w:p w:rsidR="00C52375" w:rsidRDefault="00C52375" w:rsidP="00CD05E5">
      <w:pPr>
        <w:pStyle w:val="ListParagraph"/>
      </w:pPr>
      <w:r>
        <w:t>O Credit-Var segundo o rating interno;</w:t>
      </w:r>
    </w:p>
    <w:p w:rsidR="00CD05E5" w:rsidRDefault="00CD05E5" w:rsidP="00CD05E5">
      <w:pPr>
        <w:pStyle w:val="ListParagraph"/>
      </w:pPr>
      <w:r>
        <w:t>O VaR de risco de mercado;</w:t>
      </w:r>
    </w:p>
    <w:p w:rsidR="00CD05E5" w:rsidRDefault="00CD05E5" w:rsidP="00CD05E5">
      <w:pPr>
        <w:pStyle w:val="ListParagraph"/>
      </w:pPr>
      <w:r>
        <w:t>O Stress de risco de mercado;</w:t>
      </w:r>
    </w:p>
    <w:p w:rsidR="00CD05E5" w:rsidRDefault="00CD05E5" w:rsidP="00CD05E5">
      <w:pPr>
        <w:pStyle w:val="ListParagraph"/>
      </w:pPr>
      <w:r>
        <w:t>O “semáforo” de enquadramento no limite de risco de mercado;</w:t>
      </w:r>
    </w:p>
    <w:p w:rsidR="00CD05E5" w:rsidRDefault="00CD05E5" w:rsidP="00CD05E5">
      <w:pPr>
        <w:pStyle w:val="ListParagraph"/>
      </w:pPr>
      <w:r>
        <w:t>O identificador do fundo quando ele figura como título na carteira de fundo investidor.</w:t>
      </w:r>
    </w:p>
    <w:p w:rsidR="00CD05E5" w:rsidRDefault="00CD05E5" w:rsidP="00CD05E5">
      <w:r>
        <w:t xml:space="preserve">O Dashboard tem os seguintes </w:t>
      </w:r>
      <w:r>
        <w:rPr>
          <w:u w:val="single"/>
        </w:rPr>
        <w:t>botões de comando</w:t>
      </w:r>
      <w:r>
        <w:t>:</w:t>
      </w:r>
    </w:p>
    <w:p w:rsidR="00CD05E5" w:rsidRDefault="00CD05E5" w:rsidP="00CD05E5">
      <w:pPr>
        <w:pStyle w:val="ListParagraph"/>
      </w:pPr>
      <w:r>
        <w:t>Novo: Cria um novo fundo</w:t>
      </w:r>
    </w:p>
    <w:p w:rsidR="00CD05E5" w:rsidRDefault="00CD05E5" w:rsidP="00CD05E5">
      <w:pPr>
        <w:pStyle w:val="ListParagraph"/>
      </w:pPr>
      <w:r>
        <w:t>Edita: Edita o fundo selecionado</w:t>
      </w:r>
    </w:p>
    <w:p w:rsidR="00CD05E5" w:rsidRDefault="00CD05E5" w:rsidP="00CD05E5">
      <w:pPr>
        <w:pStyle w:val="ListParagraph"/>
      </w:pPr>
      <w:r>
        <w:t>Exclui: Deleta o fundo selecionado</w:t>
      </w:r>
    </w:p>
    <w:p w:rsidR="00CD05E5" w:rsidRDefault="00CD05E5" w:rsidP="00CD05E5">
      <w:pPr>
        <w:pStyle w:val="ListParagraph"/>
      </w:pPr>
      <w:r>
        <w:t>Liquidez: mostra a Tela de Liquidez dos fundos</w:t>
      </w:r>
    </w:p>
    <w:p w:rsidR="00CD05E5" w:rsidRDefault="00CD05E5" w:rsidP="00CD05E5">
      <w:pPr>
        <w:pStyle w:val="ListParagraph"/>
      </w:pPr>
      <w:r w:rsidRPr="00CD05E5">
        <w:t>Cross-Hldngs: mostra a Tela de</w:t>
      </w:r>
      <w:r>
        <w:t xml:space="preserve"> investimentos cruzados entre os fundos</w:t>
      </w:r>
      <w:r w:rsidR="00360197">
        <w:t xml:space="preserve"> (ver </w:t>
      </w:r>
      <w:r w:rsidR="000B1A93">
        <w:fldChar w:fldCharType="begin"/>
      </w:r>
      <w:r w:rsidR="00360197">
        <w:instrText xml:space="preserve"> REF _Ref458500929 \r \h </w:instrText>
      </w:r>
      <w:r w:rsidR="000B1A93">
        <w:fldChar w:fldCharType="separate"/>
      </w:r>
      <w:r w:rsidR="00360197">
        <w:t>III-5</w:t>
      </w:r>
      <w:r w:rsidR="000B1A93">
        <w:fldChar w:fldCharType="end"/>
      </w:r>
      <w:r w:rsidR="00360197">
        <w:t>)</w:t>
      </w:r>
      <w:r>
        <w:t>.</w:t>
      </w:r>
    </w:p>
    <w:p w:rsidR="00CD05E5" w:rsidRPr="00CD05E5" w:rsidRDefault="00CD05E5" w:rsidP="00CD05E5">
      <w:r>
        <w:t>Clicando duas vezes sobre uma linha, seleciona-se o fundo e a carteira do mesmo é mostrada na Tela de Carteira.</w:t>
      </w:r>
    </w:p>
    <w:p w:rsidR="00DB5D1A" w:rsidRDefault="00DB5D1A" w:rsidP="00497CF1">
      <w:pPr>
        <w:pStyle w:val="Heading2"/>
      </w:pPr>
      <w:bookmarkStart w:id="21" w:name="_Ref458520772"/>
      <w:bookmarkStart w:id="22" w:name="_Toc475092460"/>
      <w:r>
        <w:lastRenderedPageBreak/>
        <w:t>TELA DE CARTEIRA</w:t>
      </w:r>
      <w:bookmarkEnd w:id="21"/>
      <w:bookmarkEnd w:id="22"/>
    </w:p>
    <w:p w:rsidR="00CD05E5" w:rsidRDefault="00CD05E5" w:rsidP="00CD05E5">
      <w:r>
        <w:t>A Tela de Carteira mostra informações</w:t>
      </w:r>
      <w:r w:rsidR="00D43DC6">
        <w:t xml:space="preserve"> da carteira de um fundo. Escolhe-se o fundo clicando duas vezes sobre ele no Dashboard.</w:t>
      </w:r>
    </w:p>
    <w:p w:rsidR="00F77FA9" w:rsidRDefault="000B1A93" w:rsidP="00F77FA9">
      <w:pPr>
        <w:ind w:left="0"/>
      </w:pPr>
      <w:r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5" type="#_x0000_t202" style="position:absolute;left:0;text-align:left;margin-left:227.9pt;margin-top:11.55pt;width:31.5pt;height:19.5pt;z-index:251692032" filled="f" stroked="f">
            <v:textbox>
              <w:txbxContent>
                <w:p w:rsidR="003C1A56" w:rsidRPr="001F557B" w:rsidRDefault="003C1A56" w:rsidP="001F557B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❸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64" type="#_x0000_t202" style="position:absolute;left:0;text-align:left;margin-left:84.75pt;margin-top:11.55pt;width:31.5pt;height:19.5pt;z-index:251691008" filled="f" stroked="f">
            <v:textbox>
              <w:txbxContent>
                <w:p w:rsidR="003C1A56" w:rsidRPr="001F557B" w:rsidRDefault="003C1A56" w:rsidP="001F557B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❷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63" type="#_x0000_t202" style="position:absolute;left:0;text-align:left;margin-left:502.5pt;margin-top:31.05pt;width:31.5pt;height:19.5pt;z-index:251689984" filled="f" stroked="f">
            <v:textbox>
              <w:txbxContent>
                <w:p w:rsidR="003C1A56" w:rsidRPr="00431641" w:rsidRDefault="003C1A56" w:rsidP="001F557B">
                  <w:pPr>
                    <w:ind w:left="0"/>
                    <w:rPr>
                      <w:b/>
                      <w:color w:val="FF0000"/>
                    </w:rPr>
                  </w:pPr>
                  <w:r w:rsidRPr="00431641">
                    <w:rPr>
                      <w:b/>
                      <w:color w:val="FF0000"/>
                    </w:rPr>
                    <w:t>❶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rect id="_x0000_s1062" style="position:absolute;left:0;text-align:left;margin-left:105.75pt;margin-top:16.05pt;width:144.75pt;height:10.5pt;z-index:251688960" filled="f" strokecolor="red" strokeweight="1.5pt"/>
        </w:pict>
      </w:r>
      <w:r>
        <w:rPr>
          <w:noProof/>
          <w:lang w:eastAsia="pt-BR"/>
        </w:rPr>
        <w:pict>
          <v:rect id="_x0000_s1061" style="position:absolute;left:0;text-align:left;margin-left:5.25pt;margin-top:16.05pt;width:100.5pt;height:10.5pt;z-index:251687936" filled="f" strokecolor="red" strokeweight="1.5pt"/>
        </w:pict>
      </w:r>
      <w:r>
        <w:rPr>
          <w:noProof/>
          <w:lang w:eastAsia="pt-BR"/>
        </w:rPr>
        <w:pict>
          <v:rect id="_x0000_s1060" style="position:absolute;left:0;text-align:left;margin-left:5.25pt;margin-top:26.55pt;width:534pt;height:390.75pt;z-index:251686912" filled="f" strokecolor="red" strokeweight="1.5pt"/>
        </w:pict>
      </w:r>
      <w:r w:rsidR="00F77FA9">
        <w:rPr>
          <w:noProof/>
          <w:lang w:eastAsia="pt-BR"/>
        </w:rPr>
        <w:drawing>
          <wp:inline distT="0" distB="0" distL="0" distR="0">
            <wp:extent cx="6858000" cy="549067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49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DC6" w:rsidRDefault="00D43DC6" w:rsidP="00CD05E5">
      <w:r>
        <w:t xml:space="preserve">A Tela de Carteira tem </w:t>
      </w:r>
      <w:r w:rsidR="001F557B">
        <w:t>3 áreas:</w:t>
      </w:r>
    </w:p>
    <w:p w:rsidR="003E1EE5" w:rsidRDefault="001F557B" w:rsidP="00CD05E5">
      <w:r>
        <w:t xml:space="preserve">❶ </w:t>
      </w:r>
      <w:r w:rsidR="003E1EE5" w:rsidRPr="003E1EE5">
        <w:rPr>
          <w:u w:val="single"/>
        </w:rPr>
        <w:t>A tabela principal</w:t>
      </w:r>
      <w:r w:rsidR="003E1EE5">
        <w:t xml:space="preserve">, </w:t>
      </w:r>
    </w:p>
    <w:p w:rsidR="001F557B" w:rsidRDefault="003E1EE5" w:rsidP="003E1EE5">
      <w:pPr>
        <w:ind w:firstLine="720"/>
      </w:pPr>
      <w:r>
        <w:t>onde são mostradas as informações.</w:t>
      </w:r>
    </w:p>
    <w:p w:rsidR="003E1EE5" w:rsidRDefault="003E1EE5" w:rsidP="00CD05E5">
      <w:r>
        <w:t xml:space="preserve">❷ </w:t>
      </w:r>
      <w:r w:rsidRPr="003E1EE5">
        <w:rPr>
          <w:u w:val="single"/>
        </w:rPr>
        <w:t>O controle das abas</w:t>
      </w:r>
      <w:r>
        <w:t xml:space="preserve">, </w:t>
      </w:r>
    </w:p>
    <w:p w:rsidR="003E1EE5" w:rsidRDefault="003E1EE5" w:rsidP="003E1EE5">
      <w:pPr>
        <w:ind w:firstLine="720"/>
      </w:pPr>
      <w:r>
        <w:lastRenderedPageBreak/>
        <w:t>que determina o que será mostrado:</w:t>
      </w:r>
    </w:p>
    <w:p w:rsidR="00D43DC6" w:rsidRDefault="00D43DC6" w:rsidP="00D43DC6">
      <w:pPr>
        <w:pStyle w:val="ListParagraph"/>
      </w:pPr>
      <w:r>
        <w:t>Carteira: mostra a carteira do fundo, com o valor e a participação de cada posição e as propriedades dos títulos que a compõe.</w:t>
      </w:r>
      <w:r w:rsidR="00F77FA9">
        <w:t xml:space="preserve"> A 1ª coluna de propriedade (a 4ª coluna) é fixa, e as colunas da 5ª em diante são flexíveis e podem ser adicionadas ou removidas.</w:t>
      </w:r>
    </w:p>
    <w:p w:rsidR="00D43DC6" w:rsidRDefault="00D43DC6" w:rsidP="00D43DC6">
      <w:pPr>
        <w:pStyle w:val="ListParagraph"/>
      </w:pPr>
      <w:r>
        <w:t>Aberta: mesma informação da aba “Carteira”, mas sobre a carteira consolidada de todos os fundos investidos.</w:t>
      </w:r>
    </w:p>
    <w:p w:rsidR="00D43DC6" w:rsidRDefault="00D43DC6" w:rsidP="00D43DC6">
      <w:pPr>
        <w:pStyle w:val="ListParagraph"/>
      </w:pPr>
      <w:r>
        <w:t>Regras: o “semáforo” de cada regra de compliance e a respectiva concentração sob a regra.</w:t>
      </w:r>
    </w:p>
    <w:p w:rsidR="00D43DC6" w:rsidRDefault="00D43DC6" w:rsidP="00D43DC6">
      <w:pPr>
        <w:pStyle w:val="ListParagraph"/>
      </w:pPr>
      <w:r>
        <w:t>Concentração: a concentração, em valor e percentual, por qualquer propriedade escolhida pelo usuário.</w:t>
      </w:r>
    </w:p>
    <w:p w:rsidR="003E1EE5" w:rsidRDefault="003E1EE5" w:rsidP="00D43DC6">
      <w:r>
        <w:t xml:space="preserve">❸ </w:t>
      </w:r>
      <w:r w:rsidRPr="003E1EE5">
        <w:rPr>
          <w:u w:val="single"/>
        </w:rPr>
        <w:t>C</w:t>
      </w:r>
      <w:r w:rsidR="00D43DC6" w:rsidRPr="003E1EE5">
        <w:rPr>
          <w:u w:val="single"/>
        </w:rPr>
        <w:t xml:space="preserve">ontroles de exibição </w:t>
      </w:r>
      <w:r>
        <w:rPr>
          <w:u w:val="single"/>
        </w:rPr>
        <w:t xml:space="preserve">de </w:t>
      </w:r>
      <w:r w:rsidR="00D43DC6" w:rsidRPr="009F6123">
        <w:rPr>
          <w:u w:val="single"/>
        </w:rPr>
        <w:t>propriedade</w:t>
      </w:r>
      <w:r w:rsidR="009F6123" w:rsidRPr="009F6123">
        <w:t xml:space="preserve"> </w:t>
      </w:r>
    </w:p>
    <w:p w:rsidR="00D43DC6" w:rsidRDefault="00D43DC6" w:rsidP="003E1EE5">
      <w:pPr>
        <w:ind w:firstLine="720"/>
      </w:pPr>
      <w:r>
        <w:t>O drop-down permite escolher uma propriedade que:</w:t>
      </w:r>
    </w:p>
    <w:p w:rsidR="00D43DC6" w:rsidRDefault="00D43DC6" w:rsidP="009F6123">
      <w:pPr>
        <w:pStyle w:val="ListParagraph"/>
      </w:pPr>
      <w:r>
        <w:t>Nas abas “Car</w:t>
      </w:r>
      <w:r w:rsidR="009F6123">
        <w:t>teira” e “Aberta”, s</w:t>
      </w:r>
      <w:r>
        <w:t xml:space="preserve">erá </w:t>
      </w:r>
      <w:r w:rsidR="009F6123">
        <w:t xml:space="preserve">listada </w:t>
      </w:r>
      <w:r>
        <w:t>na 4ª coluna.</w:t>
      </w:r>
    </w:p>
    <w:p w:rsidR="00D43DC6" w:rsidRDefault="00D43DC6" w:rsidP="009F6123">
      <w:pPr>
        <w:pStyle w:val="ListParagraph"/>
      </w:pPr>
      <w:r>
        <w:t xml:space="preserve">Na aba “Concentração”, será usada para </w:t>
      </w:r>
      <w:r w:rsidR="00D72306">
        <w:t xml:space="preserve">enumerar </w:t>
      </w:r>
      <w:r>
        <w:t>os valores e calcular a concentração.</w:t>
      </w:r>
    </w:p>
    <w:p w:rsidR="00D43DC6" w:rsidRDefault="00D72306" w:rsidP="009F6123">
      <w:pPr>
        <w:pStyle w:val="ListParagraph"/>
      </w:pPr>
      <w:r>
        <w:t>Ao clicar “AddCol”, s</w:t>
      </w:r>
      <w:r w:rsidR="009F6123">
        <w:t>er</w:t>
      </w:r>
      <w:r>
        <w:t>á</w:t>
      </w:r>
      <w:r w:rsidR="009F6123">
        <w:t xml:space="preserve"> adicionada a uma coluna nas abas “Carteira” e “Aberta”.</w:t>
      </w:r>
    </w:p>
    <w:p w:rsidR="009F6123" w:rsidRDefault="009F6123" w:rsidP="003E1EE5">
      <w:pPr>
        <w:ind w:left="1440"/>
      </w:pPr>
      <w:r>
        <w:t xml:space="preserve">O botão “AddCol” adiciona uma coluna </w:t>
      </w:r>
      <w:r w:rsidR="00F77FA9">
        <w:t xml:space="preserve">flexível </w:t>
      </w:r>
      <w:r>
        <w:t>na visualização de “Carteira” ou “Aberta”, com a propriedade selecionada no drop-down.</w:t>
      </w:r>
    </w:p>
    <w:p w:rsidR="009F6123" w:rsidRDefault="009F6123" w:rsidP="003E1EE5">
      <w:pPr>
        <w:ind w:firstLine="720"/>
      </w:pPr>
      <w:r>
        <w:t xml:space="preserve">O botão “DelCol” remove </w:t>
      </w:r>
      <w:r w:rsidR="00F77FA9">
        <w:t>a</w:t>
      </w:r>
      <w:r>
        <w:t xml:space="preserve"> columa </w:t>
      </w:r>
      <w:r w:rsidR="00F77FA9">
        <w:t xml:space="preserve">flexível </w:t>
      </w:r>
      <w:r>
        <w:t>na visualização de “Carteira” ou “Aberta”.</w:t>
      </w:r>
    </w:p>
    <w:p w:rsidR="008B6930" w:rsidRPr="00CD05E5" w:rsidRDefault="008B6930" w:rsidP="003E1EE5">
      <w:pPr>
        <w:ind w:firstLine="720"/>
      </w:pPr>
      <w:r>
        <w:t>A seleção de colunas da tela é particular de cada usuário.</w:t>
      </w:r>
    </w:p>
    <w:p w:rsidR="00DB5D1A" w:rsidRDefault="00DB5D1A" w:rsidP="00497CF1">
      <w:pPr>
        <w:pStyle w:val="Heading2"/>
      </w:pPr>
      <w:bookmarkStart w:id="23" w:name="_Ref458526319"/>
      <w:bookmarkStart w:id="24" w:name="_Ref458526771"/>
      <w:bookmarkStart w:id="25" w:name="_Toc475092461"/>
      <w:r>
        <w:t>CADASTRO DE FUNDOS</w:t>
      </w:r>
      <w:bookmarkEnd w:id="23"/>
      <w:bookmarkEnd w:id="24"/>
      <w:bookmarkEnd w:id="25"/>
    </w:p>
    <w:p w:rsidR="00F77FA9" w:rsidRDefault="00A91B2C" w:rsidP="00F77FA9">
      <w:r>
        <w:t>O usuário cria um novo fundo clicando no botão “Novo” do Dashboard.</w:t>
      </w:r>
    </w:p>
    <w:p w:rsidR="00A91B2C" w:rsidRDefault="00A91B2C" w:rsidP="00F77FA9">
      <w:r>
        <w:t xml:space="preserve">O SRC pedirá o </w:t>
      </w:r>
      <w:r>
        <w:rPr>
          <w:u w:val="single"/>
        </w:rPr>
        <w:t>nome</w:t>
      </w:r>
      <w:r>
        <w:t xml:space="preserve"> do fundo novo e permitirá a criação se o nome não for duplicado.</w:t>
      </w:r>
    </w:p>
    <w:p w:rsidR="00A91B2C" w:rsidRDefault="00A91B2C" w:rsidP="00F77FA9">
      <w:r>
        <w:t xml:space="preserve">Após a criação bem-sucedida do fundo, o SRC abrirá </w:t>
      </w:r>
      <w:r w:rsidR="006F22F9">
        <w:t xml:space="preserve">o </w:t>
      </w:r>
      <w:r w:rsidR="006F22F9" w:rsidRPr="006F22F9">
        <w:rPr>
          <w:u w:val="single"/>
        </w:rPr>
        <w:t xml:space="preserve">formulário </w:t>
      </w:r>
      <w:r w:rsidRPr="006F22F9">
        <w:rPr>
          <w:u w:val="single"/>
        </w:rPr>
        <w:t xml:space="preserve">de Edição do </w:t>
      </w:r>
      <w:r w:rsidR="006F22F9" w:rsidRPr="006F22F9">
        <w:rPr>
          <w:u w:val="single"/>
        </w:rPr>
        <w:t>F</w:t>
      </w:r>
      <w:r w:rsidRPr="006F22F9">
        <w:rPr>
          <w:u w:val="single"/>
        </w:rPr>
        <w:t>undo</w:t>
      </w:r>
      <w:r>
        <w:t>, mesma tela que se abre quando o usuário pede para Editar um fundo pré-existente.</w:t>
      </w:r>
    </w:p>
    <w:p w:rsidR="00AC18BC" w:rsidRDefault="00AC18BC" w:rsidP="00F77FA9"/>
    <w:p w:rsidR="00A91B2C" w:rsidRDefault="000B1A93" w:rsidP="00A91B2C">
      <w:pPr>
        <w:ind w:left="274"/>
      </w:pPr>
      <w:r>
        <w:rPr>
          <w:noProof/>
          <w:lang w:eastAsia="pt-BR"/>
        </w:rPr>
        <w:lastRenderedPageBreak/>
        <w:pict>
          <v:shape id="_x0000_s1040" type="#_x0000_t202" style="position:absolute;left:0;text-align:left;margin-left:520.5pt;margin-top:183.3pt;width:21.65pt;height:19.5pt;z-index:251667456" filled="f" stroked="f">
            <v:textbox>
              <w:txbxContent>
                <w:p w:rsidR="003C1A56" w:rsidRPr="00431641" w:rsidRDefault="003C1A56" w:rsidP="00431641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❺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9" type="#_x0000_t202" style="position:absolute;left:0;text-align:left;margin-left:520.5pt;margin-top:23.55pt;width:26.15pt;height:19.5pt;z-index:251666432" filled="f" stroked="f">
            <v:textbox>
              <w:txbxContent>
                <w:p w:rsidR="003C1A56" w:rsidRPr="00431641" w:rsidRDefault="003C1A56" w:rsidP="00431641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❹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8" type="#_x0000_t202" style="position:absolute;left:0;text-align:left;margin-left:249pt;margin-top:286.8pt;width:25.5pt;height:19.5pt;z-index:251665408" filled="f" stroked="f">
            <v:textbox>
              <w:txbxContent>
                <w:p w:rsidR="003C1A56" w:rsidRPr="00431641" w:rsidRDefault="003C1A56" w:rsidP="00431641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❸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37" type="#_x0000_t202" style="position:absolute;left:0;text-align:left;margin-left:249pt;margin-top:183.3pt;width:25.5pt;height:20.25pt;z-index:251664384" filled="f" stroked="f">
            <v:textbox>
              <w:txbxContent>
                <w:p w:rsidR="003C1A56" w:rsidRPr="00431641" w:rsidRDefault="003C1A56" w:rsidP="00431641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❷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rect id="_x0000_s1036" style="position:absolute;left:0;text-align:left;margin-left:292.5pt;margin-top:183.3pt;width:261pt;height:92.25pt;z-index:251663360" filled="f" strokecolor="red" strokeweight="2.25pt"/>
        </w:pict>
      </w:r>
      <w:r>
        <w:rPr>
          <w:noProof/>
          <w:lang w:eastAsia="pt-BR"/>
        </w:rPr>
        <w:pict>
          <v:rect id="_x0000_s1035" style="position:absolute;left:0;text-align:left;margin-left:292.5pt;margin-top:17.55pt;width:261pt;height:159.75pt;z-index:251662336" filled="f" strokecolor="red" strokeweight="2.25pt"/>
        </w:pict>
      </w:r>
      <w:r>
        <w:rPr>
          <w:noProof/>
          <w:lang w:eastAsia="pt-BR"/>
        </w:rPr>
        <w:pict>
          <v:rect id="_x0000_s1034" style="position:absolute;left:0;text-align:left;margin-left:19.5pt;margin-top:281.55pt;width:261pt;height:67.5pt;z-index:251661312" filled="f" strokecolor="red" strokeweight="2.25pt"/>
        </w:pict>
      </w:r>
      <w:r>
        <w:rPr>
          <w:noProof/>
          <w:lang w:eastAsia="pt-BR"/>
        </w:rPr>
        <w:pict>
          <v:rect id="_x0000_s1033" style="position:absolute;left:0;text-align:left;margin-left:19.5pt;margin-top:183.3pt;width:261pt;height:92.25pt;z-index:251660288" filled="f" strokecolor="red" strokeweight="2.25pt"/>
        </w:pict>
      </w:r>
      <w:r>
        <w:rPr>
          <w:noProof/>
          <w:lang w:eastAsia="pt-BR"/>
        </w:rPr>
        <w:pict>
          <v:shape id="_x0000_s1032" type="#_x0000_t202" style="position:absolute;left:0;text-align:left;margin-left:249pt;margin-top:17.55pt;width:31.5pt;height:19.5pt;z-index:251659264" filled="f" stroked="f">
            <v:textbox>
              <w:txbxContent>
                <w:p w:rsidR="003C1A56" w:rsidRPr="00431641" w:rsidRDefault="003C1A56">
                  <w:pPr>
                    <w:ind w:left="0"/>
                    <w:rPr>
                      <w:b/>
                      <w:color w:val="FF0000"/>
                    </w:rPr>
                  </w:pPr>
                  <w:r w:rsidRPr="00431641">
                    <w:rPr>
                      <w:b/>
                      <w:color w:val="FF0000"/>
                    </w:rPr>
                    <w:t>❶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rect id="_x0000_s1031" style="position:absolute;left:0;text-align:left;margin-left:19.5pt;margin-top:17.55pt;width:261pt;height:159.75pt;z-index:251658240" filled="f" strokecolor="red" strokeweight="2.25pt"/>
        </w:pict>
      </w:r>
      <w:r w:rsidR="00A91B2C">
        <w:rPr>
          <w:noProof/>
          <w:lang w:eastAsia="pt-BR"/>
        </w:rPr>
        <w:drawing>
          <wp:inline distT="0" distB="0" distL="0" distR="0">
            <wp:extent cx="6858000" cy="453279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3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E0" w:rsidRDefault="006F22F9" w:rsidP="00F153E0">
      <w:r>
        <w:t>O formulário</w:t>
      </w:r>
      <w:r w:rsidR="00F153E0">
        <w:t xml:space="preserve"> de Edição do cadastro de Fundo possui 5 áeras:</w:t>
      </w:r>
    </w:p>
    <w:p w:rsidR="00AC18BC" w:rsidRPr="00285215" w:rsidRDefault="00F153E0" w:rsidP="00285215">
      <w:pPr>
        <w:rPr>
          <w:u w:val="single"/>
        </w:rPr>
      </w:pPr>
      <w:r>
        <w:t xml:space="preserve">❶ </w:t>
      </w:r>
      <w:r w:rsidR="00AC18BC" w:rsidRPr="00285215">
        <w:rPr>
          <w:u w:val="single"/>
        </w:rPr>
        <w:t>Dados Estáticos:</w:t>
      </w:r>
    </w:p>
    <w:p w:rsidR="00AC18BC" w:rsidRDefault="00AC18BC" w:rsidP="00285215">
      <w:pPr>
        <w:pStyle w:val="ListParagraph"/>
      </w:pPr>
      <w:r>
        <w:t>Nome</w:t>
      </w:r>
    </w:p>
    <w:p w:rsidR="00AC18BC" w:rsidRDefault="00AC18BC" w:rsidP="00285215">
      <w:pPr>
        <w:pStyle w:val="ListParagraph"/>
      </w:pPr>
      <w:r>
        <w:t>CNPJ</w:t>
      </w:r>
    </w:p>
    <w:p w:rsidR="00AC18BC" w:rsidRDefault="00AC18BC" w:rsidP="00285215">
      <w:pPr>
        <w:pStyle w:val="ListParagraph"/>
      </w:pPr>
      <w:r>
        <w:t>ID Título: o identificador do Fundo no cadastro de títulos, no caso do fundo constar da carteira de outros fundos.</w:t>
      </w:r>
    </w:p>
    <w:p w:rsidR="00AC18BC" w:rsidRDefault="00AC18BC" w:rsidP="00285215">
      <w:pPr>
        <w:pStyle w:val="ListParagraph"/>
      </w:pPr>
      <w:r>
        <w:t>Área: classificador da área de gestão</w:t>
      </w:r>
    </w:p>
    <w:p w:rsidR="00AC18BC" w:rsidRDefault="00AC18BC" w:rsidP="00285215">
      <w:pPr>
        <w:pStyle w:val="ListParagraph"/>
      </w:pPr>
      <w:r>
        <w:t>Consolidação: rege como o fundo consolidará os fundos investidos. FULL ou PROPORCIONAL (</w:t>
      </w:r>
      <w:r w:rsidRPr="001A3155">
        <w:t>ver</w:t>
      </w:r>
      <w:r w:rsidR="001A3155" w:rsidRPr="001A3155">
        <w:t xml:space="preserve"> </w:t>
      </w:r>
      <w:fldSimple w:instr=" REF _Ref458500874 \r \h  \* MERGEFORMAT ">
        <w:r w:rsidR="001A3155" w:rsidRPr="001A3155">
          <w:t>III-6</w:t>
        </w:r>
      </w:fldSimple>
      <w:r w:rsidRPr="001A3155">
        <w:t>)</w:t>
      </w:r>
    </w:p>
    <w:p w:rsidR="00AC18BC" w:rsidRDefault="00AC18BC" w:rsidP="00285215">
      <w:pPr>
        <w:pStyle w:val="ListParagraph"/>
      </w:pPr>
      <w:r>
        <w:t>Tipo 409: Tipo do fundo perante a CVM</w:t>
      </w:r>
    </w:p>
    <w:p w:rsidR="00AC18BC" w:rsidRDefault="00E61225" w:rsidP="00285215">
      <w:pPr>
        <w:pStyle w:val="ListParagraph"/>
      </w:pPr>
      <w:r>
        <w:lastRenderedPageBreak/>
        <w:t>Tipo: rege como o fundo é tratado na análise de liquidez. Ver Anexo 3 para Tipos de fundo.</w:t>
      </w:r>
    </w:p>
    <w:p w:rsidR="00E61225" w:rsidRDefault="00E61225" w:rsidP="00285215">
      <w:pPr>
        <w:pStyle w:val="ListParagraph"/>
      </w:pPr>
      <w:r>
        <w:t xml:space="preserve">Público alvo: </w:t>
      </w:r>
      <w:r w:rsidR="00285215">
        <w:t>“VAREJO”, “QUALI” ou “PROF” conforme o público-alvo.</w:t>
      </w:r>
    </w:p>
    <w:p w:rsidR="00E61886" w:rsidRDefault="00F153E0" w:rsidP="00285215">
      <w:pPr>
        <w:rPr>
          <w:u w:val="single"/>
        </w:rPr>
      </w:pPr>
      <w:r>
        <w:t>❷</w:t>
      </w:r>
      <w:r w:rsidR="00E61886">
        <w:rPr>
          <w:u w:val="single"/>
        </w:rPr>
        <w:t>Dados de Liquidez:</w:t>
      </w:r>
    </w:p>
    <w:p w:rsidR="00E61886" w:rsidRDefault="00E61886" w:rsidP="00E61886">
      <w:pPr>
        <w:pStyle w:val="ListParagraph"/>
      </w:pPr>
      <w:r w:rsidRPr="00E61886">
        <w:t>ID Liquidez:</w:t>
      </w:r>
      <w:r>
        <w:t xml:space="preserve"> qual o identificador do fundo na planilha de resgates e transferências.</w:t>
      </w:r>
    </w:p>
    <w:p w:rsidR="00E61886" w:rsidRDefault="00E61886" w:rsidP="00E61886">
      <w:pPr>
        <w:pStyle w:val="ListParagraph"/>
      </w:pPr>
      <w:r>
        <w:t>Método de Liquidez: “CFLOW”, “ANBIMA” ou “ADTV” conforme o método de mensurar liquidez da carteira (</w:t>
      </w:r>
      <w:r w:rsidRPr="00C52375">
        <w:t>ver</w:t>
      </w:r>
      <w:r w:rsidR="00C52375" w:rsidRPr="00C52375">
        <w:t xml:space="preserve"> </w:t>
      </w:r>
      <w:fldSimple w:instr=" REF _Ref458783627 \r \h  \* MERGEFORMAT ">
        <w:r w:rsidR="00C52375" w:rsidRPr="00C52375">
          <w:t>VIII-</w:t>
        </w:r>
      </w:fldSimple>
      <w:r w:rsidR="00C52375">
        <w:t>Risco de Liquidez</w:t>
      </w:r>
      <w:r>
        <w:t>)</w:t>
      </w:r>
    </w:p>
    <w:p w:rsidR="00E61886" w:rsidRDefault="00E61886" w:rsidP="00E61886">
      <w:pPr>
        <w:pStyle w:val="ListParagraph"/>
      </w:pPr>
      <w:r>
        <w:t>Concentração: grau de concentração das cotas do fundo</w:t>
      </w:r>
    </w:p>
    <w:p w:rsidR="00E61886" w:rsidRDefault="00E61886" w:rsidP="00E61886">
      <w:pPr>
        <w:pStyle w:val="ListParagraph"/>
      </w:pPr>
      <w:r>
        <w:t>Prazo de resgate: prazo para cotização e pagamento dos resgates</w:t>
      </w:r>
    </w:p>
    <w:p w:rsidR="00E61886" w:rsidRPr="00E61886" w:rsidRDefault="00E61886" w:rsidP="00E61886">
      <w:pPr>
        <w:pStyle w:val="ListParagraph"/>
      </w:pPr>
      <w:r>
        <w:t>Caixa Mandato: percentual de caixa mínimo que a gestão deve manter, para fins de cálculo do caixa disponível (não é usado para enquadramento).</w:t>
      </w:r>
    </w:p>
    <w:p w:rsidR="00285215" w:rsidRPr="00285215" w:rsidRDefault="00F153E0" w:rsidP="00285215">
      <w:pPr>
        <w:rPr>
          <w:u w:val="single"/>
        </w:rPr>
      </w:pPr>
      <w:r>
        <w:t>❸</w:t>
      </w:r>
      <w:r w:rsidR="00285215" w:rsidRPr="00285215">
        <w:rPr>
          <w:u w:val="single"/>
        </w:rPr>
        <w:t>Dados de Favo</w:t>
      </w:r>
      <w:r w:rsidR="00E61886">
        <w:rPr>
          <w:u w:val="single"/>
        </w:rPr>
        <w:t>r</w:t>
      </w:r>
      <w:r w:rsidR="00285215" w:rsidRPr="00285215">
        <w:rPr>
          <w:u w:val="single"/>
        </w:rPr>
        <w:t>itos</w:t>
      </w:r>
      <w:r w:rsidR="00285215">
        <w:rPr>
          <w:u w:val="single"/>
        </w:rPr>
        <w:t>:</w:t>
      </w:r>
    </w:p>
    <w:p w:rsidR="00285215" w:rsidRDefault="00285215" w:rsidP="003E1EE5">
      <w:pPr>
        <w:ind w:left="1440"/>
      </w:pPr>
      <w:r>
        <w:t>Certos relatórios e telas listam apenas fundos “favoritos”. As 3 propriedades a seguir determinam se o fundo é:</w:t>
      </w:r>
    </w:p>
    <w:p w:rsidR="00285215" w:rsidRDefault="00285215" w:rsidP="00285215">
      <w:pPr>
        <w:pStyle w:val="ListParagraph"/>
      </w:pPr>
      <w:r>
        <w:t>Favorito para o reporte de liquidez (“Cash Report”)</w:t>
      </w:r>
    </w:p>
    <w:p w:rsidR="00285215" w:rsidRDefault="00285215" w:rsidP="00285215">
      <w:pPr>
        <w:pStyle w:val="ListParagraph"/>
      </w:pPr>
      <w:r>
        <w:t>Favorito para o reporte de Risco de Mercado</w:t>
      </w:r>
    </w:p>
    <w:p w:rsidR="00285215" w:rsidRDefault="00285215" w:rsidP="00285215">
      <w:pPr>
        <w:pStyle w:val="ListParagraph"/>
      </w:pPr>
      <w:r>
        <w:t>Favorito para o reporte de Risco de Crédito.</w:t>
      </w:r>
    </w:p>
    <w:p w:rsidR="00285215" w:rsidRPr="00285215" w:rsidRDefault="00F153E0" w:rsidP="00285215">
      <w:pPr>
        <w:rPr>
          <w:u w:val="single"/>
        </w:rPr>
      </w:pPr>
      <w:r>
        <w:t>❹</w:t>
      </w:r>
      <w:r w:rsidR="00285215" w:rsidRPr="00285215">
        <w:rPr>
          <w:u w:val="single"/>
        </w:rPr>
        <w:t>Regras de Compliance</w:t>
      </w:r>
      <w:r w:rsidR="00285215">
        <w:rPr>
          <w:u w:val="single"/>
        </w:rPr>
        <w:t>:</w:t>
      </w:r>
    </w:p>
    <w:p w:rsidR="00285215" w:rsidRDefault="00285215" w:rsidP="003E1EE5">
      <w:pPr>
        <w:ind w:left="1440"/>
      </w:pPr>
      <w:r>
        <w:t xml:space="preserve">No quadro à </w:t>
      </w:r>
      <w:r>
        <w:rPr>
          <w:u w:val="single"/>
        </w:rPr>
        <w:t>esquerda</w:t>
      </w:r>
      <w:r>
        <w:t xml:space="preserve"> estão todos os </w:t>
      </w:r>
      <w:r>
        <w:rPr>
          <w:u w:val="single"/>
        </w:rPr>
        <w:t>livros</w:t>
      </w:r>
      <w:r>
        <w:t xml:space="preserve"> de regra disponíveis. O usuário seleciona os livros que o fundo deve obedecer movendo-os para o quadro à direita.</w:t>
      </w:r>
    </w:p>
    <w:p w:rsidR="00285215" w:rsidRPr="00285215" w:rsidRDefault="00F153E0" w:rsidP="00285215">
      <w:pPr>
        <w:rPr>
          <w:u w:val="single"/>
        </w:rPr>
      </w:pPr>
      <w:r>
        <w:t>❺</w:t>
      </w:r>
      <w:r w:rsidR="00285215" w:rsidRPr="00285215">
        <w:rPr>
          <w:u w:val="single"/>
        </w:rPr>
        <w:t>Limites de Risco:</w:t>
      </w:r>
    </w:p>
    <w:p w:rsidR="00285215" w:rsidRDefault="00285215" w:rsidP="003E1EE5">
      <w:pPr>
        <w:ind w:left="1440"/>
      </w:pPr>
      <w:r>
        <w:t>A situação padrão é se nenhuma das duas ‘boxes’ for marcada: o fundo terá limites de risco de mercado e de risco de crédito segundo o seu tipo e público alvo, conforme a política configurada no sistema.</w:t>
      </w:r>
    </w:p>
    <w:p w:rsidR="00285215" w:rsidRDefault="00285215" w:rsidP="003E1EE5">
      <w:pPr>
        <w:ind w:left="1440"/>
      </w:pPr>
      <w:r>
        <w:t>Se a box “Este fundo tem Limites de Risco próprios...” for marcada, o usuário deve preencher os campos abaixo dela  com os limites específicos do fundo.</w:t>
      </w:r>
    </w:p>
    <w:p w:rsidR="00285215" w:rsidRPr="00285215" w:rsidRDefault="00285215" w:rsidP="003E1EE5">
      <w:pPr>
        <w:ind w:left="1440"/>
      </w:pPr>
      <w:r>
        <w:t xml:space="preserve">Se a box “Este fundo tem limites de rating no regulamento” for marcada, o fundo está dispensado de se enquadrar em limites de </w:t>
      </w:r>
      <w:r>
        <w:rPr>
          <w:u w:val="single"/>
        </w:rPr>
        <w:t>risco de crédito</w:t>
      </w:r>
      <w:r>
        <w:t>.</w:t>
      </w:r>
    </w:p>
    <w:p w:rsidR="00285215" w:rsidRPr="00285215" w:rsidRDefault="00285215" w:rsidP="00285215"/>
    <w:p w:rsidR="00DB5D1A" w:rsidRDefault="00DB5D1A" w:rsidP="00497CF1">
      <w:pPr>
        <w:pStyle w:val="Heading2"/>
      </w:pPr>
      <w:bookmarkStart w:id="26" w:name="_Toc475092462"/>
      <w:r>
        <w:lastRenderedPageBreak/>
        <w:t>IMPORTAÇÃO DE CARTEIRAS</w:t>
      </w:r>
      <w:bookmarkEnd w:id="26"/>
    </w:p>
    <w:p w:rsidR="00F77FA9" w:rsidRDefault="00F77FA9" w:rsidP="00F77FA9">
      <w:r>
        <w:t xml:space="preserve">Os dados das posições em carteira são </w:t>
      </w:r>
      <w:r>
        <w:rPr>
          <w:u w:val="single"/>
        </w:rPr>
        <w:t>sempre</w:t>
      </w:r>
      <w:r>
        <w:t xml:space="preserve"> adquiridos via importação. Não existe possibilidade de boletagem.</w:t>
      </w:r>
    </w:p>
    <w:p w:rsidR="00F77FA9" w:rsidRDefault="00F77FA9" w:rsidP="00F77FA9">
      <w:r>
        <w:t>A importação lê arquivos externos, os interpreta e grava os dados na base do SRC para uso posterior.</w:t>
      </w:r>
    </w:p>
    <w:p w:rsidR="00A17A1B" w:rsidRDefault="00A17A1B" w:rsidP="00F77FA9">
      <w:r>
        <w:t>A importação pode ocorrer em três momentos:</w:t>
      </w:r>
    </w:p>
    <w:p w:rsidR="00A17A1B" w:rsidRDefault="00A91B2C" w:rsidP="00A17A1B">
      <w:pPr>
        <w:pStyle w:val="ListParagraph"/>
      </w:pPr>
      <w:r>
        <w:t>Automaticamente n</w:t>
      </w:r>
      <w:r w:rsidR="00A17A1B">
        <w:t>a inicialização do SRC, pré-processamento, se o usuário for um “Importador”.</w:t>
      </w:r>
    </w:p>
    <w:p w:rsidR="00A17A1B" w:rsidRDefault="00A17A1B" w:rsidP="00A17A1B">
      <w:pPr>
        <w:pStyle w:val="ListParagraph"/>
      </w:pPr>
      <w:r>
        <w:t>Se o usuário acionar a opção “re-importar TXT” ou “re-importar XML” do menu “Home”</w:t>
      </w:r>
    </w:p>
    <w:p w:rsidR="00A17A1B" w:rsidRDefault="00A17A1B" w:rsidP="00A17A1B">
      <w:pPr>
        <w:pStyle w:val="ListParagraph"/>
      </w:pPr>
      <w:r>
        <w:t xml:space="preserve">Se o usuário requerer a </w:t>
      </w:r>
      <w:r w:rsidR="008156AE">
        <w:t xml:space="preserve">mudança </w:t>
      </w:r>
      <w:r>
        <w:t>de data do SRC (</w:t>
      </w:r>
      <w:r w:rsidRPr="008156AE">
        <w:t>ver</w:t>
      </w:r>
      <w:r w:rsidR="008156AE" w:rsidRPr="008156AE">
        <w:t xml:space="preserve"> </w:t>
      </w:r>
      <w:fldSimple w:instr=" REF _Ref459020802 \r \h  \* MERGEFORMAT ">
        <w:r w:rsidR="008156AE" w:rsidRPr="008156AE">
          <w:t>XIII-3</w:t>
        </w:r>
      </w:fldSimple>
      <w:r>
        <w:t>) e não existir carteira para a data pedida, o SRC perguntará se deseja tentar importar. Se a importação for bem sucedida, ele troca a data; senão, cancela a troca.</w:t>
      </w:r>
    </w:p>
    <w:p w:rsidR="00F77FA9" w:rsidRDefault="00F77FA9" w:rsidP="00F77FA9">
      <w:r>
        <w:t xml:space="preserve">Há dois </w:t>
      </w:r>
      <w:r w:rsidR="008B6930">
        <w:t>‘layouts’</w:t>
      </w:r>
      <w:r>
        <w:t xml:space="preserve"> de importação de carteiras:</w:t>
      </w:r>
    </w:p>
    <w:p w:rsidR="00F77FA9" w:rsidRDefault="00F77FA9" w:rsidP="00A17A1B">
      <w:pPr>
        <w:pStyle w:val="ListParagraph"/>
      </w:pPr>
      <w:r>
        <w:t xml:space="preserve">TXT: é lido um arquivo .txt no formato de três colunas: fundo – ativo </w:t>
      </w:r>
      <w:r w:rsidR="00B204D9">
        <w:t>–</w:t>
      </w:r>
      <w:r>
        <w:t xml:space="preserve"> </w:t>
      </w:r>
      <w:r w:rsidR="00B204D9">
        <w:t>valor</w:t>
      </w:r>
    </w:p>
    <w:p w:rsidR="00F77FA9" w:rsidRDefault="00F77FA9" w:rsidP="00A17A1B">
      <w:pPr>
        <w:pStyle w:val="ListParagraph"/>
      </w:pPr>
      <w:r>
        <w:t>XML ANBIMA</w:t>
      </w:r>
      <w:r w:rsidR="00B204D9">
        <w:t>: são lidos um ou mais arquivos .xml formato ANBIMA, sejam de carteira ou de lote (várias carteiras no mesmo arquivo).</w:t>
      </w:r>
    </w:p>
    <w:p w:rsidR="00A17A1B" w:rsidRDefault="00A17A1B" w:rsidP="00F77FA9">
      <w:r>
        <w:t xml:space="preserve">As diferença entre os </w:t>
      </w:r>
      <w:r w:rsidR="008B6930">
        <w:t>‘layouts’</w:t>
      </w:r>
      <w:r>
        <w:t xml:space="preserve"> de importação são as seguintes:</w:t>
      </w:r>
    </w:p>
    <w:p w:rsidR="00A17A1B" w:rsidRDefault="00A17A1B" w:rsidP="00F77FA9">
      <w:r>
        <w:rPr>
          <w:u w:val="single"/>
        </w:rPr>
        <w:t>Importação XML ANBIMA</w:t>
      </w:r>
    </w:p>
    <w:p w:rsidR="00A17A1B" w:rsidRDefault="00A17A1B" w:rsidP="00A91B2C">
      <w:pPr>
        <w:ind w:left="1440"/>
      </w:pPr>
      <w:r>
        <w:t xml:space="preserve">É o </w:t>
      </w:r>
      <w:r w:rsidRPr="00A91B2C">
        <w:rPr>
          <w:u w:val="single"/>
        </w:rPr>
        <w:t>padrão</w:t>
      </w:r>
      <w:r>
        <w:t xml:space="preserve"> do </w:t>
      </w:r>
      <w:r w:rsidR="00A91B2C">
        <w:t>SRC</w:t>
      </w:r>
      <w:r>
        <w:t>. Toda importação durante a inicialização é feita no padrão XML.</w:t>
      </w:r>
    </w:p>
    <w:p w:rsidR="00A17A1B" w:rsidRDefault="00B204D9" w:rsidP="00A91B2C">
      <w:pPr>
        <w:ind w:left="1440"/>
      </w:pPr>
      <w:r>
        <w:t xml:space="preserve">A importação de uma carteira XML sobrescreve a importação anterior da </w:t>
      </w:r>
      <w:r w:rsidRPr="00A91B2C">
        <w:rPr>
          <w:u w:val="single"/>
        </w:rPr>
        <w:t>m</w:t>
      </w:r>
      <w:r w:rsidR="00A17A1B" w:rsidRPr="00A91B2C">
        <w:rPr>
          <w:u w:val="single"/>
        </w:rPr>
        <w:t>esma</w:t>
      </w:r>
      <w:r w:rsidR="00A17A1B">
        <w:t xml:space="preserve"> carteira </w:t>
      </w:r>
      <w:r w:rsidR="00971838">
        <w:t xml:space="preserve">na </w:t>
      </w:r>
      <w:r w:rsidR="00971838" w:rsidRPr="00971838">
        <w:rPr>
          <w:u w:val="single"/>
        </w:rPr>
        <w:t>mesma</w:t>
      </w:r>
      <w:r w:rsidR="00971838">
        <w:t xml:space="preserve"> </w:t>
      </w:r>
      <w:r w:rsidR="00A17A1B" w:rsidRPr="00971838">
        <w:t>data</w:t>
      </w:r>
      <w:r w:rsidR="00A17A1B">
        <w:t xml:space="preserve">, mas não afeta </w:t>
      </w:r>
      <w:r w:rsidR="00A17A1B" w:rsidRPr="00971838">
        <w:rPr>
          <w:u w:val="single"/>
        </w:rPr>
        <w:t>outras</w:t>
      </w:r>
      <w:r w:rsidR="00A17A1B">
        <w:t xml:space="preserve"> carteiras que porventura </w:t>
      </w:r>
      <w:r w:rsidR="00A91B2C">
        <w:t xml:space="preserve">já </w:t>
      </w:r>
      <w:r w:rsidR="00A17A1B">
        <w:t xml:space="preserve">existam </w:t>
      </w:r>
      <w:r w:rsidR="00A91B2C">
        <w:t>para a</w:t>
      </w:r>
      <w:r w:rsidR="00A17A1B">
        <w:t xml:space="preserve"> </w:t>
      </w:r>
      <w:r w:rsidR="00A17A1B" w:rsidRPr="00971838">
        <w:rPr>
          <w:u w:val="single"/>
        </w:rPr>
        <w:t>mesma</w:t>
      </w:r>
      <w:r w:rsidR="00A17A1B">
        <w:t xml:space="preserve"> data.</w:t>
      </w:r>
    </w:p>
    <w:p w:rsidR="00B204D9" w:rsidRDefault="00B204D9" w:rsidP="00A91B2C">
      <w:pPr>
        <w:ind w:left="1440"/>
      </w:pPr>
      <w:r>
        <w:t xml:space="preserve">Vários arquivos XML podem ser importados </w:t>
      </w:r>
      <w:r w:rsidR="00A91B2C">
        <w:t>para a</w:t>
      </w:r>
      <w:r>
        <w:t xml:space="preserve"> mesma data: as carteiras existentes em mais de um </w:t>
      </w:r>
      <w:r w:rsidR="008B6930">
        <w:t xml:space="preserve">arquivo </w:t>
      </w:r>
      <w:r>
        <w:t>serão sobrescritas e as novas serão adicionadas.</w:t>
      </w:r>
      <w:r w:rsidR="00A17A1B">
        <w:t xml:space="preserve"> O SRC importará todos os arquivos XML que forem colocados sob a pasta padrão segundo esse critério.</w:t>
      </w:r>
    </w:p>
    <w:p w:rsidR="00A17A1B" w:rsidRDefault="00A91B2C" w:rsidP="00A91B2C">
      <w:pPr>
        <w:ind w:left="1440"/>
      </w:pPr>
      <w:r>
        <w:t xml:space="preserve">Se </w:t>
      </w:r>
      <w:r w:rsidR="00A17A1B">
        <w:t>a importação XML</w:t>
      </w:r>
      <w:r>
        <w:t xml:space="preserve"> detectar</w:t>
      </w:r>
      <w:r w:rsidR="00A17A1B">
        <w:t xml:space="preserve"> uma posição sobre um ativo não cadastrado, </w:t>
      </w:r>
      <w:r>
        <w:t xml:space="preserve">ela </w:t>
      </w:r>
      <w:r w:rsidR="00A17A1B">
        <w:t>gerará um cadastro automá</w:t>
      </w:r>
      <w:r>
        <w:t>tico e provisório do novo ativo, aproveitando o máximo de informações que existirem no XML ANBIMA (</w:t>
      </w:r>
      <w:r w:rsidRPr="00362736">
        <w:t>ver</w:t>
      </w:r>
      <w:r w:rsidR="00362736" w:rsidRPr="00362736">
        <w:t xml:space="preserve"> </w:t>
      </w:r>
      <w:fldSimple w:instr=" REF _Ref458500983 \r \h  \* MERGEFORMAT ">
        <w:r w:rsidR="00362736" w:rsidRPr="00362736">
          <w:t>IV-4</w:t>
        </w:r>
      </w:fldSimple>
      <w:r>
        <w:t xml:space="preserve">). </w:t>
      </w:r>
    </w:p>
    <w:p w:rsidR="00A17A1B" w:rsidRPr="00A17A1B" w:rsidRDefault="00A17A1B" w:rsidP="00F77FA9">
      <w:pPr>
        <w:rPr>
          <w:u w:val="single"/>
        </w:rPr>
      </w:pPr>
      <w:r>
        <w:rPr>
          <w:u w:val="single"/>
        </w:rPr>
        <w:t>Importação TXT</w:t>
      </w:r>
    </w:p>
    <w:p w:rsidR="00A91B2C" w:rsidRDefault="00A91B2C" w:rsidP="00A91B2C">
      <w:pPr>
        <w:ind w:left="1440"/>
      </w:pPr>
      <w:r>
        <w:lastRenderedPageBreak/>
        <w:t xml:space="preserve">A importação TXT não é o padrão do SRC. Ela </w:t>
      </w:r>
      <w:r w:rsidR="009022CE">
        <w:t xml:space="preserve">só </w:t>
      </w:r>
      <w:r>
        <w:t xml:space="preserve">pode ser </w:t>
      </w:r>
      <w:r w:rsidRPr="00971838">
        <w:rPr>
          <w:u w:val="single"/>
        </w:rPr>
        <w:t>acionada pelo usuário</w:t>
      </w:r>
      <w:r>
        <w:t>, na opção “re-importar TXT” ou na escolha de “Tentar Importar TXT” quando o sistema notifica falta de carteira para uma nova data.</w:t>
      </w:r>
    </w:p>
    <w:p w:rsidR="00B204D9" w:rsidRDefault="00B204D9" w:rsidP="00A91B2C">
      <w:pPr>
        <w:ind w:left="1440"/>
      </w:pPr>
      <w:r>
        <w:t>A importação de uma carteira TXT apaga os dados anteriores das carteiras para a mesma data. Apenas um arquivo TXT pode ser importado para cada data.</w:t>
      </w:r>
    </w:p>
    <w:p w:rsidR="00A17A1B" w:rsidRDefault="00A17A1B" w:rsidP="00F77FA9">
      <w:r>
        <w:t>Os arquivos .txt ou .xml têm que estar colocados em certas pastas antes da importação. Os endereços das pastas são definidos na configuração do SRC.</w:t>
      </w:r>
    </w:p>
    <w:p w:rsidR="00D72306" w:rsidRDefault="00D72306" w:rsidP="00497CF1">
      <w:pPr>
        <w:pStyle w:val="Heading2"/>
      </w:pPr>
      <w:bookmarkStart w:id="27" w:name="_Ref458500929"/>
      <w:bookmarkStart w:id="28" w:name="_Toc475092463"/>
      <w:r>
        <w:t>INVESTIMENTOS CRUZADOS</w:t>
      </w:r>
      <w:bookmarkEnd w:id="27"/>
      <w:bookmarkEnd w:id="28"/>
    </w:p>
    <w:p w:rsidR="00D72306" w:rsidRDefault="00D72306" w:rsidP="00B204D9">
      <w:r>
        <w:t>O SRC permite representar fundos que investem em outros fundos cadastrados no sistema.</w:t>
      </w:r>
    </w:p>
    <w:p w:rsidR="00D72306" w:rsidRDefault="00D72306" w:rsidP="00B204D9">
      <w:r>
        <w:t xml:space="preserve">Caso um fundo invista em um ou mais outros fundos cadastrados, será possível </w:t>
      </w:r>
      <w:r>
        <w:rPr>
          <w:u w:val="single"/>
        </w:rPr>
        <w:t>abrir a carteira</w:t>
      </w:r>
      <w:r>
        <w:t xml:space="preserve"> do fundo investidor, </w:t>
      </w:r>
      <w:r>
        <w:rPr>
          <w:u w:val="single"/>
        </w:rPr>
        <w:t>consolidando</w:t>
      </w:r>
      <w:r>
        <w:t xml:space="preserve"> a carteira dos fundos investidos para fins de apresentação, conc</w:t>
      </w:r>
      <w:r w:rsidR="009022CE">
        <w:t>entração, risco e enquadramento</w:t>
      </w:r>
      <w:r w:rsidR="00313D9E">
        <w:t>.</w:t>
      </w:r>
    </w:p>
    <w:p w:rsidR="00D72306" w:rsidRDefault="00D72306" w:rsidP="00B204D9">
      <w:r>
        <w:t>Para que o SRC reconheça que um título em carteira é um investimento em outro fundo, é preciso que:</w:t>
      </w:r>
    </w:p>
    <w:p w:rsidR="00D72306" w:rsidRDefault="00D72306" w:rsidP="00D72306">
      <w:pPr>
        <w:pStyle w:val="ListParagraph"/>
        <w:numPr>
          <w:ilvl w:val="0"/>
          <w:numId w:val="5"/>
        </w:numPr>
      </w:pPr>
      <w:r>
        <w:t xml:space="preserve">No cadastro de </w:t>
      </w:r>
      <w:r w:rsidRPr="00D72306">
        <w:rPr>
          <w:u w:val="single"/>
        </w:rPr>
        <w:t>títulos</w:t>
      </w:r>
      <w:r>
        <w:t>, o título seja marcado como sendo um fundo (</w:t>
      </w:r>
      <w:r w:rsidRPr="00400057">
        <w:t>ver</w:t>
      </w:r>
      <w:r w:rsidR="00400057" w:rsidRPr="00400057">
        <w:t xml:space="preserve"> </w:t>
      </w:r>
      <w:fldSimple w:instr=" REF _Ref459034957 \r \h  \* MERGEFORMAT ">
        <w:r w:rsidR="00400057" w:rsidRPr="00400057">
          <w:t>IV-5</w:t>
        </w:r>
      </w:fldSimple>
      <w:r>
        <w:t>); e</w:t>
      </w:r>
    </w:p>
    <w:p w:rsidR="00D72306" w:rsidRDefault="00D72306" w:rsidP="00D72306">
      <w:pPr>
        <w:pStyle w:val="ListParagraph"/>
        <w:numPr>
          <w:ilvl w:val="0"/>
          <w:numId w:val="5"/>
        </w:numPr>
      </w:pPr>
      <w:r>
        <w:t xml:space="preserve">No cadastro de </w:t>
      </w:r>
      <w:r w:rsidRPr="00D72306">
        <w:rPr>
          <w:u w:val="single"/>
        </w:rPr>
        <w:t>fundos</w:t>
      </w:r>
      <w:r>
        <w:t>, o campo “ID Título” seja preenchido com o seu identificador no cadastro de títulos.</w:t>
      </w:r>
    </w:p>
    <w:p w:rsidR="00D72306" w:rsidRDefault="00D72306" w:rsidP="00D72306">
      <w:r>
        <w:t>Os investimentos cruzados podem ser visualizados em Menu de Fundos</w:t>
      </w:r>
      <w:r>
        <w:sym w:font="Wingdings" w:char="F0E0"/>
      </w:r>
      <w:r>
        <w:t>Cross-Hldngs</w:t>
      </w:r>
      <w:r w:rsidR="00946973">
        <w:t>.</w:t>
      </w:r>
    </w:p>
    <w:p w:rsidR="00946973" w:rsidRDefault="00946973" w:rsidP="00946973">
      <w:pPr>
        <w:pStyle w:val="ListParagraph"/>
        <w:numPr>
          <w:ilvl w:val="0"/>
          <w:numId w:val="6"/>
        </w:numPr>
      </w:pPr>
      <w:r>
        <w:t xml:space="preserve">Os fundos </w:t>
      </w:r>
      <w:r w:rsidRPr="00946973">
        <w:rPr>
          <w:u w:val="single"/>
        </w:rPr>
        <w:t>investidores</w:t>
      </w:r>
      <w:r>
        <w:t xml:space="preserve"> estão nas linhas.</w:t>
      </w:r>
    </w:p>
    <w:p w:rsidR="00946973" w:rsidRPr="00946973" w:rsidRDefault="00946973" w:rsidP="00946973">
      <w:pPr>
        <w:pStyle w:val="ListParagraph"/>
        <w:numPr>
          <w:ilvl w:val="0"/>
          <w:numId w:val="6"/>
        </w:numPr>
      </w:pPr>
      <w:r>
        <w:t xml:space="preserve">Os fundos </w:t>
      </w:r>
      <w:r w:rsidRPr="00946973">
        <w:rPr>
          <w:u w:val="single"/>
        </w:rPr>
        <w:t>investidos</w:t>
      </w:r>
      <w:r>
        <w:t xml:space="preserve"> estão nas colunas.</w:t>
      </w:r>
    </w:p>
    <w:p w:rsidR="00946973" w:rsidRDefault="00946973" w:rsidP="00946973">
      <w:pPr>
        <w:ind w:left="0"/>
      </w:pPr>
      <w:r>
        <w:rPr>
          <w:noProof/>
          <w:lang w:eastAsia="pt-BR"/>
        </w:rPr>
        <w:lastRenderedPageBreak/>
        <w:drawing>
          <wp:inline distT="0" distB="0" distL="0" distR="0">
            <wp:extent cx="6858000" cy="432534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2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973" w:rsidRDefault="00946973" w:rsidP="00946973">
      <w:r w:rsidRPr="00946973">
        <w:t xml:space="preserve">O drop-down superior determina se </w:t>
      </w:r>
      <w:r>
        <w:t>o número apresentado é:</w:t>
      </w:r>
    </w:p>
    <w:p w:rsidR="00946973" w:rsidRDefault="00946973" w:rsidP="00946973">
      <w:pPr>
        <w:pStyle w:val="ListParagraph"/>
        <w:numPr>
          <w:ilvl w:val="0"/>
          <w:numId w:val="7"/>
        </w:numPr>
      </w:pPr>
      <w:r>
        <w:t>O valor em milhões de R$ do investimento cruzado</w:t>
      </w:r>
    </w:p>
    <w:p w:rsidR="00946973" w:rsidRDefault="00946973" w:rsidP="00946973">
      <w:pPr>
        <w:pStyle w:val="ListParagraph"/>
        <w:numPr>
          <w:ilvl w:val="0"/>
          <w:numId w:val="7"/>
        </w:numPr>
      </w:pPr>
      <w:r>
        <w:t>O percentual do PL do fundo investidor</w:t>
      </w:r>
    </w:p>
    <w:p w:rsidR="00946973" w:rsidRDefault="00946973" w:rsidP="00946973">
      <w:pPr>
        <w:pStyle w:val="ListParagraph"/>
        <w:numPr>
          <w:ilvl w:val="0"/>
          <w:numId w:val="7"/>
        </w:numPr>
      </w:pPr>
      <w:r>
        <w:t>O percentual do PL do fundo investido</w:t>
      </w:r>
    </w:p>
    <w:p w:rsidR="00DB5D1A" w:rsidRDefault="00D72306" w:rsidP="00497CF1">
      <w:pPr>
        <w:pStyle w:val="Heading2"/>
      </w:pPr>
      <w:bookmarkStart w:id="29" w:name="_Ref458500874"/>
      <w:bookmarkStart w:id="30" w:name="_Toc475092464"/>
      <w:r>
        <w:t>CONSOLIDAÇÃO DE CARTEIRAS</w:t>
      </w:r>
      <w:bookmarkEnd w:id="29"/>
      <w:bookmarkEnd w:id="30"/>
    </w:p>
    <w:p w:rsidR="00946973" w:rsidRDefault="00946973" w:rsidP="00B204D9">
      <w:r>
        <w:t xml:space="preserve">Havendo fundos que investem em outros fundos cadastrados, o SRC poderá </w:t>
      </w:r>
      <w:r>
        <w:rPr>
          <w:u w:val="single"/>
        </w:rPr>
        <w:t>abrir a carteira</w:t>
      </w:r>
      <w:r>
        <w:t xml:space="preserve"> do fundo investido e </w:t>
      </w:r>
      <w:r>
        <w:rPr>
          <w:u w:val="single"/>
        </w:rPr>
        <w:t>consolidá-la</w:t>
      </w:r>
      <w:r>
        <w:t xml:space="preserve"> na carteira do fundo investidor.</w:t>
      </w:r>
    </w:p>
    <w:p w:rsidR="00313D9E" w:rsidRDefault="00313D9E" w:rsidP="00B204D9">
      <w:r>
        <w:t>O uso de carteiras consolidadas é regido pelo seguinte:</w:t>
      </w:r>
    </w:p>
    <w:p w:rsidR="00313D9E" w:rsidRDefault="00313D9E" w:rsidP="00CA6E5C">
      <w:pPr>
        <w:pStyle w:val="ListParagraph"/>
        <w:numPr>
          <w:ilvl w:val="0"/>
          <w:numId w:val="12"/>
        </w:numPr>
      </w:pPr>
      <w:r>
        <w:t>A exibição da carteira será feita tanto na forma “fechada” como da forma “consolidada”, nas respectivas abas da Tela de Carteira (</w:t>
      </w:r>
      <w:r w:rsidRPr="009022CE">
        <w:t>ver</w:t>
      </w:r>
      <w:r>
        <w:t xml:space="preserve"> </w:t>
      </w:r>
      <w:r w:rsidR="000B1A93">
        <w:rPr>
          <w:highlight w:val="yellow"/>
        </w:rPr>
        <w:fldChar w:fldCharType="begin"/>
      </w:r>
      <w:r>
        <w:instrText xml:space="preserve"> REF _Ref458520772 \r \h </w:instrText>
      </w:r>
      <w:r w:rsidR="000B1A93">
        <w:rPr>
          <w:highlight w:val="yellow"/>
        </w:rPr>
      </w:r>
      <w:r w:rsidR="000B1A93">
        <w:rPr>
          <w:highlight w:val="yellow"/>
        </w:rPr>
        <w:fldChar w:fldCharType="separate"/>
      </w:r>
      <w:r>
        <w:t>III-2</w:t>
      </w:r>
      <w:r w:rsidR="000B1A93">
        <w:rPr>
          <w:highlight w:val="yellow"/>
        </w:rPr>
        <w:fldChar w:fldCharType="end"/>
      </w:r>
      <w:r>
        <w:t>);</w:t>
      </w:r>
    </w:p>
    <w:p w:rsidR="00313D9E" w:rsidRDefault="00313D9E" w:rsidP="00CA6E5C">
      <w:pPr>
        <w:pStyle w:val="ListParagraph"/>
        <w:numPr>
          <w:ilvl w:val="0"/>
          <w:numId w:val="12"/>
        </w:numPr>
      </w:pPr>
      <w:r>
        <w:lastRenderedPageBreak/>
        <w:t xml:space="preserve">Os riscos de mercado e de crédito serão </w:t>
      </w:r>
      <w:r w:rsidRPr="009022CE">
        <w:rPr>
          <w:u w:val="single"/>
        </w:rPr>
        <w:t>sempre</w:t>
      </w:r>
      <w:r>
        <w:t xml:space="preserve"> mensurados sobre a carteira “consolidada”;</w:t>
      </w:r>
    </w:p>
    <w:p w:rsidR="00313D9E" w:rsidRPr="009022CE" w:rsidRDefault="00313D9E" w:rsidP="00CA6E5C">
      <w:pPr>
        <w:pStyle w:val="ListParagraph"/>
        <w:numPr>
          <w:ilvl w:val="0"/>
          <w:numId w:val="12"/>
        </w:numPr>
      </w:pPr>
      <w:r>
        <w:t xml:space="preserve">As regras de compliance permitem ao usuário </w:t>
      </w:r>
      <w:r w:rsidRPr="00313D9E">
        <w:rPr>
          <w:u w:val="single"/>
        </w:rPr>
        <w:t>optar</w:t>
      </w:r>
      <w:r>
        <w:t xml:space="preserve"> se o alvo de cada regra é a carteira “fechada” ou a “consolidada”.</w:t>
      </w:r>
    </w:p>
    <w:p w:rsidR="00946973" w:rsidRDefault="00946973" w:rsidP="00B204D9">
      <w:r>
        <w:t>O método de consolidação é controlado pelo campo “</w:t>
      </w:r>
      <w:r w:rsidRPr="00946973">
        <w:rPr>
          <w:u w:val="single"/>
        </w:rPr>
        <w:t>Consolidação</w:t>
      </w:r>
      <w:r>
        <w:t>” do cadastro de fundos e pode ser:</w:t>
      </w:r>
    </w:p>
    <w:p w:rsidR="00946973" w:rsidRDefault="00946973" w:rsidP="00946973">
      <w:pPr>
        <w:pStyle w:val="ListParagraph"/>
        <w:numPr>
          <w:ilvl w:val="0"/>
          <w:numId w:val="8"/>
        </w:numPr>
      </w:pPr>
      <w:r>
        <w:t>Proporcional: cada título investido é pro-rateado na proporção do fundo investidor no PL do investido.</w:t>
      </w:r>
    </w:p>
    <w:p w:rsidR="00946973" w:rsidRDefault="00946973" w:rsidP="00946973">
      <w:pPr>
        <w:pStyle w:val="ListParagraph"/>
        <w:numPr>
          <w:ilvl w:val="0"/>
          <w:numId w:val="8"/>
        </w:numPr>
      </w:pPr>
      <w:r>
        <w:t>Full: 100% das posições investidas são somadas ao consolidado.</w:t>
      </w:r>
    </w:p>
    <w:p w:rsidR="00946973" w:rsidRPr="00946973" w:rsidRDefault="00946973" w:rsidP="00B204D9">
      <w:r>
        <w:t>A consolidação Fulll só deve ser usada para representar coleções de fundos, pois não tem fundamento de investimento.</w:t>
      </w:r>
    </w:p>
    <w:p w:rsidR="00D72306" w:rsidRDefault="00D72306" w:rsidP="00B204D9"/>
    <w:p w:rsidR="00223C8B" w:rsidRPr="001D301F" w:rsidRDefault="000A50AF" w:rsidP="004C78B5">
      <w:pPr>
        <w:pStyle w:val="Heading1"/>
      </w:pPr>
      <w:bookmarkStart w:id="31" w:name="_Toc475092465"/>
      <w:r w:rsidRPr="001D301F">
        <w:lastRenderedPageBreak/>
        <w:t>CADASTRO DE TÍTULOS</w:t>
      </w:r>
      <w:bookmarkEnd w:id="31"/>
    </w:p>
    <w:p w:rsidR="00782E03" w:rsidRDefault="00782E03" w:rsidP="00497CF1">
      <w:pPr>
        <w:pStyle w:val="Heading2"/>
      </w:pPr>
      <w:bookmarkStart w:id="32" w:name="_Toc475092466"/>
      <w:r>
        <w:t>MANUTENÇÃO DO CADASTRO</w:t>
      </w:r>
      <w:bookmarkEnd w:id="32"/>
    </w:p>
    <w:p w:rsidR="00782E03" w:rsidRDefault="00782E03" w:rsidP="00C676D2">
      <w:r>
        <w:t xml:space="preserve">O SRC </w:t>
      </w:r>
      <w:r w:rsidR="002A0683">
        <w:t>se baseia em</w:t>
      </w:r>
      <w:r>
        <w:t xml:space="preserve"> um </w:t>
      </w:r>
      <w:r>
        <w:rPr>
          <w:u w:val="single"/>
        </w:rPr>
        <w:t>cadastro de títulos</w:t>
      </w:r>
      <w:r>
        <w:t xml:space="preserve"> que deve ser mantido pelo usuário.</w:t>
      </w:r>
    </w:p>
    <w:p w:rsidR="00560E75" w:rsidRDefault="00560E75" w:rsidP="00560E75">
      <w:r>
        <w:t>Todos os títulos em carteira têm que estar cadastrados. Exemplos de títulos são: debêntures, ações, CDBs, quotas de fundos, futuros, etc.</w:t>
      </w:r>
    </w:p>
    <w:p w:rsidR="00560E75" w:rsidRDefault="00560E75" w:rsidP="00560E75">
      <w:r>
        <w:t>Para o correto funcionamento do sistema, os dados cadastrados têm que estar completos, corretos e atualizados.</w:t>
      </w:r>
    </w:p>
    <w:p w:rsidR="00E61225" w:rsidRPr="00E61225" w:rsidRDefault="00E61225" w:rsidP="00C676D2">
      <w:r>
        <w:t xml:space="preserve">Os dados cadastrais dos títulos </w:t>
      </w:r>
      <w:r>
        <w:rPr>
          <w:u w:val="single"/>
        </w:rPr>
        <w:t>não</w:t>
      </w:r>
      <w:r>
        <w:t xml:space="preserve"> são importados </w:t>
      </w:r>
      <w:r w:rsidR="00560E75">
        <w:t xml:space="preserve">automaticamente </w:t>
      </w:r>
      <w:r>
        <w:t>de fontes externas, a não ser no caso especial de cadastramento automático durante a importação de carteira (</w:t>
      </w:r>
      <w:r w:rsidRPr="0028096A">
        <w:t>ver</w:t>
      </w:r>
      <w:r w:rsidR="0028096A" w:rsidRPr="0028096A">
        <w:t xml:space="preserve"> </w:t>
      </w:r>
      <w:fldSimple w:instr=" REF _Ref458500983 \r \h  \* MERGEFORMAT ">
        <w:r w:rsidR="0028096A" w:rsidRPr="0028096A">
          <w:t>IV-4</w:t>
        </w:r>
      </w:fldSimple>
      <w:r>
        <w:t xml:space="preserve">), que </w:t>
      </w:r>
      <w:r>
        <w:rPr>
          <w:u w:val="single"/>
        </w:rPr>
        <w:t>não</w:t>
      </w:r>
      <w:r>
        <w:t xml:space="preserve"> substitui a validação ou </w:t>
      </w:r>
      <w:r w:rsidR="00560E75">
        <w:t xml:space="preserve">retificação </w:t>
      </w:r>
      <w:r>
        <w:t>do cadastro pelo usuário.</w:t>
      </w:r>
    </w:p>
    <w:p w:rsidR="002A0683" w:rsidRDefault="00801FC9" w:rsidP="00C676D2">
      <w:r>
        <w:t>O cadastro de cada título contém dados de três naturezas:</w:t>
      </w:r>
    </w:p>
    <w:p w:rsidR="00801FC9" w:rsidRDefault="00801FC9" w:rsidP="00E61225">
      <w:pPr>
        <w:pStyle w:val="ListParagraph"/>
      </w:pPr>
      <w:r w:rsidRPr="00801FC9">
        <w:rPr>
          <w:u w:val="single"/>
        </w:rPr>
        <w:t>Propriedades Financeiras</w:t>
      </w:r>
      <w:r>
        <w:t>: dados padronizados que identificam o título e determinam o resultado de cálculos financeiros como rentabilidade, prazo, ‘duration’, risco de mercado, etc. Exemplo: identificador, ISIN, data de vencimento, indexador, etc,</w:t>
      </w:r>
    </w:p>
    <w:p w:rsidR="00801FC9" w:rsidRDefault="00801FC9" w:rsidP="00E61225">
      <w:pPr>
        <w:pStyle w:val="ListParagraph"/>
      </w:pPr>
      <w:r w:rsidRPr="00801FC9">
        <w:rPr>
          <w:u w:val="single"/>
        </w:rPr>
        <w:t>Propriedades Descritivas</w:t>
      </w:r>
      <w:r>
        <w:t>: dados não padronizados que descrevem as características do título para fins de concentração e enquadramento de carteira. Ex: rating, agência de rating, emissor, setor, valor da emissão, etc.</w:t>
      </w:r>
    </w:p>
    <w:p w:rsidR="00EB2D64" w:rsidRDefault="00EB2D64" w:rsidP="00E61225">
      <w:pPr>
        <w:pStyle w:val="ListParagraph"/>
        <w:numPr>
          <w:ilvl w:val="0"/>
          <w:numId w:val="0"/>
        </w:numPr>
        <w:ind w:left="2160"/>
      </w:pPr>
      <w:r>
        <w:t xml:space="preserve">Por serem ‘não padronizadas’, as propriedades descritivas são definidas pelo usuário, que pode criar propriedades novas que sejam necessárias </w:t>
      </w:r>
      <w:r w:rsidR="006A1E8F">
        <w:t>para novas regras de compliance.</w:t>
      </w:r>
    </w:p>
    <w:p w:rsidR="00801FC9" w:rsidRDefault="00801FC9" w:rsidP="00E61225">
      <w:pPr>
        <w:pStyle w:val="ListParagraph"/>
      </w:pPr>
      <w:r>
        <w:t xml:space="preserve">- </w:t>
      </w:r>
      <w:r w:rsidRPr="00801FC9">
        <w:rPr>
          <w:u w:val="single"/>
        </w:rPr>
        <w:t>Dados de Fluxo de Caixa</w:t>
      </w:r>
      <w:r>
        <w:t>: cronograma de pagamento de juros e amortização de principal.</w:t>
      </w:r>
    </w:p>
    <w:p w:rsidR="00A905EA" w:rsidRDefault="00A905EA" w:rsidP="00497CF1">
      <w:pPr>
        <w:pStyle w:val="Heading2"/>
      </w:pPr>
      <w:bookmarkStart w:id="33" w:name="_Toc475092467"/>
      <w:r>
        <w:t>VISUALIZAÇÃO DO CADASTRO</w:t>
      </w:r>
      <w:bookmarkEnd w:id="33"/>
    </w:p>
    <w:p w:rsidR="00A905EA" w:rsidRDefault="00A905EA" w:rsidP="00A905EA">
      <w:r>
        <w:t xml:space="preserve">Teclando F5 ou </w:t>
      </w:r>
      <w:r w:rsidR="006C5987">
        <w:t>escolhendo Menu Principal</w:t>
      </w:r>
      <w:r w:rsidR="006C5987">
        <w:sym w:font="Wingdings" w:char="F0E0"/>
      </w:r>
      <w:r>
        <w:t xml:space="preserve"> Títulos</w:t>
      </w:r>
      <w:r>
        <w:sym w:font="Wingdings" w:char="F0E0"/>
      </w:r>
      <w:r>
        <w:t>Cadastro de Títulos exibe o Cadastro de Títulos.</w:t>
      </w:r>
    </w:p>
    <w:p w:rsidR="00A905EA" w:rsidRDefault="000B1A93" w:rsidP="00A905EA">
      <w:pPr>
        <w:ind w:left="274"/>
      </w:pPr>
      <w:r>
        <w:rPr>
          <w:noProof/>
          <w:lang w:eastAsia="pt-BR"/>
        </w:rPr>
        <w:lastRenderedPageBreak/>
        <w:pict>
          <v:shape id="_x0000_s1059" type="#_x0000_t202" style="position:absolute;left:0;text-align:left;margin-left:358.5pt;margin-top:13.85pt;width:31.5pt;height:19.5pt;z-index:251685888" filled="f" stroked="f">
            <v:textbox>
              <w:txbxContent>
                <w:p w:rsidR="003C1A56" w:rsidRPr="00A905EA" w:rsidRDefault="003C1A56" w:rsidP="00A905EA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❺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rect id="_x0000_s1054" style="position:absolute;left:0;text-align:left;margin-left:323.25pt;margin-top:16.85pt;width:58.5pt;height:12pt;z-index:251680768" filled="f" strokecolor="red" strokeweight="1.5pt"/>
        </w:pict>
      </w:r>
      <w:r>
        <w:rPr>
          <w:noProof/>
          <w:lang w:eastAsia="pt-BR"/>
        </w:rPr>
        <w:pict>
          <v:shape id="_x0000_s1058" type="#_x0000_t202" style="position:absolute;left:0;text-align:left;margin-left:246pt;margin-top:14.6pt;width:31.5pt;height:19.5pt;z-index:251684864" filled="f" stroked="f">
            <v:textbox>
              <w:txbxContent>
                <w:p w:rsidR="003C1A56" w:rsidRPr="00A905EA" w:rsidRDefault="003C1A56" w:rsidP="00A905EA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❹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57" type="#_x0000_t202" style="position:absolute;left:0;text-align:left;margin-left:182.25pt;margin-top:14.6pt;width:31.5pt;height:19.5pt;z-index:251683840" filled="f" stroked="f">
            <v:textbox>
              <w:txbxContent>
                <w:p w:rsidR="003C1A56" w:rsidRPr="00A905EA" w:rsidRDefault="003C1A56" w:rsidP="00A905EA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❸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rect id="_x0000_s1051" style="position:absolute;left:0;text-align:left;margin-left:13.5pt;margin-top:29.6pt;width:17.25pt;height:154.5pt;z-index:251677696" filled="f" strokecolor="red" strokeweight="1.5pt"/>
        </w:pict>
      </w:r>
      <w:r>
        <w:rPr>
          <w:noProof/>
          <w:lang w:eastAsia="pt-BR"/>
        </w:rPr>
        <w:pict>
          <v:shape id="_x0000_s1056" type="#_x0000_t202" style="position:absolute;left:0;text-align:left;margin-left:7.5pt;margin-top:160.85pt;width:31.5pt;height:19.5pt;z-index:251682816" filled="f" stroked="f">
            <v:textbox>
              <w:txbxContent>
                <w:p w:rsidR="003C1A56" w:rsidRPr="00A905EA" w:rsidRDefault="003C1A56" w:rsidP="00A905EA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❷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55" type="#_x0000_t202" style="position:absolute;left:0;text-align:left;margin-left:516pt;margin-top:35.5pt;width:31.5pt;height:19.5pt;z-index:251681792" filled="f" stroked="f">
            <v:textbox>
              <w:txbxContent>
                <w:p w:rsidR="003C1A56" w:rsidRPr="00431641" w:rsidRDefault="003C1A56" w:rsidP="00A905EA">
                  <w:pPr>
                    <w:ind w:left="0"/>
                    <w:rPr>
                      <w:b/>
                      <w:color w:val="FF0000"/>
                    </w:rPr>
                  </w:pPr>
                  <w:r w:rsidRPr="00431641">
                    <w:rPr>
                      <w:b/>
                      <w:color w:val="FF0000"/>
                    </w:rPr>
                    <w:t>❶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rect id="_x0000_s1053" style="position:absolute;left:0;text-align:left;margin-left:213pt;margin-top:16.85pt;width:107.25pt;height:13.5pt;z-index:251679744" filled="f" strokecolor="red" strokeweight="1.5pt"/>
        </w:pict>
      </w:r>
      <w:r>
        <w:rPr>
          <w:noProof/>
          <w:lang w:eastAsia="pt-BR"/>
        </w:rPr>
        <w:pict>
          <v:rect id="_x0000_s1052" style="position:absolute;left:0;text-align:left;margin-left:30.75pt;margin-top:30.35pt;width:516.75pt;height:372.75pt;z-index:251678720" filled="f" strokecolor="red" strokeweight="1.5pt"/>
        </w:pict>
      </w:r>
      <w:r>
        <w:rPr>
          <w:noProof/>
          <w:lang w:eastAsia="pt-BR"/>
        </w:rPr>
        <w:pict>
          <v:rect id="_x0000_s1050" style="position:absolute;left:0;text-align:left;margin-left:27pt;margin-top:17.6pt;width:180pt;height:12.75pt;z-index:251676672" filled="f" strokecolor="red" strokeweight="1.5pt"/>
        </w:pict>
      </w:r>
      <w:r w:rsidR="00A905EA">
        <w:rPr>
          <w:noProof/>
          <w:lang w:eastAsia="pt-BR"/>
        </w:rPr>
        <w:drawing>
          <wp:inline distT="0" distB="0" distL="0" distR="0">
            <wp:extent cx="6858000" cy="527702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77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5EA" w:rsidRDefault="00A905EA" w:rsidP="00F153E0">
      <w:r>
        <w:t>A tela de Cadastro de Títulos possui 5 áreas:</w:t>
      </w:r>
    </w:p>
    <w:p w:rsidR="00F153E0" w:rsidRDefault="00A905EA" w:rsidP="00F153E0">
      <w:r>
        <w:t xml:space="preserve">❶ </w:t>
      </w:r>
      <w:r w:rsidRPr="00F153E0">
        <w:rPr>
          <w:u w:val="single"/>
        </w:rPr>
        <w:t>Tabela principal</w:t>
      </w:r>
      <w:r>
        <w:t xml:space="preserve"> </w:t>
      </w:r>
    </w:p>
    <w:p w:rsidR="00A905EA" w:rsidRDefault="00F153E0" w:rsidP="003E1EE5">
      <w:pPr>
        <w:ind w:firstLine="720"/>
      </w:pPr>
      <w:r>
        <w:t>O</w:t>
      </w:r>
      <w:r w:rsidR="00A905EA">
        <w:t>nde os títulos estão dispostos em linhas e as propriedades em colunas</w:t>
      </w:r>
    </w:p>
    <w:p w:rsidR="00F153E0" w:rsidRDefault="00A905EA" w:rsidP="00F153E0">
      <w:pPr>
        <w:rPr>
          <w:u w:val="single"/>
        </w:rPr>
      </w:pPr>
      <w:r>
        <w:t xml:space="preserve">❷ </w:t>
      </w:r>
      <w:r w:rsidRPr="00F153E0">
        <w:rPr>
          <w:u w:val="single"/>
        </w:rPr>
        <w:t>Filtro de tipo</w:t>
      </w:r>
    </w:p>
    <w:p w:rsidR="00A905EA" w:rsidRDefault="00F153E0" w:rsidP="003E1EE5">
      <w:pPr>
        <w:ind w:firstLine="720"/>
      </w:pPr>
      <w:r w:rsidRPr="00F153E0">
        <w:t>Com o qual</w:t>
      </w:r>
      <w:r>
        <w:rPr>
          <w:u w:val="single"/>
        </w:rPr>
        <w:t xml:space="preserve"> </w:t>
      </w:r>
      <w:r w:rsidR="00A905EA">
        <w:t xml:space="preserve">se pode filtrar o </w:t>
      </w:r>
      <w:r>
        <w:t>“</w:t>
      </w:r>
      <w:r w:rsidR="00A905EA">
        <w:t>tipo</w:t>
      </w:r>
      <w:r>
        <w:t>”</w:t>
      </w:r>
      <w:r w:rsidR="00A905EA">
        <w:t xml:space="preserve"> de título que será listado</w:t>
      </w:r>
      <w:r>
        <w:t>.</w:t>
      </w:r>
    </w:p>
    <w:p w:rsidR="00F153E0" w:rsidRDefault="00A905EA" w:rsidP="00F153E0">
      <w:r>
        <w:t xml:space="preserve">❸ </w:t>
      </w:r>
      <w:r w:rsidRPr="00F153E0">
        <w:rPr>
          <w:u w:val="single"/>
        </w:rPr>
        <w:t>Menu de Títulos</w:t>
      </w:r>
    </w:p>
    <w:p w:rsidR="00F153E0" w:rsidRDefault="00F153E0" w:rsidP="003E1EE5">
      <w:pPr>
        <w:ind w:firstLine="360"/>
      </w:pPr>
      <w:r>
        <w:t>Com as seguintes opções:</w:t>
      </w:r>
    </w:p>
    <w:p w:rsidR="00F153E0" w:rsidRDefault="00F153E0" w:rsidP="00950D7D">
      <w:pPr>
        <w:pStyle w:val="ListParagraph"/>
        <w:numPr>
          <w:ilvl w:val="0"/>
          <w:numId w:val="3"/>
        </w:numPr>
      </w:pPr>
      <w:r>
        <w:lastRenderedPageBreak/>
        <w:t>Novo: Criar um novo título</w:t>
      </w:r>
      <w:r w:rsidR="008B6930">
        <w:t>;</w:t>
      </w:r>
    </w:p>
    <w:p w:rsidR="00F153E0" w:rsidRDefault="00F153E0" w:rsidP="00950D7D">
      <w:pPr>
        <w:pStyle w:val="ListParagraph"/>
        <w:numPr>
          <w:ilvl w:val="0"/>
          <w:numId w:val="3"/>
        </w:numPr>
      </w:pPr>
      <w:r>
        <w:t>Edita: Modificar o título selecionado</w:t>
      </w:r>
      <w:r w:rsidR="008B6930">
        <w:t>;</w:t>
      </w:r>
    </w:p>
    <w:p w:rsidR="00F153E0" w:rsidRDefault="00F153E0" w:rsidP="00950D7D">
      <w:pPr>
        <w:pStyle w:val="ListParagraph"/>
        <w:numPr>
          <w:ilvl w:val="0"/>
          <w:numId w:val="3"/>
        </w:numPr>
      </w:pPr>
      <w:r>
        <w:t>Deleta: Excluir o título, o que só será realizado se o título n</w:t>
      </w:r>
      <w:r w:rsidR="008B6930">
        <w:t>ão pertencer a nenhuma carteira;</w:t>
      </w:r>
    </w:p>
    <w:p w:rsidR="00F153E0" w:rsidRDefault="00F153E0" w:rsidP="00950D7D">
      <w:pPr>
        <w:pStyle w:val="ListParagraph"/>
        <w:numPr>
          <w:ilvl w:val="0"/>
          <w:numId w:val="3"/>
        </w:numPr>
      </w:pPr>
      <w:r>
        <w:t>Aloc: mostra a alocação do título selecionado pelos fundos</w:t>
      </w:r>
      <w:r w:rsidR="008B6930">
        <w:t>;</w:t>
      </w:r>
    </w:p>
    <w:p w:rsidR="00F153E0" w:rsidRDefault="00F153E0" w:rsidP="00950D7D">
      <w:pPr>
        <w:pStyle w:val="ListParagraph"/>
        <w:numPr>
          <w:ilvl w:val="0"/>
          <w:numId w:val="3"/>
        </w:numPr>
      </w:pPr>
      <w:r>
        <w:t>Hist: mostra o histórico de evolução das propriedades do título</w:t>
      </w:r>
      <w:r w:rsidR="008B6930">
        <w:t>;</w:t>
      </w:r>
    </w:p>
    <w:p w:rsidR="00F153E0" w:rsidRDefault="00F153E0" w:rsidP="00950D7D">
      <w:pPr>
        <w:pStyle w:val="ListParagraph"/>
        <w:numPr>
          <w:ilvl w:val="0"/>
          <w:numId w:val="3"/>
        </w:numPr>
      </w:pPr>
      <w:r>
        <w:t>C</w:t>
      </w:r>
      <w:r w:rsidR="001F557B">
        <w:t>f</w:t>
      </w:r>
      <w:r>
        <w:t xml:space="preserve">low: mostra a janela de </w:t>
      </w:r>
      <w:r w:rsidR="001F557B" w:rsidRPr="001F557B">
        <w:rPr>
          <w:u w:val="single"/>
        </w:rPr>
        <w:t>fluxo de caixa</w:t>
      </w:r>
      <w:r>
        <w:t xml:space="preserve"> do título</w:t>
      </w:r>
      <w:r w:rsidR="001F557B">
        <w:t>, na qual é possível visualizar e importar o fluxo de caixa (</w:t>
      </w:r>
      <w:r w:rsidR="001F557B" w:rsidRPr="0028096A">
        <w:t>ver</w:t>
      </w:r>
      <w:r w:rsidR="0028096A" w:rsidRPr="0028096A">
        <w:t xml:space="preserve"> </w:t>
      </w:r>
      <w:fldSimple w:instr=" REF _Ref458501078 \r \h  \* MERGEFORMAT ">
        <w:r w:rsidR="0028096A" w:rsidRPr="0028096A">
          <w:t>IV-10</w:t>
        </w:r>
      </w:fldSimple>
      <w:r w:rsidR="001F557B">
        <w:t>)</w:t>
      </w:r>
      <w:r w:rsidR="008B6930">
        <w:t>;</w:t>
      </w:r>
    </w:p>
    <w:p w:rsidR="001F557B" w:rsidRDefault="001F557B" w:rsidP="00950D7D">
      <w:pPr>
        <w:pStyle w:val="ListParagraph"/>
        <w:numPr>
          <w:ilvl w:val="0"/>
          <w:numId w:val="3"/>
        </w:numPr>
      </w:pPr>
      <w:r>
        <w:t xml:space="preserve">Alias: permite incluir um </w:t>
      </w:r>
      <w:r w:rsidRPr="001F557B">
        <w:rPr>
          <w:u w:val="single"/>
        </w:rPr>
        <w:t>alias</w:t>
      </w:r>
      <w:r>
        <w:t xml:space="preserve"> (identificador alternativo) para o título (</w:t>
      </w:r>
      <w:r w:rsidRPr="0028096A">
        <w:t>ver</w:t>
      </w:r>
      <w:r w:rsidR="0028096A" w:rsidRPr="0028096A">
        <w:t xml:space="preserve"> </w:t>
      </w:r>
      <w:fldSimple w:instr=" REF _Ref458501069 \r \h  \* MERGEFORMAT ">
        <w:r w:rsidR="0028096A" w:rsidRPr="0028096A">
          <w:t>IV-11</w:t>
        </w:r>
      </w:fldSimple>
      <w:r>
        <w:t>)</w:t>
      </w:r>
      <w:r w:rsidR="008B6930">
        <w:t>;</w:t>
      </w:r>
    </w:p>
    <w:p w:rsidR="001F557B" w:rsidRPr="001F557B" w:rsidRDefault="001F557B" w:rsidP="00950D7D">
      <w:pPr>
        <w:pStyle w:val="ListParagraph"/>
        <w:numPr>
          <w:ilvl w:val="0"/>
          <w:numId w:val="3"/>
        </w:numPr>
      </w:pPr>
      <w:r>
        <w:t>ISIN: busca o ISIN do título na base de ISIN e mostra suas características (</w:t>
      </w:r>
      <w:r w:rsidRPr="001F557B">
        <w:rPr>
          <w:highlight w:val="yellow"/>
        </w:rPr>
        <w:t>ver</w:t>
      </w:r>
      <w:r>
        <w:t>)</w:t>
      </w:r>
      <w:r w:rsidR="008B6930">
        <w:t>.</w:t>
      </w:r>
    </w:p>
    <w:p w:rsidR="001F557B" w:rsidRDefault="00A905EA" w:rsidP="00F153E0">
      <w:r>
        <w:t>❹</w:t>
      </w:r>
      <w:r w:rsidR="00F153E0">
        <w:t xml:space="preserve"> </w:t>
      </w:r>
      <w:r w:rsidR="00F153E0" w:rsidRPr="001F557B">
        <w:rPr>
          <w:u w:val="single"/>
        </w:rPr>
        <w:t>Filtros de texto e de títulos investidos</w:t>
      </w:r>
      <w:r w:rsidR="00F153E0">
        <w:t xml:space="preserve">. </w:t>
      </w:r>
    </w:p>
    <w:p w:rsidR="001F557B" w:rsidRDefault="00F153E0" w:rsidP="003E1EE5">
      <w:pPr>
        <w:ind w:firstLine="720"/>
      </w:pPr>
      <w:r>
        <w:t xml:space="preserve">Caso o Filtro de texto seja acionado, apenas títulos que tiverem o texto no nome serão mostrados. </w:t>
      </w:r>
    </w:p>
    <w:p w:rsidR="00A905EA" w:rsidRDefault="00F153E0" w:rsidP="003E1EE5">
      <w:pPr>
        <w:ind w:firstLine="720"/>
      </w:pPr>
      <w:r>
        <w:t>Caso o Filtro de Investidos seja acionado, apenas títulos existentes nas carteiras atuais serão mostrados.</w:t>
      </w:r>
    </w:p>
    <w:p w:rsidR="001F557B" w:rsidRDefault="00A905EA" w:rsidP="00F153E0">
      <w:r>
        <w:t>❺</w:t>
      </w:r>
      <w:r w:rsidR="00F153E0">
        <w:t xml:space="preserve"> </w:t>
      </w:r>
      <w:r w:rsidR="00F153E0" w:rsidRPr="001F557B">
        <w:rPr>
          <w:u w:val="single"/>
        </w:rPr>
        <w:t>Botões de colunas</w:t>
      </w:r>
      <w:r w:rsidR="00F153E0">
        <w:t xml:space="preserve">. </w:t>
      </w:r>
    </w:p>
    <w:p w:rsidR="001F557B" w:rsidRDefault="00F153E0" w:rsidP="003E1EE5">
      <w:pPr>
        <w:ind w:firstLine="720"/>
      </w:pPr>
      <w:r>
        <w:t xml:space="preserve">Se “Financ” estiver pressionado, são mostradas as colunas de propriedades financeiras. </w:t>
      </w:r>
    </w:p>
    <w:p w:rsidR="00A905EA" w:rsidRDefault="00F153E0" w:rsidP="003E1EE5">
      <w:pPr>
        <w:ind w:firstLine="720"/>
      </w:pPr>
      <w:r>
        <w:t>Se “Props” estiver pressionado, são mostradas as colunas de propriedades descritivas.</w:t>
      </w:r>
    </w:p>
    <w:p w:rsidR="00801FC9" w:rsidRDefault="009A79B9" w:rsidP="00497CF1">
      <w:pPr>
        <w:pStyle w:val="Heading2"/>
      </w:pPr>
      <w:bookmarkStart w:id="34" w:name="_Toc475092468"/>
      <w:r>
        <w:t>IDENTIFICAÇÃO</w:t>
      </w:r>
      <w:r w:rsidR="00801FC9">
        <w:t xml:space="preserve"> DO TÍTULO</w:t>
      </w:r>
      <w:bookmarkEnd w:id="34"/>
    </w:p>
    <w:p w:rsidR="006A1E8F" w:rsidRDefault="006A1E8F" w:rsidP="00C676D2">
      <w:r>
        <w:t>Todo título tem um identificador primário único.</w:t>
      </w:r>
    </w:p>
    <w:p w:rsidR="006A1E8F" w:rsidRDefault="006A1E8F" w:rsidP="00C676D2">
      <w:r>
        <w:t xml:space="preserve">Devido às diferentes formas de identificação nas diferentes fontes de </w:t>
      </w:r>
      <w:r w:rsidR="005B1F03">
        <w:t xml:space="preserve">carteira </w:t>
      </w:r>
      <w:r>
        <w:t xml:space="preserve">(BNY, XML ANBIMA, etc), o SRC trabalha com </w:t>
      </w:r>
      <w:r w:rsidRPr="006A1E8F">
        <w:rPr>
          <w:u w:val="single"/>
        </w:rPr>
        <w:t>quatro</w:t>
      </w:r>
      <w:r>
        <w:t xml:space="preserve"> propriedades que </w:t>
      </w:r>
      <w:r w:rsidR="00560E75">
        <w:t>auxiliam a identificação de</w:t>
      </w:r>
      <w:r>
        <w:t xml:space="preserve"> um título</w:t>
      </w:r>
      <w:r w:rsidR="005B1F03">
        <w:t xml:space="preserve"> </w:t>
      </w:r>
      <w:r w:rsidR="005B1F03" w:rsidRPr="005B1F03">
        <w:rPr>
          <w:u w:val="single"/>
        </w:rPr>
        <w:t>durante a importação de carteira</w:t>
      </w:r>
      <w:r>
        <w:t>:</w:t>
      </w:r>
    </w:p>
    <w:p w:rsidR="006A1E8F" w:rsidRDefault="006A1E8F" w:rsidP="00E61225">
      <w:pPr>
        <w:pStyle w:val="ListParagraph"/>
      </w:pPr>
      <w:r>
        <w:t xml:space="preserve">Identificador </w:t>
      </w:r>
      <w:r w:rsidR="00CA0D5B">
        <w:t>Primário</w:t>
      </w:r>
    </w:p>
    <w:p w:rsidR="006A1E8F" w:rsidRDefault="006A1E8F" w:rsidP="00E61225">
      <w:pPr>
        <w:pStyle w:val="ListParagraph"/>
      </w:pPr>
      <w:r>
        <w:t>Código ISIN</w:t>
      </w:r>
    </w:p>
    <w:p w:rsidR="006A1E8F" w:rsidRDefault="006A1E8F" w:rsidP="00E61225">
      <w:pPr>
        <w:pStyle w:val="ListParagraph"/>
      </w:pPr>
      <w:r>
        <w:t>Código CETIP</w:t>
      </w:r>
    </w:p>
    <w:p w:rsidR="006A1E8F" w:rsidRDefault="006A1E8F" w:rsidP="00E61225">
      <w:pPr>
        <w:pStyle w:val="ListParagraph"/>
      </w:pPr>
      <w:r>
        <w:t>CNPJ do Fundo</w:t>
      </w:r>
    </w:p>
    <w:p w:rsidR="006A1E8F" w:rsidRDefault="006A1E8F" w:rsidP="00C676D2">
      <w:r>
        <w:t xml:space="preserve">Importações de carteira .txt procurarão o título pelo Identificador </w:t>
      </w:r>
      <w:r w:rsidR="00CA0D5B">
        <w:t>Primário</w:t>
      </w:r>
      <w:r>
        <w:t>.</w:t>
      </w:r>
    </w:p>
    <w:p w:rsidR="006A1E8F" w:rsidRDefault="006A1E8F" w:rsidP="00C676D2">
      <w:r>
        <w:lastRenderedPageBreak/>
        <w:t>Importações de carteira .xml ANBIMA procurarão o título primeiro por ISIN, depois por código CETIP e, se for um fundo, pelo CNPJ do Fundo.</w:t>
      </w:r>
    </w:p>
    <w:p w:rsidR="00560E75" w:rsidRPr="00560E75" w:rsidRDefault="00560E75" w:rsidP="00560E75">
      <w:r>
        <w:t xml:space="preserve">O </w:t>
      </w:r>
      <w:r w:rsidRPr="00560E75">
        <w:rPr>
          <w:u w:val="single"/>
        </w:rPr>
        <w:t>nome</w:t>
      </w:r>
      <w:r>
        <w:t xml:space="preserve"> de um título não é um identificador e pode ser alterado livremente sem comprometer o funcionamento do SRC. O identificador primário não pode ser alterado nunca. As outras 3 propriedades que são identificadores auxiliares durante a importação </w:t>
      </w:r>
      <w:r>
        <w:rPr>
          <w:u w:val="single"/>
        </w:rPr>
        <w:t>podem</w:t>
      </w:r>
      <w:r>
        <w:t xml:space="preserve"> ser alteradas, mas com consequências para a integridade dos dados. O SRC não permitirá duplicidade dessas propriedades.</w:t>
      </w:r>
    </w:p>
    <w:p w:rsidR="006A1E8F" w:rsidRPr="005B1F03" w:rsidRDefault="006A1E8F" w:rsidP="00C676D2">
      <w:r>
        <w:t>O SRC suporta ‘</w:t>
      </w:r>
      <w:r w:rsidRPr="00E61225">
        <w:rPr>
          <w:u w:val="single"/>
        </w:rPr>
        <w:t>alias</w:t>
      </w:r>
      <w:r>
        <w:t>’ de títulos, ou seja, que um mesmo título tenha mais de um identificador</w:t>
      </w:r>
      <w:r w:rsidR="005B1F03">
        <w:t xml:space="preserve"> (a recíproca não é verdadeira: um mesmo identificador não pode ser dado para dois títulos diferentes)</w:t>
      </w:r>
      <w:r>
        <w:t xml:space="preserve">. O usuário deve </w:t>
      </w:r>
      <w:r w:rsidR="005B1F03">
        <w:t xml:space="preserve">manter a </w:t>
      </w:r>
      <w:r w:rsidR="005B1F03">
        <w:rPr>
          <w:u w:val="single"/>
        </w:rPr>
        <w:t>lista de alias</w:t>
      </w:r>
      <w:r w:rsidR="005B1F03">
        <w:t xml:space="preserve"> com o de-para das identificações alternativas</w:t>
      </w:r>
      <w:r w:rsidR="00400057">
        <w:t xml:space="preserve"> (ver </w:t>
      </w:r>
      <w:r w:rsidR="000B1A93">
        <w:fldChar w:fldCharType="begin"/>
      </w:r>
      <w:r w:rsidR="00400057">
        <w:instrText xml:space="preserve"> REF _Ref458501069 \r \h </w:instrText>
      </w:r>
      <w:r w:rsidR="000B1A93">
        <w:fldChar w:fldCharType="separate"/>
      </w:r>
      <w:r w:rsidR="00400057">
        <w:t>IV-11</w:t>
      </w:r>
      <w:r w:rsidR="000B1A93">
        <w:fldChar w:fldCharType="end"/>
      </w:r>
      <w:r w:rsidR="00400057">
        <w:t>)</w:t>
      </w:r>
      <w:r w:rsidR="005B1F03">
        <w:t>.</w:t>
      </w:r>
    </w:p>
    <w:p w:rsidR="00782E03" w:rsidRDefault="00782E03" w:rsidP="00497CF1">
      <w:pPr>
        <w:pStyle w:val="Heading2"/>
      </w:pPr>
      <w:bookmarkStart w:id="35" w:name="_Ref458500983"/>
      <w:bookmarkStart w:id="36" w:name="_Toc475092469"/>
      <w:r>
        <w:t>CADASTRAMENTO AUTOMÁTICO</w:t>
      </w:r>
      <w:bookmarkEnd w:id="35"/>
      <w:bookmarkEnd w:id="36"/>
    </w:p>
    <w:p w:rsidR="00801FC9" w:rsidRDefault="00801FC9" w:rsidP="00C676D2">
      <w:r>
        <w:t xml:space="preserve">Quando a </w:t>
      </w:r>
      <w:r w:rsidRPr="009A79B9">
        <w:rPr>
          <w:u w:val="single"/>
        </w:rPr>
        <w:t>importação</w:t>
      </w:r>
      <w:r>
        <w:t xml:space="preserve"> de carteira encontra um título presente na carteira mas não cadastrado, ela efetua automaticamente um </w:t>
      </w:r>
      <w:r w:rsidRPr="00A905EA">
        <w:rPr>
          <w:u w:val="single"/>
        </w:rPr>
        <w:t>cadastro provisório</w:t>
      </w:r>
      <w:r>
        <w:t>.</w:t>
      </w:r>
    </w:p>
    <w:p w:rsidR="00801FC9" w:rsidRDefault="00801FC9" w:rsidP="00C676D2">
      <w:r>
        <w:t xml:space="preserve">Dependendo da fonte da importação (.txt ou .xml ANBIMA), o cadastro provisório poderá preencher mais, ou </w:t>
      </w:r>
      <w:r w:rsidR="00A905EA">
        <w:t>menos, propriedades financeiras do título.</w:t>
      </w:r>
    </w:p>
    <w:p w:rsidR="00801FC9" w:rsidRDefault="00801FC9" w:rsidP="00CA0D5B">
      <w:pPr>
        <w:pStyle w:val="ListParagraph"/>
        <w:numPr>
          <w:ilvl w:val="0"/>
          <w:numId w:val="9"/>
        </w:numPr>
      </w:pPr>
      <w:r>
        <w:t xml:space="preserve">Uma importação de .txt preencherá apenas o identificador </w:t>
      </w:r>
      <w:r w:rsidR="00EB2D64">
        <w:t>e o nome do título.</w:t>
      </w:r>
    </w:p>
    <w:p w:rsidR="00EB2D64" w:rsidRDefault="00EB2D64" w:rsidP="00CA0D5B">
      <w:pPr>
        <w:pStyle w:val="ListParagraph"/>
        <w:numPr>
          <w:ilvl w:val="0"/>
          <w:numId w:val="9"/>
        </w:numPr>
      </w:pPr>
      <w:r>
        <w:t>Uma importação de .xml ANBIMA poderá preencherá identificador, nome, data de vencimento, tipo do ativo, indexador e taxa.</w:t>
      </w:r>
    </w:p>
    <w:p w:rsidR="006A1E8F" w:rsidRDefault="006A1E8F" w:rsidP="00C676D2">
      <w:r>
        <w:t>O nome de um título cadastrado automaticamente é “</w:t>
      </w:r>
      <w:r w:rsidRPr="006A1E8F">
        <w:rPr>
          <w:u w:val="single"/>
        </w:rPr>
        <w:t>Unknown(xxx)</w:t>
      </w:r>
      <w:r>
        <w:t>” onde “xxx” é o identificador do título.</w:t>
      </w:r>
    </w:p>
    <w:p w:rsidR="00EB2D64" w:rsidRDefault="00EB2D64" w:rsidP="00C676D2">
      <w:r>
        <w:t>O cadastramento automático não preenche propriedades descritivas.</w:t>
      </w:r>
    </w:p>
    <w:p w:rsidR="00801FC9" w:rsidRPr="00801FC9" w:rsidRDefault="006A1E8F" w:rsidP="00C676D2">
      <w:r>
        <w:t xml:space="preserve">Todo cadastramento automático deve ser </w:t>
      </w:r>
      <w:r w:rsidR="00E61225">
        <w:t>validado / complementado / retificado</w:t>
      </w:r>
      <w:r>
        <w:t xml:space="preserve"> pelo usuário. O SRC marca os registros de títulos com o ‘Status’ AUTO-1, AUTO-2 ou LIBERADO conforme o cadastramento tenha sido automático de .txt, automático de .xml, ou tenha sido complementado pelo usuário.</w:t>
      </w:r>
    </w:p>
    <w:p w:rsidR="00782E03" w:rsidRDefault="00782E03" w:rsidP="00497CF1">
      <w:pPr>
        <w:pStyle w:val="Heading2"/>
      </w:pPr>
      <w:bookmarkStart w:id="37" w:name="_Ref459034957"/>
      <w:bookmarkStart w:id="38" w:name="_Toc475092470"/>
      <w:r>
        <w:t>PROPRIEDADES FINANCEIRAS</w:t>
      </w:r>
      <w:bookmarkEnd w:id="37"/>
      <w:bookmarkEnd w:id="38"/>
    </w:p>
    <w:p w:rsidR="009A79B9" w:rsidRDefault="009A79B9" w:rsidP="00E61225">
      <w:r>
        <w:t xml:space="preserve">As propriedades </w:t>
      </w:r>
      <w:r>
        <w:rPr>
          <w:u w:val="single"/>
        </w:rPr>
        <w:t>financeiras</w:t>
      </w:r>
      <w:r>
        <w:t>:</w:t>
      </w:r>
    </w:p>
    <w:p w:rsidR="009A79B9" w:rsidRDefault="009A79B9" w:rsidP="00EB0614">
      <w:pPr>
        <w:pStyle w:val="ListParagraph"/>
      </w:pPr>
      <w:r>
        <w:t>São padronizadas e pré-programadas no sistema;</w:t>
      </w:r>
    </w:p>
    <w:p w:rsidR="009A79B9" w:rsidRDefault="009A79B9" w:rsidP="00EB0614">
      <w:pPr>
        <w:pStyle w:val="ListParagraph"/>
      </w:pPr>
      <w:r>
        <w:t>São usadas para cálculo financeiro e de risco;</w:t>
      </w:r>
    </w:p>
    <w:p w:rsidR="009A79B9" w:rsidRDefault="009A79B9" w:rsidP="00EB0614">
      <w:pPr>
        <w:pStyle w:val="ListParagraph"/>
      </w:pPr>
      <w:r w:rsidRPr="00E61225">
        <w:rPr>
          <w:u w:val="single"/>
        </w:rPr>
        <w:t>Não</w:t>
      </w:r>
      <w:r>
        <w:t xml:space="preserve"> são usadas para </w:t>
      </w:r>
      <w:r w:rsidR="001D301F">
        <w:t xml:space="preserve">regras de </w:t>
      </w:r>
      <w:r>
        <w:t>enquadramento ou análise de concentração (com exceção de: nome, classe de liquidez, classe de rentabilidade e indexador)</w:t>
      </w:r>
    </w:p>
    <w:p w:rsidR="009A79B9" w:rsidRPr="009A79B9" w:rsidRDefault="009A79B9" w:rsidP="00C676D2">
      <w:r>
        <w:lastRenderedPageBreak/>
        <w:t>As propriedades financeiras são:</w:t>
      </w:r>
    </w:p>
    <w:p w:rsidR="005B1F03" w:rsidRDefault="005B1F03" w:rsidP="00EB0614">
      <w:pPr>
        <w:pStyle w:val="ListParagraph"/>
      </w:pPr>
      <w:r>
        <w:t>Identificador</w:t>
      </w:r>
      <w:r w:rsidR="00400057">
        <w:t>;</w:t>
      </w:r>
    </w:p>
    <w:p w:rsidR="005B1F03" w:rsidRDefault="005B1F03" w:rsidP="00EB0614">
      <w:pPr>
        <w:pStyle w:val="ListParagraph"/>
      </w:pPr>
      <w:r>
        <w:t>ISIN</w:t>
      </w:r>
      <w:r w:rsidR="00400057">
        <w:t>;</w:t>
      </w:r>
    </w:p>
    <w:p w:rsidR="005B1F03" w:rsidRDefault="005B1F03" w:rsidP="00EB0614">
      <w:pPr>
        <w:pStyle w:val="ListParagraph"/>
      </w:pPr>
      <w:r>
        <w:t>Código CETIP</w:t>
      </w:r>
      <w:r w:rsidR="00400057">
        <w:t>;</w:t>
      </w:r>
    </w:p>
    <w:p w:rsidR="005B1F03" w:rsidRDefault="005B1F03" w:rsidP="00EB0614">
      <w:pPr>
        <w:pStyle w:val="ListParagraph"/>
      </w:pPr>
      <w:r>
        <w:t>Nome</w:t>
      </w:r>
      <w:r w:rsidR="00400057">
        <w:t>;</w:t>
      </w:r>
    </w:p>
    <w:p w:rsidR="005B1F03" w:rsidRDefault="005B1F03" w:rsidP="00EB0614">
      <w:pPr>
        <w:pStyle w:val="ListParagraph"/>
      </w:pPr>
      <w:r>
        <w:t xml:space="preserve">Classe de Liquidez: para procedimento de Liquidez ANBIMA. </w:t>
      </w:r>
      <w:r w:rsidR="00400057">
        <w:t>Ver anexo I para a lista;</w:t>
      </w:r>
    </w:p>
    <w:p w:rsidR="005B1F03" w:rsidRPr="001D301F" w:rsidRDefault="005B1F03" w:rsidP="00EB0614">
      <w:pPr>
        <w:pStyle w:val="ListParagraph"/>
      </w:pPr>
      <w:r>
        <w:t xml:space="preserve">Classe de </w:t>
      </w:r>
      <w:r w:rsidR="009A79B9">
        <w:t>“Schedule”</w:t>
      </w:r>
      <w:r>
        <w:t>:</w:t>
      </w:r>
      <w:r w:rsidR="009A79B9">
        <w:t xml:space="preserve"> determina o padrão de fluxo de c</w:t>
      </w:r>
      <w:r w:rsidR="001D301F">
        <w:t>aixa, se este não for infor</w:t>
      </w:r>
      <w:r w:rsidR="00400057">
        <w:t>mado. Ver anexo II para a lista;</w:t>
      </w:r>
    </w:p>
    <w:p w:rsidR="005B1F03" w:rsidRDefault="005B1F03" w:rsidP="00EB0614">
      <w:pPr>
        <w:pStyle w:val="ListParagraph"/>
      </w:pPr>
      <w:r>
        <w:t>Data de Emissão</w:t>
      </w:r>
      <w:r w:rsidR="00400057">
        <w:t>;</w:t>
      </w:r>
    </w:p>
    <w:p w:rsidR="005B1F03" w:rsidRDefault="005B1F03" w:rsidP="00EB0614">
      <w:pPr>
        <w:pStyle w:val="ListParagraph"/>
      </w:pPr>
      <w:r>
        <w:t>Data de Vencimento</w:t>
      </w:r>
      <w:r w:rsidR="00400057">
        <w:t>;</w:t>
      </w:r>
    </w:p>
    <w:p w:rsidR="005B1F03" w:rsidRDefault="005B1F03" w:rsidP="00EB0614">
      <w:pPr>
        <w:pStyle w:val="ListParagraph"/>
      </w:pPr>
      <w:r>
        <w:t>Cupom</w:t>
      </w:r>
      <w:r w:rsidR="00400057">
        <w:t>;</w:t>
      </w:r>
    </w:p>
    <w:p w:rsidR="005B1F03" w:rsidRDefault="005B1F03" w:rsidP="00EB0614">
      <w:pPr>
        <w:pStyle w:val="ListParagraph"/>
      </w:pPr>
      <w:r>
        <w:t>Convenção de taxa</w:t>
      </w:r>
      <w:r w:rsidR="00400057">
        <w:t>;</w:t>
      </w:r>
    </w:p>
    <w:p w:rsidR="005B1F03" w:rsidRDefault="005B1F03" w:rsidP="00EB0614">
      <w:pPr>
        <w:pStyle w:val="ListParagraph"/>
      </w:pPr>
      <w:r>
        <w:t>Indexador</w:t>
      </w:r>
      <w:r w:rsidR="00400057">
        <w:t>;</w:t>
      </w:r>
    </w:p>
    <w:p w:rsidR="005B1F03" w:rsidRDefault="005B1F03" w:rsidP="00EB0614">
      <w:pPr>
        <w:pStyle w:val="ListParagraph"/>
      </w:pPr>
      <w:r>
        <w:t>Tipo XML ANBIMA</w:t>
      </w:r>
      <w:r w:rsidR="00400057">
        <w:t>;</w:t>
      </w:r>
    </w:p>
    <w:p w:rsidR="00400057" w:rsidRPr="005B1F03" w:rsidRDefault="00400057" w:rsidP="00EB0614">
      <w:pPr>
        <w:pStyle w:val="ListParagraph"/>
      </w:pPr>
      <w:r>
        <w:t xml:space="preserve">Se o título é um fundo cadastrado (ver </w:t>
      </w:r>
      <w:r w:rsidR="000B1A93">
        <w:fldChar w:fldCharType="begin"/>
      </w:r>
      <w:r>
        <w:instrText xml:space="preserve"> REF _Ref458500929 \r \h </w:instrText>
      </w:r>
      <w:r w:rsidR="000B1A93">
        <w:fldChar w:fldCharType="separate"/>
      </w:r>
      <w:r>
        <w:t>III-5</w:t>
      </w:r>
      <w:r w:rsidR="000B1A93">
        <w:fldChar w:fldCharType="end"/>
      </w:r>
      <w:r>
        <w:t>).</w:t>
      </w:r>
    </w:p>
    <w:p w:rsidR="00782E03" w:rsidRDefault="00782E03" w:rsidP="00497CF1">
      <w:pPr>
        <w:pStyle w:val="Heading2"/>
      </w:pPr>
      <w:bookmarkStart w:id="39" w:name="_Ref458521021"/>
      <w:bookmarkStart w:id="40" w:name="_Toc475092471"/>
      <w:r>
        <w:t>PROPRIEDADES DESCRITIVAS</w:t>
      </w:r>
      <w:bookmarkEnd w:id="39"/>
      <w:bookmarkEnd w:id="40"/>
    </w:p>
    <w:p w:rsidR="009A79B9" w:rsidRDefault="009A79B9" w:rsidP="00E61225">
      <w:r>
        <w:t xml:space="preserve">As propriedades </w:t>
      </w:r>
      <w:r>
        <w:rPr>
          <w:u w:val="single"/>
        </w:rPr>
        <w:t>descritivas</w:t>
      </w:r>
      <w:r>
        <w:t xml:space="preserve"> :</w:t>
      </w:r>
    </w:p>
    <w:p w:rsidR="009A79B9" w:rsidRDefault="009A79B9" w:rsidP="00EB0614">
      <w:pPr>
        <w:pStyle w:val="ListParagraph"/>
      </w:pPr>
      <w:r>
        <w:t>Não são padronizadas. São criadas livremente pelo usuário.</w:t>
      </w:r>
    </w:p>
    <w:p w:rsidR="009A79B9" w:rsidRDefault="009A79B9" w:rsidP="00EB0614">
      <w:pPr>
        <w:pStyle w:val="ListParagraph"/>
      </w:pPr>
      <w:r>
        <w:t>Podem participar</w:t>
      </w:r>
      <w:r w:rsidR="001D301F">
        <w:t xml:space="preserve"> de regras de enquadramento e análise de concentração</w:t>
      </w:r>
    </w:p>
    <w:p w:rsidR="001D301F" w:rsidRDefault="001D301F" w:rsidP="00C676D2">
      <w:r>
        <w:t>O usuário pode criar quantas propriedades descritivas quantas quiser. Pode alterar as propriedades e pode excluir as propriedades que não estejam participando de regras.</w:t>
      </w:r>
    </w:p>
    <w:p w:rsidR="001D301F" w:rsidRDefault="001D301F" w:rsidP="00C676D2">
      <w:r>
        <w:t>Cada propriedade descritiva pode ser de dois tipos:</w:t>
      </w:r>
    </w:p>
    <w:p w:rsidR="001D301F" w:rsidRDefault="001D301F" w:rsidP="00E61225">
      <w:pPr>
        <w:pStyle w:val="ListParagraph"/>
      </w:pPr>
      <w:r w:rsidRPr="0023501F">
        <w:rPr>
          <w:u w:val="single"/>
        </w:rPr>
        <w:t>Livre</w:t>
      </w:r>
      <w:r>
        <w:t>: pode ser preenchida com qualquer valor</w:t>
      </w:r>
      <w:r w:rsidR="00971838">
        <w:t xml:space="preserve"> (texto)</w:t>
      </w:r>
      <w:r>
        <w:t>. Por exemplo: data de emissão.</w:t>
      </w:r>
    </w:p>
    <w:p w:rsidR="00971838" w:rsidRDefault="00971838" w:rsidP="0077655A">
      <w:pPr>
        <w:pStyle w:val="ListParagraph"/>
        <w:numPr>
          <w:ilvl w:val="0"/>
          <w:numId w:val="0"/>
        </w:numPr>
        <w:ind w:left="2160"/>
      </w:pPr>
      <w:r>
        <w:lastRenderedPageBreak/>
        <w:t xml:space="preserve">Apesar de poder ser preenchida com qualquer </w:t>
      </w:r>
      <w:r w:rsidR="0023501F">
        <w:t>texto</w:t>
      </w:r>
      <w:r>
        <w:t xml:space="preserve">, se </w:t>
      </w:r>
      <w:r w:rsidR="0023501F">
        <w:t>a propriedade for uma data ou um número que forem utilizados em regras ou cálculos, deverá estar em um formato específico:</w:t>
      </w:r>
    </w:p>
    <w:p w:rsidR="0077655A" w:rsidRDefault="0023501F" w:rsidP="0077655A">
      <w:pPr>
        <w:pStyle w:val="ListParagraph"/>
        <w:numPr>
          <w:ilvl w:val="0"/>
          <w:numId w:val="0"/>
        </w:numPr>
        <w:ind w:left="2160"/>
      </w:pPr>
      <w:r>
        <w:t>D</w:t>
      </w:r>
      <w:r w:rsidR="00971838">
        <w:t>ata</w:t>
      </w:r>
      <w:r>
        <w:t xml:space="preserve">s devem </w:t>
      </w:r>
      <w:r w:rsidR="00971838">
        <w:t>ser preenchida</w:t>
      </w:r>
      <w:r>
        <w:t>s</w:t>
      </w:r>
      <w:r w:rsidR="00971838">
        <w:t xml:space="preserve"> no padrão dd-mmm-yyyy, com o mês “mmm” em inglês.</w:t>
      </w:r>
    </w:p>
    <w:p w:rsidR="00971838" w:rsidRDefault="0023501F" w:rsidP="0077655A">
      <w:pPr>
        <w:pStyle w:val="ListParagraph"/>
        <w:numPr>
          <w:ilvl w:val="0"/>
          <w:numId w:val="0"/>
        </w:numPr>
        <w:ind w:left="2160"/>
      </w:pPr>
      <w:r>
        <w:t>N</w:t>
      </w:r>
      <w:r w:rsidR="00971838">
        <w:t>úmero</w:t>
      </w:r>
      <w:r>
        <w:t>s</w:t>
      </w:r>
      <w:r w:rsidR="00971838">
        <w:t xml:space="preserve"> deve</w:t>
      </w:r>
      <w:r>
        <w:t>m ser preenchidos</w:t>
      </w:r>
      <w:r w:rsidR="00971838">
        <w:t xml:space="preserve"> no padrão numérico de ponto decimal, sem vírgula separadora.</w:t>
      </w:r>
    </w:p>
    <w:p w:rsidR="001D301F" w:rsidRDefault="00CA0D5B" w:rsidP="00E61225">
      <w:pPr>
        <w:pStyle w:val="ListParagraph"/>
      </w:pPr>
      <w:r>
        <w:rPr>
          <w:u w:val="single"/>
        </w:rPr>
        <w:t>Elencada</w:t>
      </w:r>
      <w:r w:rsidR="001D301F">
        <w:t xml:space="preserve">: só pode ser preenchida com um dos valores </w:t>
      </w:r>
      <w:r w:rsidR="0023501F">
        <w:t>permitidos</w:t>
      </w:r>
      <w:r w:rsidR="001D301F">
        <w:t>. Por exemplo: “Liquidação Física” pode ter os valores “Sim” ou “Não”.</w:t>
      </w:r>
      <w:r w:rsidR="0023501F">
        <w:t xml:space="preserve"> O  usuário determina os valores permitidos na definição da propriedade</w:t>
      </w:r>
      <w:r w:rsidR="00416448">
        <w:t>.</w:t>
      </w:r>
    </w:p>
    <w:p w:rsidR="00C823B4" w:rsidRDefault="00C823B4" w:rsidP="00497CF1">
      <w:pPr>
        <w:pStyle w:val="Heading2"/>
      </w:pPr>
      <w:bookmarkStart w:id="41" w:name="_Ref459035232"/>
      <w:bookmarkStart w:id="42" w:name="_Toc475092472"/>
      <w:r>
        <w:t>CRIANDO PROPRIEDADES DESCRITIVAS</w:t>
      </w:r>
      <w:bookmarkEnd w:id="41"/>
      <w:bookmarkEnd w:id="42"/>
    </w:p>
    <w:p w:rsidR="006C5987" w:rsidRDefault="006C5987" w:rsidP="006C5987">
      <w:r>
        <w:t xml:space="preserve">Clicando Menu Principal </w:t>
      </w:r>
      <w:r>
        <w:sym w:font="Wingdings" w:char="F0E0"/>
      </w:r>
      <w:r>
        <w:t>Títulos</w:t>
      </w:r>
      <w:r>
        <w:sym w:font="Wingdings" w:char="F0E0"/>
      </w:r>
      <w:r>
        <w:t xml:space="preserve"> Propriedades, aparece a Tela de Propriedades.</w:t>
      </w:r>
    </w:p>
    <w:p w:rsidR="006C5987" w:rsidRDefault="006C5987" w:rsidP="006C5987">
      <w:pPr>
        <w:ind w:left="360"/>
      </w:pPr>
      <w:r>
        <w:rPr>
          <w:noProof/>
          <w:lang w:eastAsia="pt-BR"/>
        </w:rPr>
        <w:drawing>
          <wp:inline distT="0" distB="0" distL="0" distR="0">
            <wp:extent cx="6858000" cy="401543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1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987" w:rsidRDefault="006C5987" w:rsidP="006C5987">
      <w:pPr>
        <w:ind w:left="360"/>
      </w:pPr>
      <w:r>
        <w:t xml:space="preserve">Com ela é possível criar, editar ou excluir propriedades </w:t>
      </w:r>
      <w:r w:rsidRPr="006C5987">
        <w:rPr>
          <w:u w:val="single"/>
        </w:rPr>
        <w:t>descritivas</w:t>
      </w:r>
      <w:r>
        <w:t>.</w:t>
      </w:r>
    </w:p>
    <w:p w:rsidR="006F22F9" w:rsidRDefault="006F22F9" w:rsidP="006C5987">
      <w:pPr>
        <w:ind w:left="360"/>
      </w:pPr>
      <w:r>
        <w:t xml:space="preserve">Criando ou alterando uma propriedade descritiva, surge o </w:t>
      </w:r>
      <w:r w:rsidRPr="006F22F9">
        <w:rPr>
          <w:u w:val="single"/>
        </w:rPr>
        <w:t>Formulário de Edição de Propriedade</w:t>
      </w:r>
      <w:r>
        <w:t>:</w:t>
      </w:r>
    </w:p>
    <w:p w:rsidR="006F22F9" w:rsidRDefault="006F22F9" w:rsidP="006F22F9">
      <w:pPr>
        <w:ind w:left="36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828925" cy="359092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987" w:rsidRDefault="006F22F9" w:rsidP="006F22F9">
      <w:r>
        <w:t>Para criar ou alterar uma propriedade descritiva:</w:t>
      </w:r>
    </w:p>
    <w:p w:rsidR="006F22F9" w:rsidRDefault="006F22F9" w:rsidP="006F22F9">
      <w:r>
        <w:t xml:space="preserve">Se </w:t>
      </w:r>
      <w:r w:rsidR="00416448">
        <w:t xml:space="preserve">o box </w:t>
      </w:r>
      <w:r>
        <w:t xml:space="preserve">Valor Livre estiver </w:t>
      </w:r>
      <w:r w:rsidR="00416448">
        <w:t>marcado, a propriedade será “Livre”.</w:t>
      </w:r>
    </w:p>
    <w:p w:rsidR="00416448" w:rsidRPr="006C5987" w:rsidRDefault="00416448" w:rsidP="006F22F9">
      <w:r>
        <w:t>Se o box Valor Livre estiver desmarcado, a propriedade será “Elencada” e o usuário deverá listar os valores que ela poderá receber, preenchendo o campo inferior e Incluindo o valor, ou Excluindo da lista.</w:t>
      </w:r>
    </w:p>
    <w:p w:rsidR="006C5987" w:rsidRDefault="006C5987" w:rsidP="00497CF1">
      <w:pPr>
        <w:pStyle w:val="Heading2"/>
      </w:pPr>
      <w:bookmarkStart w:id="43" w:name="_Toc475092473"/>
      <w:r>
        <w:t>CRIANDO UM TÍTULO</w:t>
      </w:r>
      <w:bookmarkEnd w:id="43"/>
    </w:p>
    <w:p w:rsidR="006C5987" w:rsidRDefault="00416448" w:rsidP="006C5987">
      <w:r>
        <w:t>Um novo título pode ser criado:</w:t>
      </w:r>
    </w:p>
    <w:p w:rsidR="00416448" w:rsidRDefault="00416448" w:rsidP="00416448">
      <w:pPr>
        <w:pStyle w:val="ListParagraph"/>
      </w:pPr>
      <w:r>
        <w:t>Pelo usuário, no Menu de Títulos</w:t>
      </w:r>
      <w:r>
        <w:sym w:font="Wingdings" w:char="F0E0"/>
      </w:r>
      <w:r>
        <w:t>Novo</w:t>
      </w:r>
    </w:p>
    <w:p w:rsidR="00416448" w:rsidRDefault="00416448" w:rsidP="00416448">
      <w:pPr>
        <w:pStyle w:val="ListParagraph"/>
      </w:pPr>
      <w:r>
        <w:t>Pelo SRC, automatica e provisoriamente, durante uma importação de carteira.</w:t>
      </w:r>
    </w:p>
    <w:p w:rsidR="00416448" w:rsidRDefault="00416448" w:rsidP="006C5987">
      <w:r>
        <w:t xml:space="preserve">Em qualquer caso, o título recém-criado recebe um Status que o identifica como provisório. Ao ratificar todos os dados do cadastro do título, o usuário deve proceder a sua </w:t>
      </w:r>
      <w:r>
        <w:rPr>
          <w:u w:val="single"/>
        </w:rPr>
        <w:t>liberação</w:t>
      </w:r>
      <w:r>
        <w:t>, da forma que será mostrada a seguir. O Anexo IV tem uma lista dos Status possíveis.</w:t>
      </w:r>
    </w:p>
    <w:p w:rsidR="00416448" w:rsidRDefault="00416448" w:rsidP="006C5987">
      <w:r>
        <w:t xml:space="preserve">O Status é um dado apenas informativo. Ele não afeta </w:t>
      </w:r>
      <w:r w:rsidR="002B00E7">
        <w:t>a forma como o título é tratado pelo SRC. Mas se o SRC rodar com títulos provisórios e não ratificados, os resultados poderão ser incorretos ou imprecisos.</w:t>
      </w:r>
    </w:p>
    <w:p w:rsidR="00513248" w:rsidRDefault="00C9505D" w:rsidP="006C5987">
      <w:r>
        <w:lastRenderedPageBreak/>
        <w:t xml:space="preserve">Se a criação é comandada pelo usuário em Menu de Títulos </w:t>
      </w:r>
      <w:r>
        <w:sym w:font="Wingdings" w:char="F0E0"/>
      </w:r>
      <w:r>
        <w:t xml:space="preserve"> Novo, o sistema pede o </w:t>
      </w:r>
      <w:r>
        <w:rPr>
          <w:u w:val="single"/>
        </w:rPr>
        <w:t>código identificador</w:t>
      </w:r>
      <w:r>
        <w:t xml:space="preserve"> do novo título. Se o identificador passar no teste de não-duplicidade, o título é criado e o sistema mostra o Formulário de Edição do Título.</w:t>
      </w:r>
    </w:p>
    <w:p w:rsidR="00C9505D" w:rsidRDefault="00C9505D" w:rsidP="006C5987">
      <w:r>
        <w:rPr>
          <w:u w:val="single"/>
        </w:rPr>
        <w:t>Evitando a Duplicidade do Identificador</w:t>
      </w:r>
    </w:p>
    <w:p w:rsidR="00C9505D" w:rsidRDefault="00C9505D" w:rsidP="006C5987">
      <w:r>
        <w:t>O identificador de um título deve ser único. Não pode haver dois títulos com o mesmo identificador.</w:t>
      </w:r>
    </w:p>
    <w:p w:rsidR="00C9505D" w:rsidRPr="00C9505D" w:rsidRDefault="00C9505D" w:rsidP="006C5987">
      <w:r>
        <w:t xml:space="preserve">Evitar a duplicidade no SRC envolve também evitar a duplicidade de dados que </w:t>
      </w:r>
      <w:r>
        <w:rPr>
          <w:u w:val="single"/>
        </w:rPr>
        <w:t>possam</w:t>
      </w:r>
      <w:r>
        <w:t xml:space="preserve"> vir a ser usados como identificadores durante as importações de carteira</w:t>
      </w:r>
      <w:r w:rsidR="00D634C2">
        <w:t>,</w:t>
      </w:r>
      <w:r>
        <w:t xml:space="preserve"> assim como evitar a duplicidade para com os identificadores alternativos (alias).</w:t>
      </w:r>
    </w:p>
    <w:p w:rsidR="00C9505D" w:rsidRDefault="00C9505D" w:rsidP="006C5987">
      <w:r>
        <w:t>Por isso, o SRC emprega testes para evitar a duplicidade.</w:t>
      </w:r>
    </w:p>
    <w:p w:rsidR="00C9505D" w:rsidRDefault="00C9505D" w:rsidP="00C9505D">
      <w:pPr>
        <w:pStyle w:val="ListParagraph"/>
      </w:pPr>
      <w:r>
        <w:t>Durante a criação comandada pelo usuário, serão rejeitados como duplicados códigos que já existirem como identificadores, alias ou ISIN no cadastro.</w:t>
      </w:r>
    </w:p>
    <w:p w:rsidR="00C9505D" w:rsidRDefault="00C9505D" w:rsidP="00C9505D">
      <w:pPr>
        <w:pStyle w:val="ListParagraph"/>
      </w:pPr>
      <w:r>
        <w:t>Durante o cadastro automático provisório, o identificador de um título novo receberá automaticamente os sufixos -01, -02, etc, para se diferenciar de outros que já existam.</w:t>
      </w:r>
    </w:p>
    <w:p w:rsidR="00C9505D" w:rsidRPr="00C9505D" w:rsidRDefault="00C9505D" w:rsidP="006C5987">
      <w:r>
        <w:t xml:space="preserve">O teste contra duplicidade testa </w:t>
      </w:r>
      <w:r>
        <w:rPr>
          <w:u w:val="single"/>
        </w:rPr>
        <w:t>todos</w:t>
      </w:r>
      <w:r>
        <w:t xml:space="preserve"> os títulos no cadastro, inclusive os que não pertencem às carteiras.</w:t>
      </w:r>
    </w:p>
    <w:p w:rsidR="00950D7D" w:rsidRDefault="00950D7D" w:rsidP="00497CF1">
      <w:pPr>
        <w:pStyle w:val="Heading2"/>
      </w:pPr>
      <w:bookmarkStart w:id="44" w:name="_Toc475092474"/>
      <w:r>
        <w:t>EDITANDO UM TÍTULO</w:t>
      </w:r>
      <w:bookmarkEnd w:id="44"/>
    </w:p>
    <w:p w:rsidR="00513248" w:rsidRDefault="00513248" w:rsidP="00513248">
      <w:r>
        <w:t>O Formulário de Edição do Título é mostrado:</w:t>
      </w:r>
    </w:p>
    <w:p w:rsidR="00513248" w:rsidRDefault="00513248" w:rsidP="00513248">
      <w:r>
        <w:tab/>
        <w:t>Ao se escolher Menu Títulos</w:t>
      </w:r>
      <w:r>
        <w:sym w:font="Wingdings" w:char="F0E0"/>
      </w:r>
      <w:r>
        <w:t>Novo e introduzir um identificador válido para o título;</w:t>
      </w:r>
    </w:p>
    <w:p w:rsidR="00513248" w:rsidRPr="00513248" w:rsidRDefault="00513248" w:rsidP="00513248">
      <w:r>
        <w:tab/>
        <w:t>Ao se escolher Menu Títulos</w:t>
      </w:r>
      <w:r>
        <w:sym w:font="Wingdings" w:char="F0E0"/>
      </w:r>
      <w:r>
        <w:t>Edita;</w:t>
      </w:r>
    </w:p>
    <w:p w:rsidR="00513248" w:rsidRDefault="00513248" w:rsidP="00513248">
      <w:pPr>
        <w:ind w:firstLine="720"/>
      </w:pPr>
      <w:r>
        <w:t>Ao se clicar duas vezes sobre a linha do título na Tela de Títulos;</w:t>
      </w:r>
    </w:p>
    <w:p w:rsidR="00513248" w:rsidRDefault="00513248" w:rsidP="00513248">
      <w:r>
        <w:tab/>
        <w:t>Ao se clicar duas vezes sobre a linha do título na Tela de Carteira.</w:t>
      </w:r>
    </w:p>
    <w:p w:rsidR="00513248" w:rsidRDefault="00513248" w:rsidP="00513248"/>
    <w:p w:rsidR="00513248" w:rsidRPr="00513248" w:rsidRDefault="00513248" w:rsidP="00513248">
      <w:r>
        <w:tab/>
      </w:r>
    </w:p>
    <w:p w:rsidR="00A71274" w:rsidRDefault="000B1A93" w:rsidP="00513248">
      <w:pPr>
        <w:jc w:val="center"/>
      </w:pPr>
      <w:r>
        <w:rPr>
          <w:noProof/>
          <w:lang w:eastAsia="pt-BR"/>
        </w:rPr>
        <w:lastRenderedPageBreak/>
        <w:pict>
          <v:shape id="_x0000_s1081" type="#_x0000_t202" style="position:absolute;left:0;text-align:left;margin-left:228.75pt;margin-top:504.65pt;width:31.5pt;height:19.5pt;z-index:251708416" filled="f" stroked="f">
            <v:textbox>
              <w:txbxContent>
                <w:p w:rsidR="003C1A56" w:rsidRPr="00513248" w:rsidRDefault="003C1A56" w:rsidP="00513248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❸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rect id="_x0000_s1080" style="position:absolute;left:0;text-align:left;margin-left:228.75pt;margin-top:504.65pt;width:204.75pt;height:23.7pt;z-index:251707392" filled="f" strokecolor="red" strokeweight="1.5pt"/>
        </w:pict>
      </w:r>
      <w:r>
        <w:rPr>
          <w:noProof/>
          <w:lang w:eastAsia="pt-BR"/>
        </w:rPr>
        <w:pict>
          <v:shape id="_x0000_s1079" type="#_x0000_t202" style="position:absolute;left:0;text-align:left;margin-left:400.5pt;margin-top:223.4pt;width:31.5pt;height:19.5pt;z-index:251706368" filled="f" stroked="f">
            <v:textbox>
              <w:txbxContent>
                <w:p w:rsidR="003C1A56" w:rsidRPr="00513248" w:rsidRDefault="003C1A56" w:rsidP="00513248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❷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78" type="#_x0000_t202" style="position:absolute;left:0;text-align:left;margin-left:402pt;margin-top:20.15pt;width:31.5pt;height:19.5pt;z-index:251705344" filled="f" stroked="f">
            <v:textbox>
              <w:txbxContent>
                <w:p w:rsidR="003C1A56" w:rsidRPr="00431641" w:rsidRDefault="003C1A56" w:rsidP="00513248">
                  <w:pPr>
                    <w:ind w:left="0"/>
                    <w:rPr>
                      <w:b/>
                      <w:color w:val="FF0000"/>
                    </w:rPr>
                  </w:pPr>
                  <w:r w:rsidRPr="00431641">
                    <w:rPr>
                      <w:b/>
                      <w:color w:val="FF0000"/>
                    </w:rPr>
                    <w:t>❶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rect id="_x0000_s1077" style="position:absolute;left:0;text-align:left;margin-left:142.5pt;margin-top:226.4pt;width:291pt;height:278.25pt;z-index:251704320" filled="f" strokecolor="red" strokeweight="1.5pt"/>
        </w:pict>
      </w:r>
      <w:r>
        <w:rPr>
          <w:noProof/>
          <w:lang w:eastAsia="pt-BR"/>
        </w:rPr>
        <w:pict>
          <v:rect id="_x0000_s1076" style="position:absolute;left:0;text-align:left;margin-left:142.5pt;margin-top:20.15pt;width:291pt;height:202.5pt;z-index:251703296" filled="f" strokecolor="red" strokeweight="1.5pt"/>
        </w:pict>
      </w:r>
      <w:r w:rsidR="00513248">
        <w:rPr>
          <w:noProof/>
          <w:lang w:eastAsia="pt-BR"/>
        </w:rPr>
        <w:drawing>
          <wp:inline distT="0" distB="0" distL="0" distR="0">
            <wp:extent cx="3810000" cy="674370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74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4C2" w:rsidRDefault="00D634C2" w:rsidP="00D634C2">
      <w:r>
        <w:t>O Formulário de Edição de Título possui 3 áreas:</w:t>
      </w:r>
    </w:p>
    <w:p w:rsidR="00D634C2" w:rsidRDefault="00D634C2" w:rsidP="00D634C2">
      <w:r>
        <w:t>❶</w:t>
      </w:r>
      <w:r w:rsidR="00CA0D5B">
        <w:t xml:space="preserve"> Campos de propriedades financeiras:</w:t>
      </w:r>
    </w:p>
    <w:p w:rsidR="00CA0D5B" w:rsidRDefault="00CA0D5B" w:rsidP="00AD6683">
      <w:pPr>
        <w:pStyle w:val="ListParagraph"/>
        <w:numPr>
          <w:ilvl w:val="0"/>
          <w:numId w:val="10"/>
        </w:numPr>
      </w:pPr>
      <w:r>
        <w:t>Identificador: é o Identificador P</w:t>
      </w:r>
      <w:r w:rsidR="00C83153">
        <w:t>rimário e não pode ser alterado;</w:t>
      </w:r>
    </w:p>
    <w:p w:rsidR="00CA0D5B" w:rsidRDefault="00CA0D5B" w:rsidP="00AD6683">
      <w:pPr>
        <w:pStyle w:val="ListParagraph"/>
        <w:numPr>
          <w:ilvl w:val="0"/>
          <w:numId w:val="10"/>
        </w:numPr>
      </w:pPr>
      <w:r>
        <w:lastRenderedPageBreak/>
        <w:t>Nome: é o nome do título</w:t>
      </w:r>
      <w:r w:rsidR="00C83153">
        <w:t>;</w:t>
      </w:r>
    </w:p>
    <w:p w:rsidR="00CA0D5B" w:rsidRDefault="00CA0D5B" w:rsidP="00AD6683">
      <w:pPr>
        <w:pStyle w:val="ListParagraph"/>
        <w:numPr>
          <w:ilvl w:val="0"/>
          <w:numId w:val="10"/>
        </w:numPr>
      </w:pPr>
      <w:r>
        <w:t>Código CETIP:</w:t>
      </w:r>
      <w:r w:rsidR="00AD6683">
        <w:t xml:space="preserve"> código CETIP</w:t>
      </w:r>
      <w:r w:rsidR="00C83153">
        <w:t>;</w:t>
      </w:r>
    </w:p>
    <w:p w:rsidR="00CA0D5B" w:rsidRDefault="00C83153" w:rsidP="00AD6683">
      <w:pPr>
        <w:pStyle w:val="ListParagraph"/>
        <w:numPr>
          <w:ilvl w:val="0"/>
          <w:numId w:val="10"/>
        </w:numPr>
      </w:pPr>
      <w:r>
        <w:t>ISIN: código ISIN;</w:t>
      </w:r>
    </w:p>
    <w:p w:rsidR="00CA0D5B" w:rsidRDefault="00CA0D5B" w:rsidP="00AD6683">
      <w:pPr>
        <w:pStyle w:val="ListParagraph"/>
        <w:numPr>
          <w:ilvl w:val="0"/>
          <w:numId w:val="10"/>
        </w:numPr>
      </w:pPr>
      <w:r>
        <w:t>Tipo:</w:t>
      </w:r>
      <w:r w:rsidR="00AD6683">
        <w:t xml:space="preserve"> é um dos tipos do padrão XML ANBIMA. Esse campo é preenchido no cadastramento automático de uma importação ANBIMA;</w:t>
      </w:r>
    </w:p>
    <w:p w:rsidR="00CA0D5B" w:rsidRDefault="00CA0D5B" w:rsidP="00AD6683">
      <w:pPr>
        <w:pStyle w:val="ListParagraph"/>
        <w:numPr>
          <w:ilvl w:val="0"/>
          <w:numId w:val="10"/>
        </w:numPr>
      </w:pPr>
      <w:r>
        <w:t>Classe de Liquidez:</w:t>
      </w:r>
      <w:r w:rsidR="00AD6683">
        <w:t xml:space="preserve"> é uma das classes de liquidez da Metodologia ANBIMA de Liquidez para fundos de crédito privado e será usada no cálculo de liquidez sob essa metodo</w:t>
      </w:r>
      <w:r w:rsidR="00C83153">
        <w:t>logia. Ver Anexo I para a lista;</w:t>
      </w:r>
    </w:p>
    <w:p w:rsidR="00CA0D5B" w:rsidRPr="00AD6683" w:rsidRDefault="00CA0D5B" w:rsidP="00AD6683">
      <w:pPr>
        <w:pStyle w:val="ListParagraph"/>
        <w:numPr>
          <w:ilvl w:val="0"/>
          <w:numId w:val="10"/>
        </w:numPr>
      </w:pPr>
      <w:r w:rsidRPr="00AD6683">
        <w:t>Schedule:</w:t>
      </w:r>
      <w:r w:rsidR="00AD6683" w:rsidRPr="00AD6683">
        <w:t xml:space="preserve"> é a descrição a</w:t>
      </w:r>
      <w:r w:rsidR="00AD6683">
        <w:t>proximada do cronograma de pagamento de juros e principal, que será utilizado se o fluxo de caixa não for infor</w:t>
      </w:r>
      <w:r w:rsidR="00C83153">
        <w:t>mado. Ver Anexo II para a lista;</w:t>
      </w:r>
    </w:p>
    <w:p w:rsidR="00CA0D5B" w:rsidRPr="00AD6683" w:rsidRDefault="00CA0D5B" w:rsidP="00AD6683">
      <w:pPr>
        <w:pStyle w:val="ListParagraph"/>
        <w:numPr>
          <w:ilvl w:val="0"/>
          <w:numId w:val="10"/>
        </w:numPr>
      </w:pPr>
      <w:r w:rsidRPr="00AD6683">
        <w:t>Maturity:</w:t>
      </w:r>
      <w:r w:rsidR="00AD6683" w:rsidRPr="00AD6683">
        <w:t xml:space="preserve"> data de v</w:t>
      </w:r>
      <w:r w:rsidR="00AD6683">
        <w:t>encimento</w:t>
      </w:r>
      <w:r w:rsidR="00C83153">
        <w:t>;</w:t>
      </w:r>
    </w:p>
    <w:p w:rsidR="00CA0D5B" w:rsidRDefault="00CA0D5B" w:rsidP="00AD6683">
      <w:pPr>
        <w:pStyle w:val="ListParagraph"/>
        <w:numPr>
          <w:ilvl w:val="0"/>
          <w:numId w:val="10"/>
        </w:numPr>
      </w:pPr>
      <w:r w:rsidRPr="00AD6683">
        <w:t>Emissão:</w:t>
      </w:r>
      <w:r w:rsidR="00AD6683" w:rsidRPr="00AD6683">
        <w:t xml:space="preserve"> </w:t>
      </w:r>
      <w:r w:rsidR="00AD6683">
        <w:t>data de emissão</w:t>
      </w:r>
      <w:r w:rsidR="00C83153">
        <w:t>;</w:t>
      </w:r>
    </w:p>
    <w:p w:rsidR="00C83153" w:rsidRDefault="00C83153" w:rsidP="00AD6683">
      <w:pPr>
        <w:pStyle w:val="ListParagraph"/>
        <w:numPr>
          <w:ilvl w:val="0"/>
          <w:numId w:val="10"/>
        </w:numPr>
      </w:pPr>
      <w:r>
        <w:t>Cupom: taxa de juros contratual;</w:t>
      </w:r>
    </w:p>
    <w:p w:rsidR="00CA0D5B" w:rsidRDefault="00CA0D5B" w:rsidP="00AD6683">
      <w:pPr>
        <w:pStyle w:val="ListParagraph"/>
        <w:numPr>
          <w:ilvl w:val="0"/>
          <w:numId w:val="10"/>
        </w:numPr>
      </w:pPr>
      <w:r w:rsidRPr="00AD6683">
        <w:t>DayCount:</w:t>
      </w:r>
      <w:r w:rsidR="00AD6683" w:rsidRPr="00AD6683">
        <w:t xml:space="preserve"> </w:t>
      </w:r>
      <w:r w:rsidR="00AD6683">
        <w:t>convenção da taxa de juros: “ACT/ACT”, “ACT/360”, “30/360” ou “BUS/252”</w:t>
      </w:r>
      <w:r w:rsidR="00C83153">
        <w:t>;</w:t>
      </w:r>
    </w:p>
    <w:p w:rsidR="00C83153" w:rsidRPr="00AD6683" w:rsidRDefault="00C83153" w:rsidP="00C83153">
      <w:pPr>
        <w:pStyle w:val="ListParagraph"/>
        <w:numPr>
          <w:ilvl w:val="0"/>
          <w:numId w:val="10"/>
        </w:numPr>
      </w:pPr>
      <w:r w:rsidRPr="00AD6683">
        <w:t>Indexador:</w:t>
      </w:r>
      <w:r>
        <w:t xml:space="preserve"> indexador do título, para cálculos de risco de mercado. Pode ser CDI+, %CDI, IPCA+, IGPM+, IGPDI+, SELIC, FIXED (pré-fixado) ou DOLAR;</w:t>
      </w:r>
    </w:p>
    <w:p w:rsidR="00CA0D5B" w:rsidRDefault="00CA0D5B" w:rsidP="00AD6683">
      <w:pPr>
        <w:pStyle w:val="ListParagraph"/>
        <w:numPr>
          <w:ilvl w:val="0"/>
          <w:numId w:val="10"/>
        </w:numPr>
      </w:pPr>
      <w:r>
        <w:t>Status: é o status do r</w:t>
      </w:r>
      <w:r w:rsidR="00C83153">
        <w:t>egistro e não pode ser alterado;</w:t>
      </w:r>
    </w:p>
    <w:p w:rsidR="00C83153" w:rsidRDefault="00C83153" w:rsidP="00AD6683">
      <w:pPr>
        <w:pStyle w:val="ListParagraph"/>
        <w:numPr>
          <w:ilvl w:val="0"/>
          <w:numId w:val="10"/>
        </w:numPr>
      </w:pPr>
      <w:r>
        <w:t xml:space="preserve">Se o título representa um investimento em quotas de um fundo cadastrado no SRC. Caso este checkbox seja marcado, o SRC procurará o fundo que o título representa para fins de consolidação de carteira (ver </w:t>
      </w:r>
      <w:r w:rsidR="000B1A93">
        <w:fldChar w:fldCharType="begin"/>
      </w:r>
      <w:r>
        <w:instrText xml:space="preserve"> REF _Ref458500929 \r \h </w:instrText>
      </w:r>
      <w:r w:rsidR="000B1A93">
        <w:fldChar w:fldCharType="separate"/>
      </w:r>
      <w:r>
        <w:t>III-5</w:t>
      </w:r>
      <w:r w:rsidR="000B1A93">
        <w:fldChar w:fldCharType="end"/>
      </w:r>
      <w:r>
        <w:t>).</w:t>
      </w:r>
    </w:p>
    <w:p w:rsidR="00D634C2" w:rsidRDefault="00D634C2" w:rsidP="00D634C2">
      <w:r>
        <w:t>❷</w:t>
      </w:r>
      <w:r w:rsidR="00CA0D5B">
        <w:t xml:space="preserve"> Lista de propriedades descritivas</w:t>
      </w:r>
    </w:p>
    <w:p w:rsidR="00CA0D5B" w:rsidRDefault="00CA0D5B" w:rsidP="00D634C2">
      <w:r>
        <w:t>Em cada linha:</w:t>
      </w:r>
    </w:p>
    <w:p w:rsidR="00CA0D5B" w:rsidRDefault="00CA0D5B" w:rsidP="00CA0D5B">
      <w:pPr>
        <w:pStyle w:val="ListParagraph"/>
        <w:numPr>
          <w:ilvl w:val="0"/>
          <w:numId w:val="10"/>
        </w:numPr>
      </w:pPr>
      <w:r>
        <w:t xml:space="preserve">Se a propriedade for Elencada, teclar </w:t>
      </w:r>
      <w:r w:rsidRPr="00CA0D5B">
        <w:rPr>
          <w:u w:val="single"/>
        </w:rPr>
        <w:t>espaço</w:t>
      </w:r>
      <w:r>
        <w:t xml:space="preserve"> alternará o seu valor.</w:t>
      </w:r>
    </w:p>
    <w:p w:rsidR="00CA0D5B" w:rsidRPr="00CA0D5B" w:rsidRDefault="00CA0D5B" w:rsidP="00CA0D5B">
      <w:pPr>
        <w:pStyle w:val="ListParagraph"/>
        <w:numPr>
          <w:ilvl w:val="0"/>
          <w:numId w:val="10"/>
        </w:numPr>
      </w:pPr>
      <w:r>
        <w:t>Se a propriedade for Livre, será mostrado “</w:t>
      </w:r>
      <w:r w:rsidRPr="0099160B">
        <w:rPr>
          <w:u w:val="single"/>
        </w:rPr>
        <w:t>(L)</w:t>
      </w:r>
      <w:r>
        <w:t>” após o seu nome. O usuário a preenche escrevendo no campo inferior e clicando em “</w:t>
      </w:r>
      <w:r>
        <w:sym w:font="Wingdings" w:char="F0E0"/>
      </w:r>
      <w:r>
        <w:t>Prop”</w:t>
      </w:r>
    </w:p>
    <w:p w:rsidR="00D634C2" w:rsidRDefault="00D634C2" w:rsidP="00D634C2">
      <w:r>
        <w:t>❸</w:t>
      </w:r>
      <w:r w:rsidR="00CA0D5B">
        <w:t xml:space="preserve"> Os botões de acionamento:</w:t>
      </w:r>
    </w:p>
    <w:p w:rsidR="00CA0D5B" w:rsidRDefault="00CA0D5B" w:rsidP="00CA0D5B">
      <w:pPr>
        <w:pStyle w:val="ListParagraph"/>
        <w:numPr>
          <w:ilvl w:val="0"/>
          <w:numId w:val="11"/>
        </w:numPr>
      </w:pPr>
      <w:r>
        <w:t>Cancelar: Cancela a edição</w:t>
      </w:r>
    </w:p>
    <w:p w:rsidR="00CA0D5B" w:rsidRDefault="00CA0D5B" w:rsidP="00CA0D5B">
      <w:pPr>
        <w:pStyle w:val="ListParagraph"/>
        <w:numPr>
          <w:ilvl w:val="0"/>
          <w:numId w:val="11"/>
        </w:numPr>
      </w:pPr>
      <w:r>
        <w:lastRenderedPageBreak/>
        <w:t>OK: Mantém a edição, mas não libera o título, que fica com o status “Editado”</w:t>
      </w:r>
    </w:p>
    <w:p w:rsidR="00CA0D5B" w:rsidRDefault="00CA0D5B" w:rsidP="00CA0D5B">
      <w:pPr>
        <w:pStyle w:val="ListParagraph"/>
        <w:numPr>
          <w:ilvl w:val="0"/>
          <w:numId w:val="11"/>
        </w:numPr>
      </w:pPr>
      <w:r>
        <w:t>OK e liberado: Mantém a edição e marca o título como “Liberado”.</w:t>
      </w:r>
    </w:p>
    <w:p w:rsidR="00CA0D5B" w:rsidRPr="00A71274" w:rsidRDefault="00CA0D5B" w:rsidP="00CA0D5B">
      <w:pPr>
        <w:ind w:left="1080"/>
      </w:pPr>
      <w:r>
        <w:t>Obs: “Cancelar” cancela a edição do título, mas não a sua criação. O registro criado continuará existindo até ser utilizado ou excluído.</w:t>
      </w:r>
    </w:p>
    <w:p w:rsidR="00801FC9" w:rsidRDefault="00801FC9" w:rsidP="00497CF1">
      <w:pPr>
        <w:pStyle w:val="Heading2"/>
      </w:pPr>
      <w:bookmarkStart w:id="45" w:name="_Ref458501078"/>
      <w:bookmarkStart w:id="46" w:name="_Toc475092475"/>
      <w:r>
        <w:t>FLUXO DE CAIXA</w:t>
      </w:r>
      <w:bookmarkEnd w:id="45"/>
      <w:bookmarkEnd w:id="46"/>
    </w:p>
    <w:p w:rsidR="003821A3" w:rsidRDefault="003821A3" w:rsidP="00E61225">
      <w:r>
        <w:t>O fluxo de caixa dos títulos é usado para cálculos de liquidez e de risco de mercado.</w:t>
      </w:r>
    </w:p>
    <w:p w:rsidR="00A83425" w:rsidRDefault="00A83425" w:rsidP="00E61225">
      <w:r>
        <w:t xml:space="preserve">Para </w:t>
      </w:r>
      <w:r>
        <w:rPr>
          <w:u w:val="single"/>
        </w:rPr>
        <w:t>visualizar</w:t>
      </w:r>
      <w:r>
        <w:t xml:space="preserve"> o fluxo de caixa de um título selecionado, clica-se o botão “Cflow” no Cadastro de Títulos. Aparecerá o </w:t>
      </w:r>
      <w:r w:rsidR="00F40D19">
        <w:t>Formulário de Fluxo de Caixa.</w:t>
      </w:r>
    </w:p>
    <w:p w:rsidR="00A83425" w:rsidRDefault="00A83425" w:rsidP="00E61225">
      <w:r>
        <w:rPr>
          <w:noProof/>
          <w:lang w:eastAsia="pt-BR"/>
        </w:rPr>
        <w:drawing>
          <wp:inline distT="0" distB="0" distL="0" distR="0">
            <wp:extent cx="3352800" cy="5086350"/>
            <wp:effectExtent l="19050" t="0" r="0" b="0"/>
            <wp:docPr id="2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08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25" w:rsidRDefault="00A83425" w:rsidP="00CA6E5C">
      <w:pPr>
        <w:pStyle w:val="ListParagraph"/>
        <w:numPr>
          <w:ilvl w:val="0"/>
          <w:numId w:val="30"/>
        </w:numPr>
      </w:pPr>
      <w:r>
        <w:lastRenderedPageBreak/>
        <w:t xml:space="preserve">A coluna “Principal” contém </w:t>
      </w:r>
      <w:r w:rsidR="003821A3">
        <w:t xml:space="preserve">as projeções de pagamento de principal em cada data para cada R$ 1 investido no título na </w:t>
      </w:r>
      <w:r>
        <w:t>Data Base.</w:t>
      </w:r>
    </w:p>
    <w:p w:rsidR="00A83425" w:rsidRDefault="00A83425" w:rsidP="00CA6E5C">
      <w:pPr>
        <w:pStyle w:val="ListParagraph"/>
        <w:numPr>
          <w:ilvl w:val="0"/>
          <w:numId w:val="30"/>
        </w:numPr>
      </w:pPr>
      <w:r>
        <w:t xml:space="preserve">A coluna “Juros” contém a estimativa de pagamento de juros </w:t>
      </w:r>
      <w:r w:rsidR="003821A3">
        <w:t>em cada data para cada R$ 1 investidos na Data Base</w:t>
      </w:r>
      <w:r>
        <w:t>.</w:t>
      </w:r>
    </w:p>
    <w:p w:rsidR="00A83425" w:rsidRDefault="00A83425" w:rsidP="00E61225">
      <w:r>
        <w:rPr>
          <w:u w:val="single"/>
        </w:rPr>
        <w:t>Fluxo de Caixa Indicativo</w:t>
      </w:r>
    </w:p>
    <w:p w:rsidR="00A83425" w:rsidRDefault="00A83425" w:rsidP="00E61225">
      <w:r>
        <w:t xml:space="preserve">A coluna “CashFlow” do Cadastro de Títulos (visível apenas </w:t>
      </w:r>
      <w:r w:rsidR="00C83153">
        <w:t>no</w:t>
      </w:r>
      <w:r>
        <w:t xml:space="preserve"> conjunto </w:t>
      </w:r>
      <w:r w:rsidR="00C83153">
        <w:t>de</w:t>
      </w:r>
      <w:r>
        <w:t xml:space="preserve"> propriedades Financeiras) assinala se o título possui um registro de fluxo de caixa </w:t>
      </w:r>
      <w:r w:rsidR="0012121E">
        <w:t>informado pelo usuário</w:t>
      </w:r>
      <w:r>
        <w:t>.</w:t>
      </w:r>
    </w:p>
    <w:p w:rsidR="00A83425" w:rsidRDefault="00A83425" w:rsidP="00E61225">
      <w:r>
        <w:t>O usuário pode introduzir o fluxo de caixa do título com uma operação de “copy-paste” de uma fonte externa.</w:t>
      </w:r>
    </w:p>
    <w:p w:rsidR="00A83425" w:rsidRPr="00A83425" w:rsidRDefault="00A83425" w:rsidP="00E61225">
      <w:r>
        <w:t xml:space="preserve">Caso o usuário nunca tenha especificado o fluxo de caixa do título, este será gerado provisoriamente pelo SRC com base na propriedade “Schedule” do cadastro. O fluxo assim gerado é </w:t>
      </w:r>
      <w:r>
        <w:rPr>
          <w:u w:val="single"/>
        </w:rPr>
        <w:t>indicativo</w:t>
      </w:r>
      <w:r>
        <w:t xml:space="preserve"> e assinalado com um alerta no Formulário de Fluxo de Caixa.</w:t>
      </w:r>
    </w:p>
    <w:p w:rsidR="00A83425" w:rsidRPr="00A83425" w:rsidRDefault="00F40D19" w:rsidP="00E61225">
      <w:r>
        <w:rPr>
          <w:noProof/>
          <w:lang w:eastAsia="pt-BR"/>
        </w:rPr>
        <w:drawing>
          <wp:inline distT="0" distB="0" distL="0" distR="0">
            <wp:extent cx="2708910" cy="4114800"/>
            <wp:effectExtent l="1905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425" w:rsidRPr="00A83425" w:rsidRDefault="00F40D19" w:rsidP="00E61225">
      <w:pPr>
        <w:rPr>
          <w:u w:val="single"/>
        </w:rPr>
      </w:pPr>
      <w:r>
        <w:rPr>
          <w:u w:val="single"/>
        </w:rPr>
        <w:t>Introdução</w:t>
      </w:r>
      <w:r w:rsidR="00A83425">
        <w:rPr>
          <w:u w:val="single"/>
        </w:rPr>
        <w:t xml:space="preserve"> do Fluxo de Caixa</w:t>
      </w:r>
    </w:p>
    <w:p w:rsidR="00DB5D1A" w:rsidRDefault="00DB5D1A" w:rsidP="00E61225">
      <w:r>
        <w:lastRenderedPageBreak/>
        <w:t xml:space="preserve">O fluxo de caixa de um título é </w:t>
      </w:r>
      <w:r w:rsidR="00F40D19">
        <w:t>introduzido</w:t>
      </w:r>
      <w:r w:rsidR="0012121E">
        <w:t xml:space="preserve"> pelo usuário</w:t>
      </w:r>
      <w:r w:rsidR="00F40D19">
        <w:t xml:space="preserve"> no SRC</w:t>
      </w:r>
      <w:r>
        <w:t xml:space="preserve"> com Ct-C a partir de uma planilha ou outro documento Office, e Ct-V no </w:t>
      </w:r>
      <w:r w:rsidR="00F40D19">
        <w:t>Formulário de Fluxo de Caixa</w:t>
      </w:r>
      <w:r>
        <w:t>.</w:t>
      </w:r>
      <w:r w:rsidR="00F40D19">
        <w:t xml:space="preserve"> Clicar o botão “Paste Fluxo de Caixa (Ct-V)” tem o mesmo efeito que pressionar Ct-V.</w:t>
      </w:r>
    </w:p>
    <w:p w:rsidR="00F40D19" w:rsidRDefault="00F40D19" w:rsidP="00E61225">
      <w:r>
        <w:t>A área a ser importada deve possuir 3 colunas. A 1ª coluna deve conter uma data, a 2ª coluna deve conter um percentual de amortização, e a 3ª coluna deve ser vazia.</w:t>
      </w:r>
    </w:p>
    <w:p w:rsidR="00CF03B6" w:rsidRDefault="00CF03B6" w:rsidP="00E61225"/>
    <w:p w:rsidR="00CF03B6" w:rsidRDefault="00CF03B6" w:rsidP="00E61225">
      <w:r>
        <w:rPr>
          <w:noProof/>
          <w:lang w:eastAsia="pt-BR"/>
        </w:rPr>
        <w:drawing>
          <wp:inline distT="0" distB="0" distL="0" distR="0">
            <wp:extent cx="3017520" cy="274320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D19" w:rsidRDefault="00F40D19" w:rsidP="00F40D19">
      <w:r>
        <w:t>Há duas maneiras de informar a coluna de “</w:t>
      </w:r>
      <w:r w:rsidRPr="00F40D19">
        <w:rPr>
          <w:u w:val="single"/>
        </w:rPr>
        <w:t>amortização</w:t>
      </w:r>
      <w:r>
        <w:t>”:</w:t>
      </w:r>
    </w:p>
    <w:p w:rsidR="00F40D19" w:rsidRDefault="00F40D19" w:rsidP="00CA6E5C">
      <w:pPr>
        <w:pStyle w:val="ListParagraph"/>
        <w:numPr>
          <w:ilvl w:val="0"/>
          <w:numId w:val="29"/>
        </w:numPr>
      </w:pPr>
      <w:r>
        <w:t>Se a soma dos percentuais de amortização for superior a 100%, o SRC considerará que são percentuais sobre o valor não amortizado imediatamente anterior.</w:t>
      </w:r>
    </w:p>
    <w:p w:rsidR="00F40D19" w:rsidRDefault="00F40D19" w:rsidP="00CA6E5C">
      <w:pPr>
        <w:pStyle w:val="ListParagraph"/>
        <w:numPr>
          <w:ilvl w:val="0"/>
          <w:numId w:val="29"/>
        </w:numPr>
      </w:pPr>
      <w:r>
        <w:t>Se a soma dos percentuais de amortização for 100%, o SRC considerará que são percentuais sobre o valor inicial.</w:t>
      </w:r>
    </w:p>
    <w:p w:rsidR="00F40D19" w:rsidRDefault="00F40D19" w:rsidP="00E61225">
      <w:r>
        <w:t>Após dado Ct-V, o SRC lerá o fluxo copiado e tentará interpretá-lo. Podem acontecer 2 resultados:</w:t>
      </w:r>
    </w:p>
    <w:p w:rsidR="00F40D19" w:rsidRDefault="00F40D19" w:rsidP="00CA6E5C">
      <w:pPr>
        <w:pStyle w:val="ListParagraph"/>
        <w:numPr>
          <w:ilvl w:val="0"/>
          <w:numId w:val="31"/>
        </w:numPr>
      </w:pPr>
      <w:r>
        <w:t>O SRC não consegue interpretar o formato copiado ou detecta inconsistência no cronograma de amortização e dá uma mensagem de erro.</w:t>
      </w:r>
    </w:p>
    <w:p w:rsidR="00F40D19" w:rsidRDefault="00F40D19" w:rsidP="00CA6E5C">
      <w:pPr>
        <w:pStyle w:val="ListParagraph"/>
        <w:numPr>
          <w:ilvl w:val="0"/>
          <w:numId w:val="31"/>
        </w:numPr>
      </w:pPr>
      <w:r>
        <w:t>O SRC consegue interpretar o formato copiado e apresenta a sua versão do fluxo a ser importado, mudando o botão de acionamento do Formulário de “Paste” para “Importa Fluxo de Caixa”.</w:t>
      </w:r>
    </w:p>
    <w:p w:rsidR="00A83425" w:rsidRDefault="00A83425" w:rsidP="00E61225">
      <w:r>
        <w:rPr>
          <w:noProof/>
          <w:lang w:eastAsia="pt-BR"/>
        </w:rPr>
        <w:lastRenderedPageBreak/>
        <w:drawing>
          <wp:inline distT="0" distB="0" distL="0" distR="0">
            <wp:extent cx="2708910" cy="4114800"/>
            <wp:effectExtent l="19050" t="0" r="0" b="0"/>
            <wp:docPr id="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D19" w:rsidRDefault="00F40D19" w:rsidP="00E61225">
      <w:r>
        <w:t>Ao clicar em “Importa Fluxo de Caixa”, o usuário comanda que o fluxo seja importado no SRC e a partir desse momento passará a estar associado ao título.</w:t>
      </w:r>
    </w:p>
    <w:p w:rsidR="00F40D19" w:rsidRDefault="00F40D19" w:rsidP="00E61225">
      <w:r>
        <w:t>Independente de como as amo</w:t>
      </w:r>
      <w:r w:rsidR="003821A3">
        <w:t>rtizações foram especificadas durante o ‘copy-paste’</w:t>
      </w:r>
      <w:r>
        <w:t xml:space="preserve">, o SRC sempre </w:t>
      </w:r>
      <w:r>
        <w:rPr>
          <w:u w:val="single"/>
        </w:rPr>
        <w:t>exibe</w:t>
      </w:r>
      <w:r>
        <w:t xml:space="preserve"> o </w:t>
      </w:r>
      <w:r w:rsidR="003821A3">
        <w:t>pagamento</w:t>
      </w:r>
      <w:r>
        <w:t xml:space="preserve"> de amortização em relação ao principal </w:t>
      </w:r>
      <w:r w:rsidR="003821A3">
        <w:t>em aberto na Data Base. Caso o título seja indexado a algum índice de inflação, o pagamento é majorado pela inflação esperada desde a Data Base até a data de pagamento do fluxo.</w:t>
      </w:r>
    </w:p>
    <w:p w:rsidR="003821A3" w:rsidRPr="00F40D19" w:rsidRDefault="003821A3" w:rsidP="00E61225">
      <w:r>
        <w:t>Os juros são calculados pelo SRC com base no cupom informado e nas taxas informadas de CDI e inflação.</w:t>
      </w:r>
    </w:p>
    <w:p w:rsidR="00A83425" w:rsidRDefault="00A83425" w:rsidP="00E61225">
      <w:r>
        <w:rPr>
          <w:noProof/>
          <w:lang w:eastAsia="pt-BR"/>
        </w:rPr>
        <w:lastRenderedPageBreak/>
        <w:drawing>
          <wp:inline distT="0" distB="0" distL="0" distR="0">
            <wp:extent cx="2712482" cy="4114800"/>
            <wp:effectExtent l="19050" t="0" r="0" b="0"/>
            <wp:docPr id="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482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959" w:rsidRDefault="00936959" w:rsidP="00497CF1">
      <w:pPr>
        <w:pStyle w:val="Heading2"/>
      </w:pPr>
      <w:bookmarkStart w:id="47" w:name="_Ref458501069"/>
      <w:bookmarkStart w:id="48" w:name="_Toc475092476"/>
      <w:r>
        <w:t>ALIAS</w:t>
      </w:r>
      <w:bookmarkEnd w:id="47"/>
      <w:bookmarkEnd w:id="48"/>
    </w:p>
    <w:p w:rsidR="00E06C77" w:rsidRDefault="00E06C77" w:rsidP="00E61225">
      <w:r>
        <w:t>Um mesmo título pode ter mais de um identificador.</w:t>
      </w:r>
    </w:p>
    <w:p w:rsidR="00E06C77" w:rsidRDefault="007C2384" w:rsidP="00E61225">
      <w:r>
        <w:t>Um identificador alternativo</w:t>
      </w:r>
      <w:r w:rsidR="00E06C77">
        <w:t xml:space="preserve"> do título </w:t>
      </w:r>
      <w:r>
        <w:t xml:space="preserve">é um </w:t>
      </w:r>
      <w:r w:rsidR="00E06C77">
        <w:t>“alias”</w:t>
      </w:r>
    </w:p>
    <w:p w:rsidR="007C2384" w:rsidRDefault="007C2384" w:rsidP="00E61225">
      <w:r>
        <w:t>O “alias” é útil para compatibilizar dados provenientes de várias fontes. Por exemplo: títulos identificados pelo código do administrador em uma importação TXT com títulos identificados pelo ISIN em uma importação XML ANBIMA.</w:t>
      </w:r>
    </w:p>
    <w:p w:rsidR="007C2384" w:rsidRDefault="007C2384" w:rsidP="00E61225">
      <w:r>
        <w:t>O “alias” também permite que registros que se referem ao mesmo título</w:t>
      </w:r>
      <w:r w:rsidR="00950D7D">
        <w:t xml:space="preserve">, </w:t>
      </w:r>
      <w:r>
        <w:t>mas sejam diferenciados pelo identificador</w:t>
      </w:r>
      <w:r w:rsidR="00950D7D">
        <w:t>,</w:t>
      </w:r>
      <w:r>
        <w:t xml:space="preserve"> sejam unificados. Por exemplo, quando ocorrem trocas de ISIN, por causa da listagem do emissor ou outros eventos.</w:t>
      </w:r>
    </w:p>
    <w:p w:rsidR="00950D7D" w:rsidRDefault="00950D7D" w:rsidP="00E61225">
      <w:r>
        <w:t>A recíproca não é verdadeira: dois títulos não podem ter o mesmo identificador (não pode haver identificadores duplicados). O sistema impedirá que se criem identificadores que já existem no cadastro de títulos ou na lista de alias, e impedirá que o usuário altere o ISIN de um título para um número que já exista no cadastro.</w:t>
      </w:r>
    </w:p>
    <w:p w:rsidR="007C2384" w:rsidRDefault="007C2384" w:rsidP="00E61225">
      <w:r>
        <w:t xml:space="preserve">A </w:t>
      </w:r>
      <w:r>
        <w:rPr>
          <w:u w:val="single"/>
        </w:rPr>
        <w:t>lista de alias</w:t>
      </w:r>
      <w:r>
        <w:t xml:space="preserve"> somente para </w:t>
      </w:r>
      <w:r w:rsidRPr="007C2384">
        <w:rPr>
          <w:u w:val="single"/>
        </w:rPr>
        <w:t>consulta</w:t>
      </w:r>
      <w:r>
        <w:t xml:space="preserve"> é acessada em Menu Principal</w:t>
      </w:r>
      <w:r>
        <w:sym w:font="Wingdings" w:char="F0E0"/>
      </w:r>
      <w:r>
        <w:t>Títulos</w:t>
      </w:r>
      <w:r>
        <w:sym w:font="Wingdings" w:char="F0E0"/>
      </w:r>
      <w:r>
        <w:t>Lista de Alias</w:t>
      </w:r>
      <w:r w:rsidR="00AE49AA">
        <w:t>.</w:t>
      </w:r>
    </w:p>
    <w:p w:rsidR="00950D7D" w:rsidRDefault="00950D7D" w:rsidP="00E61225">
      <w:r>
        <w:rPr>
          <w:noProof/>
          <w:lang w:eastAsia="pt-BR"/>
        </w:rPr>
        <w:lastRenderedPageBreak/>
        <w:drawing>
          <wp:inline distT="0" distB="0" distL="0" distR="0">
            <wp:extent cx="5657850" cy="546735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9AA" w:rsidRPr="00AE49AA" w:rsidRDefault="00AE49AA" w:rsidP="00E61225">
      <w:r>
        <w:t xml:space="preserve">A </w:t>
      </w:r>
      <w:r>
        <w:rPr>
          <w:u w:val="single"/>
        </w:rPr>
        <w:t>criação</w:t>
      </w:r>
      <w:r>
        <w:t xml:space="preserve"> de um alias é feita no botão “ALIAS” da Tela de Títulos</w:t>
      </w:r>
    </w:p>
    <w:p w:rsidR="000A50AF" w:rsidRDefault="00342C93" w:rsidP="00D85C43">
      <w:pPr>
        <w:pStyle w:val="Heading1"/>
      </w:pPr>
      <w:bookmarkStart w:id="49" w:name="_Toc475092477"/>
      <w:r>
        <w:lastRenderedPageBreak/>
        <w:t>COMPLIANCE DE CARTEIRA</w:t>
      </w:r>
      <w:bookmarkEnd w:id="49"/>
    </w:p>
    <w:p w:rsidR="004911F0" w:rsidRDefault="004911F0" w:rsidP="00497CF1">
      <w:pPr>
        <w:pStyle w:val="Heading2"/>
      </w:pPr>
      <w:bookmarkStart w:id="50" w:name="_Toc475092478"/>
      <w:r>
        <w:t>GERAL</w:t>
      </w:r>
      <w:bookmarkEnd w:id="50"/>
    </w:p>
    <w:p w:rsidR="004911F0" w:rsidRDefault="004911F0" w:rsidP="00C676D2">
      <w:r>
        <w:t xml:space="preserve">A função de </w:t>
      </w:r>
      <w:r w:rsidR="00342C93">
        <w:t>Compliance de carteira</w:t>
      </w:r>
      <w:r>
        <w:t xml:space="preserve"> permite cadastrar</w:t>
      </w:r>
      <w:r w:rsidR="00342C93">
        <w:t xml:space="preserve"> e monitorar</w:t>
      </w:r>
      <w:r>
        <w:t xml:space="preserve"> </w:t>
      </w:r>
      <w:r w:rsidRPr="00342C93">
        <w:rPr>
          <w:u w:val="single"/>
        </w:rPr>
        <w:t>regras</w:t>
      </w:r>
      <w:r>
        <w:t xml:space="preserve"> </w:t>
      </w:r>
      <w:r w:rsidR="00342C93">
        <w:t>de</w:t>
      </w:r>
      <w:r>
        <w:t xml:space="preserve"> </w:t>
      </w:r>
      <w:r w:rsidRPr="00342C93">
        <w:rPr>
          <w:u w:val="single"/>
        </w:rPr>
        <w:t>limites</w:t>
      </w:r>
      <w:r>
        <w:t xml:space="preserve"> de </w:t>
      </w:r>
      <w:r w:rsidRPr="00342C93">
        <w:rPr>
          <w:u w:val="single"/>
        </w:rPr>
        <w:t>concentração</w:t>
      </w:r>
      <w:r>
        <w:t xml:space="preserve"> para os fundos.</w:t>
      </w:r>
    </w:p>
    <w:p w:rsidR="00342C93" w:rsidRDefault="00342C93" w:rsidP="00C676D2">
      <w:r>
        <w:t xml:space="preserve">A </w:t>
      </w:r>
      <w:r>
        <w:rPr>
          <w:u w:val="single"/>
        </w:rPr>
        <w:t>proibição</w:t>
      </w:r>
      <w:r>
        <w:t xml:space="preserve"> de certos tipos de investimento é tratada como um “limite zero” de concentração.</w:t>
      </w:r>
    </w:p>
    <w:p w:rsidR="00342C93" w:rsidRPr="00342C93" w:rsidRDefault="00342C93" w:rsidP="00C676D2">
      <w:r>
        <w:t xml:space="preserve">Esta função </w:t>
      </w:r>
      <w:r>
        <w:rPr>
          <w:u w:val="single"/>
        </w:rPr>
        <w:t>não trata</w:t>
      </w:r>
      <w:r>
        <w:t xml:space="preserve"> regras que não sejam de concentração, como por exemplo a proibição de day-trade ou regras de túnel de preço. Essas regras podem ser tratadas sob outras funções do SRC, como a de AML.</w:t>
      </w:r>
    </w:p>
    <w:p w:rsidR="004911F0" w:rsidRDefault="004911F0" w:rsidP="00C676D2">
      <w:r>
        <w:t xml:space="preserve">A </w:t>
      </w:r>
      <w:r w:rsidR="00342C93" w:rsidRPr="00342C93">
        <w:rPr>
          <w:u w:val="single"/>
        </w:rPr>
        <w:t>violação</w:t>
      </w:r>
      <w:r>
        <w:t xml:space="preserve"> d</w:t>
      </w:r>
      <w:r w:rsidR="00342C93">
        <w:t>e um</w:t>
      </w:r>
      <w:r>
        <w:t xml:space="preserve"> limite </w:t>
      </w:r>
      <w:r w:rsidR="00342C93">
        <w:t>aciona</w:t>
      </w:r>
      <w:r>
        <w:t xml:space="preserve"> um “sinal vermelho” no Dashboard e um reporte de “BREACH” nos relatórios.</w:t>
      </w:r>
    </w:p>
    <w:p w:rsidR="004911F0" w:rsidRDefault="00342C93" w:rsidP="00C676D2">
      <w:r>
        <w:t xml:space="preserve">O SRC </w:t>
      </w:r>
      <w:r w:rsidR="004911F0">
        <w:t>permite cadastrar um “</w:t>
      </w:r>
      <w:r w:rsidR="004911F0" w:rsidRPr="00342C93">
        <w:rPr>
          <w:u w:val="single"/>
        </w:rPr>
        <w:t>soft limit</w:t>
      </w:r>
      <w:r>
        <w:t>” ou nível de “warning</w:t>
      </w:r>
      <w:r w:rsidR="004911F0">
        <w:t>”</w:t>
      </w:r>
      <w:r>
        <w:t xml:space="preserve"> para cada regra</w:t>
      </w:r>
      <w:r w:rsidR="004911F0">
        <w:t xml:space="preserve">. A ultrapassagem do “soft limit” sem </w:t>
      </w:r>
      <w:r>
        <w:t>violar</w:t>
      </w:r>
      <w:r w:rsidR="004911F0">
        <w:t xml:space="preserve"> o limite gera um “sinal amarelo” no Dashboard e um report de “WARN” nos relatórios.</w:t>
      </w:r>
    </w:p>
    <w:p w:rsidR="00342C93" w:rsidRDefault="00342C93" w:rsidP="00C676D2">
      <w:r>
        <w:t>O usuário tem que:</w:t>
      </w:r>
    </w:p>
    <w:p w:rsidR="00342C93" w:rsidRDefault="00F70D9A" w:rsidP="000C735F">
      <w:pPr>
        <w:pStyle w:val="ListParagraph"/>
      </w:pPr>
      <w:r>
        <w:t>D</w:t>
      </w:r>
      <w:r w:rsidR="00342C93">
        <w:t>efinir</w:t>
      </w:r>
      <w:r>
        <w:t xml:space="preserve"> e manter atualizadas</w:t>
      </w:r>
      <w:r w:rsidR="00342C93">
        <w:t xml:space="preserve"> as propriedades dos títulos que serão usadas pelas regras</w:t>
      </w:r>
      <w:r w:rsidR="000C735F">
        <w:t xml:space="preserve"> (</w:t>
      </w:r>
      <w:r w:rsidR="000C735F" w:rsidRPr="00C83153">
        <w:t>ver</w:t>
      </w:r>
      <w:r w:rsidR="00C83153" w:rsidRPr="00C83153">
        <w:t xml:space="preserve"> </w:t>
      </w:r>
      <w:fldSimple w:instr=" REF _Ref459035232 \r \h  \* MERGEFORMAT ">
        <w:r w:rsidR="00C83153" w:rsidRPr="00C83153">
          <w:t>IV-7</w:t>
        </w:r>
      </w:fldSimple>
      <w:r w:rsidR="000C735F">
        <w:t>);</w:t>
      </w:r>
    </w:p>
    <w:p w:rsidR="00342C93" w:rsidRDefault="00342C93" w:rsidP="000C735F">
      <w:pPr>
        <w:pStyle w:val="ListParagraph"/>
      </w:pPr>
      <w:r>
        <w:t>definir as regras</w:t>
      </w:r>
      <w:r w:rsidR="000C735F">
        <w:t>;</w:t>
      </w:r>
    </w:p>
    <w:p w:rsidR="00342C93" w:rsidRDefault="00342C93" w:rsidP="000C735F">
      <w:pPr>
        <w:pStyle w:val="ListParagraph"/>
      </w:pPr>
      <w:r>
        <w:t>organizar as regras em “Livros”</w:t>
      </w:r>
      <w:r w:rsidR="000C735F">
        <w:t>;</w:t>
      </w:r>
    </w:p>
    <w:p w:rsidR="00342C93" w:rsidRDefault="00342C93" w:rsidP="000C735F">
      <w:pPr>
        <w:pStyle w:val="ListParagraph"/>
      </w:pPr>
      <w:r>
        <w:t>atribuir os Livros aos fundos</w:t>
      </w:r>
      <w:r w:rsidR="000C735F">
        <w:t>;</w:t>
      </w:r>
    </w:p>
    <w:p w:rsidR="000C735F" w:rsidRDefault="000C735F" w:rsidP="000C735F">
      <w:pPr>
        <w:pStyle w:val="ListParagraph"/>
      </w:pPr>
      <w:r>
        <w:t>monitorar o resultado das regras.</w:t>
      </w:r>
    </w:p>
    <w:p w:rsidR="00D85C43" w:rsidRDefault="00D85C43" w:rsidP="00497CF1">
      <w:pPr>
        <w:pStyle w:val="Heading2"/>
      </w:pPr>
      <w:bookmarkStart w:id="51" w:name="_Toc475092479"/>
      <w:r>
        <w:t>REGRAS DE COMPLIANCE</w:t>
      </w:r>
      <w:bookmarkEnd w:id="51"/>
    </w:p>
    <w:p w:rsidR="00342C93" w:rsidRDefault="00342C93" w:rsidP="00342C93">
      <w:r>
        <w:t xml:space="preserve">Cada regra </w:t>
      </w:r>
      <w:r w:rsidR="00F70D9A">
        <w:t>pode ser</w:t>
      </w:r>
      <w:r>
        <w:t xml:space="preserve"> de um dos três “Níveis”:</w:t>
      </w:r>
    </w:p>
    <w:p w:rsidR="00342C93" w:rsidRDefault="00342C93" w:rsidP="00342C93">
      <w:pPr>
        <w:pStyle w:val="ListParagraph"/>
      </w:pPr>
      <w:r>
        <w:t>Controle: regras mandatórias do regulamento ou das normas;</w:t>
      </w:r>
    </w:p>
    <w:p w:rsidR="00342C93" w:rsidRDefault="00342C93" w:rsidP="00342C93">
      <w:pPr>
        <w:pStyle w:val="ListParagraph"/>
      </w:pPr>
      <w:r>
        <w:t>Limite Interno: limites internos documentados que devem ser observados;</w:t>
      </w:r>
    </w:p>
    <w:p w:rsidR="00342C93" w:rsidRDefault="00342C93" w:rsidP="00342C93">
      <w:pPr>
        <w:pStyle w:val="ListParagraph"/>
      </w:pPr>
      <w:r>
        <w:t>Gerencial: limites internos gerenciais, indicativos, não mandatórios.</w:t>
      </w:r>
    </w:p>
    <w:p w:rsidR="00342C93" w:rsidRDefault="00342C93" w:rsidP="00342C93">
      <w:r>
        <w:t>Os reportes de compliance são separados por nível.</w:t>
      </w:r>
    </w:p>
    <w:p w:rsidR="00342C93" w:rsidRDefault="00342C93" w:rsidP="00342C93">
      <w:r>
        <w:t xml:space="preserve">As regras são criadas sobre </w:t>
      </w:r>
      <w:r>
        <w:rPr>
          <w:u w:val="single"/>
        </w:rPr>
        <w:t>propriedades</w:t>
      </w:r>
      <w:r>
        <w:t xml:space="preserve"> dos títulos que compõem a carteira. Por exemplo, a regra:</w:t>
      </w:r>
    </w:p>
    <w:p w:rsidR="00342C93" w:rsidRDefault="00342C93" w:rsidP="00342C93">
      <w:r>
        <w:lastRenderedPageBreak/>
        <w:tab/>
        <w:t>“máximo de 10% por emissor instituição financeira”</w:t>
      </w:r>
    </w:p>
    <w:p w:rsidR="00342C93" w:rsidRDefault="00342C93" w:rsidP="00342C93">
      <w:r>
        <w:t xml:space="preserve">Usa </w:t>
      </w:r>
      <w:r>
        <w:rPr>
          <w:u w:val="single"/>
        </w:rPr>
        <w:t>duas</w:t>
      </w:r>
      <w:r>
        <w:t xml:space="preserve"> propriedades: (i) o nome do emissor</w:t>
      </w:r>
      <w:r w:rsidR="008B6930">
        <w:t>, que permitirá identificar cada um</w:t>
      </w:r>
      <w:r>
        <w:t xml:space="preserve"> e (ii) o tipo do emissor (instituição financeira)</w:t>
      </w:r>
      <w:r w:rsidR="008B6930">
        <w:t>, que definirá quais títulos serão testado</w:t>
      </w:r>
      <w:r>
        <w:t xml:space="preserve">. O SRC deverá primeiro selecionar todos os emissores tipo “instituição financeira” e depois verificar entre eles se o percentual total de cada um dos emissores distintos ultrapassa os 10% do patrimônio líquido. A maneira de informar ao SRC que o fluxo deve ser esse será mostrada </w:t>
      </w:r>
      <w:r w:rsidRPr="006A28C2">
        <w:t xml:space="preserve">em </w:t>
      </w:r>
      <w:fldSimple w:instr=" REF _Ref458502219 \r \h  \* MERGEFORMAT ">
        <w:r w:rsidR="006A28C2" w:rsidRPr="006A28C2">
          <w:t>V-4</w:t>
        </w:r>
      </w:fldSimple>
      <w:r>
        <w:t>.</w:t>
      </w:r>
    </w:p>
    <w:p w:rsidR="00342C93" w:rsidRDefault="00342C93" w:rsidP="00342C93">
      <w:r>
        <w:t>Só podem participar das regras:</w:t>
      </w:r>
    </w:p>
    <w:p w:rsidR="00342C93" w:rsidRDefault="00342C93" w:rsidP="00342C93">
      <w:pPr>
        <w:pStyle w:val="ListParagraph"/>
      </w:pPr>
      <w:r>
        <w:t>Propriedades descritivas (</w:t>
      </w:r>
      <w:r w:rsidRPr="00313D9E">
        <w:t>ver</w:t>
      </w:r>
      <w:r w:rsidR="00313D9E">
        <w:t xml:space="preserve"> </w:t>
      </w:r>
      <w:r w:rsidR="000B1A93">
        <w:rPr>
          <w:highlight w:val="yellow"/>
        </w:rPr>
        <w:fldChar w:fldCharType="begin"/>
      </w:r>
      <w:r w:rsidR="00313D9E">
        <w:instrText xml:space="preserve"> REF _Ref458521021 \r \h </w:instrText>
      </w:r>
      <w:r w:rsidR="000B1A93">
        <w:rPr>
          <w:highlight w:val="yellow"/>
        </w:rPr>
      </w:r>
      <w:r w:rsidR="000B1A93">
        <w:rPr>
          <w:highlight w:val="yellow"/>
        </w:rPr>
        <w:fldChar w:fldCharType="separate"/>
      </w:r>
      <w:r w:rsidR="00313D9E">
        <w:t>IV-6</w:t>
      </w:r>
      <w:r w:rsidR="000B1A93">
        <w:rPr>
          <w:highlight w:val="yellow"/>
        </w:rPr>
        <w:fldChar w:fldCharType="end"/>
      </w:r>
      <w:r>
        <w:t>)</w:t>
      </w:r>
    </w:p>
    <w:p w:rsidR="00342C93" w:rsidRPr="004911F0" w:rsidRDefault="00342C93" w:rsidP="00342C93">
      <w:pPr>
        <w:pStyle w:val="ListParagraph"/>
      </w:pPr>
      <w:r>
        <w:t>As propriedades financeiras nome, class de liquidez, classe de rentabilidade e indexador.</w:t>
      </w:r>
    </w:p>
    <w:p w:rsidR="00431641" w:rsidRDefault="00431641" w:rsidP="00497CF1">
      <w:pPr>
        <w:pStyle w:val="Heading2"/>
      </w:pPr>
      <w:bookmarkStart w:id="52" w:name="_Toc475092480"/>
      <w:r>
        <w:t>VISUALIZANDO AS REGRAS</w:t>
      </w:r>
      <w:bookmarkEnd w:id="52"/>
    </w:p>
    <w:p w:rsidR="00911A4A" w:rsidRPr="00911A4A" w:rsidRDefault="00911A4A" w:rsidP="00911A4A">
      <w:r>
        <w:t>Selecionando Compliance</w:t>
      </w:r>
      <w:r>
        <w:sym w:font="Wingdings" w:char="F0E0"/>
      </w:r>
      <w:r>
        <w:t>Regras no Menu Principal, mostra-se a tela de Regras.</w:t>
      </w:r>
    </w:p>
    <w:p w:rsidR="00AE09AE" w:rsidRDefault="000B1A93" w:rsidP="00AE09AE">
      <w:pPr>
        <w:ind w:left="0"/>
      </w:pPr>
      <w:r>
        <w:rPr>
          <w:noProof/>
          <w:lang w:eastAsia="pt-BR"/>
        </w:rPr>
        <w:pict>
          <v:shape id="_x0000_s1075" type="#_x0000_t202" style="position:absolute;left:0;text-align:left;margin-left:512.35pt;margin-top:8.9pt;width:26.15pt;height:19.5pt;z-index:251702272" filled="f" stroked="f">
            <v:textbox>
              <w:txbxContent>
                <w:p w:rsidR="003C1A56" w:rsidRPr="00911A4A" w:rsidRDefault="003C1A56" w:rsidP="00911A4A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❺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74" type="#_x0000_t202" style="position:absolute;left:0;text-align:left;margin-left:307.6pt;margin-top:8.9pt;width:26.15pt;height:19.5pt;z-index:251701248" filled="f" stroked="f">
            <v:textbox>
              <w:txbxContent>
                <w:p w:rsidR="003C1A56" w:rsidRPr="00431641" w:rsidRDefault="003C1A56" w:rsidP="00911A4A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❹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73" type="#_x0000_t202" style="position:absolute;left:0;text-align:left;margin-left:126.75pt;margin-top:8.9pt;width:25.5pt;height:19.5pt;z-index:251700224" filled="f" stroked="f">
            <v:textbox>
              <w:txbxContent>
                <w:p w:rsidR="003C1A56" w:rsidRPr="00431641" w:rsidRDefault="003C1A56" w:rsidP="00911A4A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❸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72" type="#_x0000_t202" style="position:absolute;left:0;text-align:left;margin-left:-5.25pt;margin-top:112.4pt;width:25.5pt;height:20.25pt;z-index:251699200" filled="f" stroked="f">
            <v:textbox>
              <w:txbxContent>
                <w:p w:rsidR="003C1A56" w:rsidRPr="00431641" w:rsidRDefault="003C1A56" w:rsidP="00911A4A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❷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71" type="#_x0000_t202" style="position:absolute;left:0;text-align:left;margin-left:498pt;margin-top:35.15pt;width:31.5pt;height:19.5pt;z-index:251698176" filled="f" stroked="f">
            <v:textbox>
              <w:txbxContent>
                <w:p w:rsidR="003C1A56" w:rsidRPr="00431641" w:rsidRDefault="003C1A56" w:rsidP="00911A4A">
                  <w:pPr>
                    <w:ind w:left="0"/>
                    <w:rPr>
                      <w:b/>
                      <w:color w:val="FF0000"/>
                    </w:rPr>
                  </w:pPr>
                  <w:r w:rsidRPr="00431641">
                    <w:rPr>
                      <w:b/>
                      <w:color w:val="FF0000"/>
                    </w:rPr>
                    <w:t>❶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rect id="_x0000_s1070" style="position:absolute;left:0;text-align:left;margin-left:339pt;margin-top:11.15pt;width:196.5pt;height:15pt;z-index:251697152" filled="f" strokecolor="red" strokeweight="1.5pt"/>
        </w:pict>
      </w:r>
      <w:r>
        <w:rPr>
          <w:noProof/>
          <w:lang w:eastAsia="pt-BR"/>
        </w:rPr>
        <w:pict>
          <v:rect id="_x0000_s1069" style="position:absolute;left:0;text-align:left;margin-left:160.5pt;margin-top:11.15pt;width:173.25pt;height:15pt;z-index:251696128" filled="f" strokecolor="red" strokeweight="1.5pt"/>
        </w:pict>
      </w:r>
      <w:r>
        <w:rPr>
          <w:noProof/>
          <w:lang w:eastAsia="pt-BR"/>
        </w:rPr>
        <w:pict>
          <v:rect id="_x0000_s1068" style="position:absolute;left:0;text-align:left;margin-left:2.25pt;margin-top:11.15pt;width:158.25pt;height:15pt;z-index:251695104" filled="f" strokecolor="red" strokeweight="1.5pt"/>
        </w:pict>
      </w:r>
      <w:r>
        <w:rPr>
          <w:noProof/>
          <w:lang w:eastAsia="pt-BR"/>
        </w:rPr>
        <w:pict>
          <v:rect id="_x0000_s1067" style="position:absolute;left:0;text-align:left;margin-left:2.25pt;margin-top:26.15pt;width:16.5pt;height:107.25pt;z-index:251694080" filled="f" strokecolor="red" strokeweight="1.5pt"/>
        </w:pict>
      </w:r>
      <w:r>
        <w:rPr>
          <w:noProof/>
          <w:lang w:eastAsia="pt-BR"/>
        </w:rPr>
        <w:pict>
          <v:rect id="_x0000_s1066" style="position:absolute;left:0;text-align:left;margin-left:18.75pt;margin-top:26.15pt;width:510.75pt;height:243pt;z-index:251693056" filled="f" strokecolor="red" strokeweight="1.5pt"/>
        </w:pict>
      </w:r>
      <w:r w:rsidR="00AE09AE">
        <w:rPr>
          <w:noProof/>
          <w:lang w:eastAsia="pt-BR"/>
        </w:rPr>
        <w:drawing>
          <wp:inline distT="0" distB="0" distL="0" distR="0">
            <wp:extent cx="6858000" cy="361652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A4A" w:rsidRDefault="00911A4A" w:rsidP="00911A4A">
      <w:r>
        <w:t>A Tela de Regras tem 5 áreas:</w:t>
      </w:r>
    </w:p>
    <w:p w:rsidR="00911A4A" w:rsidRDefault="00911A4A" w:rsidP="00911A4A">
      <w:r>
        <w:t>❶</w:t>
      </w:r>
      <w:r w:rsidR="00C823B4">
        <w:t xml:space="preserve"> </w:t>
      </w:r>
      <w:r w:rsidR="00C823B4" w:rsidRPr="00C823B4">
        <w:rPr>
          <w:u w:val="single"/>
        </w:rPr>
        <w:t>Tabela principal</w:t>
      </w:r>
    </w:p>
    <w:p w:rsidR="00C823B4" w:rsidRDefault="00C823B4" w:rsidP="00911A4A">
      <w:r>
        <w:tab/>
        <w:t>Mostra as regras e informações sobre elas.</w:t>
      </w:r>
      <w:r w:rsidR="00C83153">
        <w:t xml:space="preserve"> As colunas são:</w:t>
      </w:r>
    </w:p>
    <w:p w:rsidR="00C83153" w:rsidRDefault="00C83153" w:rsidP="00CA6E5C">
      <w:pPr>
        <w:pStyle w:val="ListParagraph"/>
        <w:numPr>
          <w:ilvl w:val="0"/>
          <w:numId w:val="41"/>
        </w:numPr>
      </w:pPr>
      <w:r>
        <w:lastRenderedPageBreak/>
        <w:t>Nome da regra;</w:t>
      </w:r>
    </w:p>
    <w:p w:rsidR="00C83153" w:rsidRDefault="00C83153" w:rsidP="00CA6E5C">
      <w:pPr>
        <w:pStyle w:val="ListParagraph"/>
        <w:numPr>
          <w:ilvl w:val="0"/>
          <w:numId w:val="41"/>
        </w:numPr>
      </w:pPr>
      <w:r>
        <w:t>Tipo de limite (MAX ou MIN);</w:t>
      </w:r>
    </w:p>
    <w:p w:rsidR="00C83153" w:rsidRDefault="00C83153" w:rsidP="00CA6E5C">
      <w:pPr>
        <w:pStyle w:val="ListParagraph"/>
        <w:numPr>
          <w:ilvl w:val="0"/>
          <w:numId w:val="41"/>
        </w:numPr>
      </w:pPr>
      <w:r>
        <w:t>Limite;</w:t>
      </w:r>
    </w:p>
    <w:p w:rsidR="00C83153" w:rsidRDefault="00C83153" w:rsidP="00CA6E5C">
      <w:pPr>
        <w:pStyle w:val="ListParagraph"/>
        <w:numPr>
          <w:ilvl w:val="0"/>
          <w:numId w:val="41"/>
        </w:numPr>
      </w:pPr>
      <w:r>
        <w:t>Nível de “Warning”;</w:t>
      </w:r>
    </w:p>
    <w:p w:rsidR="00C83153" w:rsidRDefault="00C83153" w:rsidP="00CA6E5C">
      <w:pPr>
        <w:pStyle w:val="ListParagraph"/>
        <w:numPr>
          <w:ilvl w:val="0"/>
          <w:numId w:val="41"/>
        </w:numPr>
      </w:pPr>
      <w:r>
        <w:t xml:space="preserve">Propriedade “POR” (ver </w:t>
      </w:r>
      <w:r w:rsidR="000B1A93">
        <w:fldChar w:fldCharType="begin"/>
      </w:r>
      <w:r>
        <w:instrText xml:space="preserve"> REF _Ref458502219 \r \h </w:instrText>
      </w:r>
      <w:r w:rsidR="000B1A93">
        <w:fldChar w:fldCharType="separate"/>
      </w:r>
      <w:r>
        <w:t>V-4</w:t>
      </w:r>
      <w:r w:rsidR="000B1A93">
        <w:fldChar w:fldCharType="end"/>
      </w:r>
      <w:r>
        <w:t>);</w:t>
      </w:r>
    </w:p>
    <w:p w:rsidR="00C83153" w:rsidRDefault="00C83153" w:rsidP="00CA6E5C">
      <w:pPr>
        <w:pStyle w:val="ListParagraph"/>
        <w:numPr>
          <w:ilvl w:val="0"/>
          <w:numId w:val="41"/>
        </w:numPr>
      </w:pPr>
      <w:r>
        <w:t xml:space="preserve">Condição “PARA” (ver </w:t>
      </w:r>
      <w:r w:rsidR="000B1A93">
        <w:fldChar w:fldCharType="begin"/>
      </w:r>
      <w:r>
        <w:instrText xml:space="preserve"> REF _Ref458502219 \r \h </w:instrText>
      </w:r>
      <w:r w:rsidR="000B1A93">
        <w:fldChar w:fldCharType="separate"/>
      </w:r>
      <w:r>
        <w:t>V-4</w:t>
      </w:r>
      <w:r w:rsidR="000B1A93">
        <w:fldChar w:fldCharType="end"/>
      </w:r>
      <w:r>
        <w:t>);</w:t>
      </w:r>
    </w:p>
    <w:p w:rsidR="00C83153" w:rsidRDefault="00C83153" w:rsidP="00CA6E5C">
      <w:pPr>
        <w:pStyle w:val="ListParagraph"/>
        <w:numPr>
          <w:ilvl w:val="0"/>
          <w:numId w:val="41"/>
        </w:numPr>
      </w:pPr>
      <w:r>
        <w:t>Patrimônio de referência para cáculo de concentração (“pl” ou “emissão”);</w:t>
      </w:r>
    </w:p>
    <w:p w:rsidR="00C83153" w:rsidRDefault="00C83153" w:rsidP="00CA6E5C">
      <w:pPr>
        <w:pStyle w:val="ListParagraph"/>
        <w:numPr>
          <w:ilvl w:val="0"/>
          <w:numId w:val="41"/>
        </w:numPr>
      </w:pPr>
      <w:r>
        <w:t xml:space="preserve">Condição adicional “PARA” (ver </w:t>
      </w:r>
      <w:r w:rsidR="000B1A93">
        <w:fldChar w:fldCharType="begin"/>
      </w:r>
      <w:r>
        <w:instrText xml:space="preserve"> REF _Ref458502219 \r \h </w:instrText>
      </w:r>
      <w:r w:rsidR="000B1A93">
        <w:fldChar w:fldCharType="separate"/>
      </w:r>
      <w:r>
        <w:t>V-4</w:t>
      </w:r>
      <w:r w:rsidR="000B1A93">
        <w:fldChar w:fldCharType="end"/>
      </w:r>
      <w:r>
        <w:t>);</w:t>
      </w:r>
    </w:p>
    <w:p w:rsidR="00C83153" w:rsidRDefault="00C83153" w:rsidP="00CA6E5C">
      <w:pPr>
        <w:pStyle w:val="ListParagraph"/>
        <w:numPr>
          <w:ilvl w:val="0"/>
          <w:numId w:val="41"/>
        </w:numPr>
      </w:pPr>
      <w:r>
        <w:t>Aberta: se a regra é testada sobre a carteira aberta (consolidada) ou não;</w:t>
      </w:r>
    </w:p>
    <w:p w:rsidR="00C83153" w:rsidRDefault="00C83153" w:rsidP="00CA6E5C">
      <w:pPr>
        <w:pStyle w:val="ListParagraph"/>
        <w:numPr>
          <w:ilvl w:val="0"/>
          <w:numId w:val="41"/>
        </w:numPr>
      </w:pPr>
      <w:r>
        <w:t xml:space="preserve">Movimento: se a regra é uma regra exclusivamente de movimentação (ver </w:t>
      </w:r>
      <w:r w:rsidR="000B1A93">
        <w:fldChar w:fldCharType="begin"/>
      </w:r>
      <w:r>
        <w:instrText xml:space="preserve"> REF _Ref459035542 \r \h </w:instrText>
      </w:r>
      <w:r w:rsidR="000B1A93">
        <w:fldChar w:fldCharType="separate"/>
      </w:r>
      <w:r>
        <w:t>V-7</w:t>
      </w:r>
      <w:r w:rsidR="000B1A93">
        <w:fldChar w:fldCharType="end"/>
      </w:r>
      <w:r>
        <w:t>).</w:t>
      </w:r>
    </w:p>
    <w:p w:rsidR="00911A4A" w:rsidRDefault="00911A4A" w:rsidP="00911A4A">
      <w:r>
        <w:t>❷</w:t>
      </w:r>
      <w:r w:rsidR="00C823B4">
        <w:t xml:space="preserve"> </w:t>
      </w:r>
      <w:r w:rsidR="00C823B4" w:rsidRPr="00C823B4">
        <w:rPr>
          <w:u w:val="single"/>
        </w:rPr>
        <w:t>Controle das abas</w:t>
      </w:r>
    </w:p>
    <w:p w:rsidR="00C823B4" w:rsidRDefault="00C823B4" w:rsidP="00911A4A">
      <w:r>
        <w:tab/>
        <w:t>Filtra qual nível de regra será mostrado</w:t>
      </w:r>
    </w:p>
    <w:p w:rsidR="00911A4A" w:rsidRDefault="00911A4A" w:rsidP="00911A4A">
      <w:r>
        <w:t>❸</w:t>
      </w:r>
      <w:r w:rsidR="00C823B4">
        <w:t xml:space="preserve"> </w:t>
      </w:r>
      <w:r w:rsidR="00C823B4">
        <w:rPr>
          <w:u w:val="single"/>
        </w:rPr>
        <w:t>Filtro de Livro:</w:t>
      </w:r>
    </w:p>
    <w:p w:rsidR="00C823B4" w:rsidRPr="00C823B4" w:rsidRDefault="00C823B4" w:rsidP="00911A4A">
      <w:r>
        <w:tab/>
        <w:t>Filtra apenas as regras de um dado Livro de Regras</w:t>
      </w:r>
    </w:p>
    <w:p w:rsidR="00911A4A" w:rsidRDefault="00911A4A" w:rsidP="00911A4A">
      <w:r>
        <w:t>❹</w:t>
      </w:r>
      <w:r w:rsidR="00C823B4">
        <w:t xml:space="preserve"> </w:t>
      </w:r>
      <w:r w:rsidR="00C823B4">
        <w:rPr>
          <w:u w:val="single"/>
        </w:rPr>
        <w:t>Menu de Regras</w:t>
      </w:r>
    </w:p>
    <w:p w:rsidR="00C823B4" w:rsidRPr="00C823B4" w:rsidRDefault="00C823B4" w:rsidP="00911A4A">
      <w:r>
        <w:tab/>
        <w:t>Permite incluir, excluir ou alterar regra, e criar novo Livro de Regras.</w:t>
      </w:r>
    </w:p>
    <w:p w:rsidR="00911A4A" w:rsidRDefault="00911A4A" w:rsidP="00911A4A">
      <w:r>
        <w:t>❺</w:t>
      </w:r>
      <w:r w:rsidR="00C823B4">
        <w:t xml:space="preserve"> </w:t>
      </w:r>
      <w:r w:rsidR="00C823B4">
        <w:rPr>
          <w:u w:val="single"/>
        </w:rPr>
        <w:t>Botões auxiliares</w:t>
      </w:r>
    </w:p>
    <w:p w:rsidR="00C823B4" w:rsidRDefault="00C823B4" w:rsidP="00C823B4">
      <w:pPr>
        <w:pStyle w:val="ListParagraph"/>
      </w:pPr>
      <w:r>
        <w:t>Fundos: mostra todos os fundos que usam a regra selecionada</w:t>
      </w:r>
    </w:p>
    <w:p w:rsidR="00C823B4" w:rsidRPr="00C823B4" w:rsidRDefault="00C823B4" w:rsidP="00C823B4">
      <w:pPr>
        <w:pStyle w:val="ListParagraph"/>
      </w:pPr>
      <w:r>
        <w:t>Filtra prop: se pressionado, filtra apenas as regras que usem a propriedade informada.</w:t>
      </w:r>
    </w:p>
    <w:p w:rsidR="00431641" w:rsidRPr="00936959" w:rsidRDefault="00431641" w:rsidP="00497CF1">
      <w:pPr>
        <w:pStyle w:val="Heading2"/>
      </w:pPr>
      <w:bookmarkStart w:id="53" w:name="_Ref458502219"/>
      <w:bookmarkStart w:id="54" w:name="_Toc475092481"/>
      <w:r w:rsidRPr="00936959">
        <w:t>ESCREVENDO REGRAS</w:t>
      </w:r>
      <w:bookmarkEnd w:id="53"/>
      <w:bookmarkEnd w:id="54"/>
    </w:p>
    <w:p w:rsidR="00AE09AE" w:rsidRDefault="00AE09AE" w:rsidP="00AE09AE">
      <w:r>
        <w:t xml:space="preserve">Escolhendo “Nova Regra” </w:t>
      </w:r>
      <w:r w:rsidR="0077655A">
        <w:t xml:space="preserve">no Menu </w:t>
      </w:r>
      <w:r>
        <w:t xml:space="preserve">de Regras fará com que o sistema pergunte o nome da nova regra a ser criada. Se o nome informado não for duplicado, o SRC cria a regra e a seguir mostra </w:t>
      </w:r>
      <w:r w:rsidR="006F22F9">
        <w:t xml:space="preserve">o </w:t>
      </w:r>
      <w:r w:rsidR="006F22F9" w:rsidRPr="006F22F9">
        <w:rPr>
          <w:u w:val="single"/>
        </w:rPr>
        <w:t xml:space="preserve">Formulário </w:t>
      </w:r>
      <w:r w:rsidR="006F22F9">
        <w:rPr>
          <w:u w:val="single"/>
        </w:rPr>
        <w:t>de Edição da R</w:t>
      </w:r>
      <w:r w:rsidRPr="006F22F9">
        <w:rPr>
          <w:u w:val="single"/>
        </w:rPr>
        <w:t>egra</w:t>
      </w:r>
      <w:r>
        <w:t>.</w:t>
      </w:r>
    </w:p>
    <w:p w:rsidR="00AE09AE" w:rsidRDefault="006F22F9" w:rsidP="00AE09AE">
      <w:r>
        <w:t xml:space="preserve">O mesmo formulário </w:t>
      </w:r>
      <w:r w:rsidR="00AE09AE">
        <w:t>de Edição de Regra é mostrada se o usuário escolher “Edita Regra” a partir de uma regra selecionada na lista.</w:t>
      </w:r>
    </w:p>
    <w:p w:rsidR="00431641" w:rsidRDefault="000B1A93" w:rsidP="006F22F9">
      <w:pPr>
        <w:jc w:val="center"/>
      </w:pPr>
      <w:r>
        <w:rPr>
          <w:noProof/>
          <w:lang w:eastAsia="pt-BR"/>
        </w:rPr>
        <w:lastRenderedPageBreak/>
        <w:pict>
          <v:shape id="_x0000_s1048" type="#_x0000_t202" style="position:absolute;left:0;text-align:left;margin-left:418.6pt;margin-top:409.05pt;width:26.15pt;height:19.5pt;z-index:251675648" filled="f" stroked="f">
            <v:textbox>
              <w:txbxContent>
                <w:p w:rsidR="003C1A56" w:rsidRPr="00431641" w:rsidRDefault="003C1A56" w:rsidP="00AE09AE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❹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rect id="_x0000_s1044" style="position:absolute;left:0;text-align:left;margin-left:128.25pt;margin-top:379.05pt;width:316.5pt;height:22.5pt;z-index:251671552" filled="f" strokecolor="red" strokeweight="2.25pt"/>
        </w:pict>
      </w:r>
      <w:r>
        <w:rPr>
          <w:noProof/>
          <w:lang w:eastAsia="pt-BR"/>
        </w:rPr>
        <w:pict>
          <v:rect id="_x0000_s1043" style="position:absolute;left:0;text-align:left;margin-left:128.25pt;margin-top:405.3pt;width:316.5pt;height:76.5pt;z-index:251670528" filled="f" strokecolor="red" strokeweight="2.25pt"/>
        </w:pict>
      </w:r>
      <w:r>
        <w:rPr>
          <w:noProof/>
          <w:lang w:eastAsia="pt-BR"/>
        </w:rPr>
        <w:pict>
          <v:rect id="_x0000_s1042" style="position:absolute;left:0;text-align:left;margin-left:128.25pt;margin-top:163.8pt;width:316.5pt;height:211.5pt;z-index:251669504" filled="f" strokecolor="red" strokeweight="2.25pt"/>
        </w:pict>
      </w:r>
      <w:r>
        <w:rPr>
          <w:noProof/>
          <w:lang w:eastAsia="pt-BR"/>
        </w:rPr>
        <w:pict>
          <v:rect id="_x0000_s1041" style="position:absolute;left:0;text-align:left;margin-left:128.25pt;margin-top:37.05pt;width:316.5pt;height:126.75pt;z-index:251668480" filled="f" strokecolor="red" strokeweight="2.25pt"/>
        </w:pict>
      </w:r>
      <w:r>
        <w:rPr>
          <w:noProof/>
          <w:lang w:eastAsia="pt-BR"/>
        </w:rPr>
        <w:pict>
          <v:shape id="_x0000_s1047" type="#_x0000_t202" style="position:absolute;left:0;text-align:left;margin-left:413.25pt;margin-top:382.05pt;width:25.5pt;height:19.5pt;z-index:251674624" filled="f" stroked="f">
            <v:textbox>
              <w:txbxContent>
                <w:p w:rsidR="003C1A56" w:rsidRPr="00431641" w:rsidRDefault="003C1A56" w:rsidP="00AE09AE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❸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45" type="#_x0000_t202" style="position:absolute;left:0;text-align:left;margin-left:413.25pt;margin-top:37.05pt;width:31.5pt;height:19.5pt;z-index:251672576" filled="f" stroked="f">
            <v:textbox>
              <w:txbxContent>
                <w:p w:rsidR="003C1A56" w:rsidRPr="00431641" w:rsidRDefault="003C1A56" w:rsidP="00AE09AE">
                  <w:pPr>
                    <w:ind w:left="0"/>
                    <w:rPr>
                      <w:b/>
                      <w:color w:val="FF0000"/>
                    </w:rPr>
                  </w:pPr>
                  <w:r w:rsidRPr="00431641">
                    <w:rPr>
                      <w:b/>
                      <w:color w:val="FF0000"/>
                    </w:rPr>
                    <w:t>❶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46" type="#_x0000_t202" style="position:absolute;left:0;text-align:left;margin-left:418.6pt;margin-top:163.8pt;width:25.5pt;height:20.25pt;z-index:251673600" filled="f" stroked="f">
            <v:textbox>
              <w:txbxContent>
                <w:p w:rsidR="003C1A56" w:rsidRPr="00431641" w:rsidRDefault="003C1A56" w:rsidP="00AE09AE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❷</w:t>
                  </w:r>
                </w:p>
              </w:txbxContent>
            </v:textbox>
          </v:shape>
        </w:pict>
      </w:r>
      <w:r w:rsidR="00AE09AE">
        <w:rPr>
          <w:noProof/>
          <w:lang w:eastAsia="pt-BR"/>
        </w:rPr>
        <w:drawing>
          <wp:inline distT="0" distB="0" distL="0" distR="0">
            <wp:extent cx="4219575" cy="6524625"/>
            <wp:effectExtent l="1905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EE5" w:rsidRDefault="003E1EE5" w:rsidP="00076CAD">
      <w:pPr>
        <w:rPr>
          <w:u w:val="single"/>
        </w:rPr>
      </w:pPr>
    </w:p>
    <w:p w:rsidR="003E1EE5" w:rsidRDefault="006F22F9" w:rsidP="003E1EE5">
      <w:r>
        <w:t>O formulário</w:t>
      </w:r>
      <w:r w:rsidR="003E1EE5">
        <w:t xml:space="preserve"> de Edição de Regra possui 4 áreas:</w:t>
      </w:r>
    </w:p>
    <w:p w:rsidR="00AE09AE" w:rsidRPr="00076CAD" w:rsidRDefault="00076CAD" w:rsidP="00076CAD">
      <w:pPr>
        <w:rPr>
          <w:u w:val="single"/>
        </w:rPr>
      </w:pPr>
      <w:r>
        <w:rPr>
          <w:u w:val="single"/>
        </w:rPr>
        <w:t xml:space="preserve">❶ </w:t>
      </w:r>
      <w:r w:rsidR="00AE09AE" w:rsidRPr="00076CAD">
        <w:rPr>
          <w:u w:val="single"/>
        </w:rPr>
        <w:t>Área de Identificação</w:t>
      </w:r>
    </w:p>
    <w:p w:rsidR="00AE09AE" w:rsidRDefault="00AE09AE" w:rsidP="00076CAD">
      <w:pPr>
        <w:pStyle w:val="ListParagraph"/>
      </w:pPr>
      <w:r>
        <w:lastRenderedPageBreak/>
        <w:t>Nome:</w:t>
      </w:r>
      <w:r w:rsidR="00076CAD">
        <w:t xml:space="preserve"> nome da regra</w:t>
      </w:r>
    </w:p>
    <w:p w:rsidR="00AE09AE" w:rsidRDefault="00AE09AE" w:rsidP="00076CAD">
      <w:pPr>
        <w:pStyle w:val="ListParagraph"/>
      </w:pPr>
      <w:r>
        <w:t>Escopo: “CTRL”, “LIM” ou “GER”</w:t>
      </w:r>
      <w:r w:rsidR="00076CAD">
        <w:t xml:space="preserve"> conforme o nível de compliance exigido</w:t>
      </w:r>
    </w:p>
    <w:p w:rsidR="0077655A" w:rsidRDefault="00AE09AE" w:rsidP="0077655A">
      <w:pPr>
        <w:pStyle w:val="ListParagraph"/>
      </w:pPr>
      <w:r>
        <w:t>Tipo de Limite: “MAX” ou “MIN”</w:t>
      </w:r>
    </w:p>
    <w:p w:rsidR="00AE09AE" w:rsidRDefault="00AE09AE" w:rsidP="00076CAD">
      <w:pPr>
        <w:pStyle w:val="ListParagraph"/>
      </w:pPr>
      <w:r>
        <w:t>Limite: nível percentual do limite</w:t>
      </w:r>
    </w:p>
    <w:p w:rsidR="00AE09AE" w:rsidRDefault="00AE09AE" w:rsidP="00076CAD">
      <w:pPr>
        <w:pStyle w:val="ListParagraph"/>
        <w:rPr>
          <w:lang w:val="en-US"/>
        </w:rPr>
      </w:pPr>
      <w:r w:rsidRPr="00AE09AE">
        <w:rPr>
          <w:lang w:val="en-US"/>
        </w:rPr>
        <w:t>Warning: nível percentual do “war</w:t>
      </w:r>
      <w:r>
        <w:rPr>
          <w:lang w:val="en-US"/>
        </w:rPr>
        <w:t>ning”</w:t>
      </w:r>
    </w:p>
    <w:p w:rsidR="00AE09AE" w:rsidRDefault="00AE09AE" w:rsidP="00076CAD">
      <w:pPr>
        <w:pStyle w:val="ListParagraph"/>
      </w:pPr>
      <w:r w:rsidRPr="00AE09AE">
        <w:t>Box “carteira aberta”: se ma</w:t>
      </w:r>
      <w:r>
        <w:t>rcado, a regra será aplicada à carteira aberta, consolidada, do fundo. Caso desmarcado, a regra será aplicada à carteira imediatamente investida pelo fundo.</w:t>
      </w:r>
    </w:p>
    <w:p w:rsidR="00AE09AE" w:rsidRPr="00AE09AE" w:rsidRDefault="00076CAD" w:rsidP="00076CAD">
      <w:pPr>
        <w:pStyle w:val="ListParagraph"/>
      </w:pPr>
      <w:r>
        <w:t>Box “movimentação”: se marcado, a regra será aplicada apenas à movimentação dos fundos, gerando um BREACH quando houver uma violação em uma simulação de transação (ver) e gerando um “warning” caso haja violação no estoque.</w:t>
      </w:r>
    </w:p>
    <w:p w:rsidR="00AE09AE" w:rsidRDefault="00076CAD" w:rsidP="003E1EE5">
      <w:pPr>
        <w:ind w:left="1440"/>
      </w:pPr>
      <w:r>
        <w:t xml:space="preserve">Para que o alerta de “warning” funcione, seu percentual deve ser </w:t>
      </w:r>
      <w:r>
        <w:rPr>
          <w:u w:val="single"/>
        </w:rPr>
        <w:t>inferior</w:t>
      </w:r>
      <w:r>
        <w:t xml:space="preserve"> ao Limite quando este for “máximo” e </w:t>
      </w:r>
      <w:r>
        <w:rPr>
          <w:u w:val="single"/>
        </w:rPr>
        <w:t>superior</w:t>
      </w:r>
      <w:r>
        <w:t xml:space="preserve"> ao Limite quando este for “mínimo”.</w:t>
      </w:r>
    </w:p>
    <w:p w:rsidR="0077655A" w:rsidRPr="0077655A" w:rsidRDefault="0077655A" w:rsidP="003E1EE5">
      <w:pPr>
        <w:ind w:left="1440"/>
      </w:pPr>
      <w:r>
        <w:t xml:space="preserve">Para </w:t>
      </w:r>
      <w:r>
        <w:rPr>
          <w:u w:val="single"/>
        </w:rPr>
        <w:t>proibir</w:t>
      </w:r>
      <w:r>
        <w:t xml:space="preserve"> um investimento, seleciona-se “Limite Máximo” e “0%” no limite.</w:t>
      </w:r>
    </w:p>
    <w:p w:rsidR="00076CAD" w:rsidRPr="00076CAD" w:rsidRDefault="00076CAD" w:rsidP="00C676D2">
      <w:pPr>
        <w:rPr>
          <w:u w:val="single"/>
        </w:rPr>
      </w:pPr>
      <w:r w:rsidRPr="00076CAD">
        <w:rPr>
          <w:u w:val="single"/>
        </w:rPr>
        <w:t>❷ Área de “PARA”</w:t>
      </w:r>
    </w:p>
    <w:p w:rsidR="00076CAD" w:rsidRDefault="00076CAD" w:rsidP="003E1EE5">
      <w:pPr>
        <w:ind w:left="1440"/>
      </w:pPr>
      <w:r>
        <w:t>Essa área define a condição “PARA”.</w:t>
      </w:r>
    </w:p>
    <w:p w:rsidR="00076CAD" w:rsidRDefault="00076CAD" w:rsidP="003E1EE5">
      <w:pPr>
        <w:ind w:left="1440"/>
      </w:pPr>
      <w:r>
        <w:t>Se o primeiro Box for marcado (“Aplique a regra apenas...”) a condição “PARA” será exigida e a regra será testada apenas para o</w:t>
      </w:r>
      <w:r w:rsidR="00936959">
        <w:t xml:space="preserve"> conjunto de</w:t>
      </w:r>
      <w:r>
        <w:t xml:space="preserve"> títulos que se enquadrarem no critério.</w:t>
      </w:r>
    </w:p>
    <w:p w:rsidR="00076CAD" w:rsidRDefault="00076CAD" w:rsidP="003E1EE5">
      <w:pPr>
        <w:ind w:left="1440"/>
      </w:pPr>
      <w:r>
        <w:t xml:space="preserve">Se o primeiro Box </w:t>
      </w:r>
      <w:r w:rsidRPr="00076CAD">
        <w:rPr>
          <w:u w:val="single"/>
        </w:rPr>
        <w:t>não</w:t>
      </w:r>
      <w:r>
        <w:t xml:space="preserve"> for marcado, a regra será testada para todos os títulos da carteira.</w:t>
      </w:r>
    </w:p>
    <w:p w:rsidR="00076CAD" w:rsidRPr="00076CAD" w:rsidRDefault="00076CAD" w:rsidP="003E1EE5">
      <w:pPr>
        <w:ind w:left="1440"/>
      </w:pPr>
      <w:r>
        <w:t xml:space="preserve">O critério possui </w:t>
      </w:r>
      <w:r>
        <w:rPr>
          <w:u w:val="single"/>
        </w:rPr>
        <w:t>uma ou duas</w:t>
      </w:r>
      <w:r>
        <w:t xml:space="preserve"> condições. Se o </w:t>
      </w:r>
      <w:r w:rsidR="00A455B3">
        <w:t xml:space="preserve">1º e o </w:t>
      </w:r>
      <w:r>
        <w:t>2º box (“e no seguinte critério”) for</w:t>
      </w:r>
      <w:r w:rsidR="00A455B3">
        <w:t>em</w:t>
      </w:r>
      <w:r>
        <w:t xml:space="preserve"> marcado</w:t>
      </w:r>
      <w:r w:rsidR="00A455B3">
        <w:t>s</w:t>
      </w:r>
      <w:r>
        <w:t xml:space="preserve">, será exigido que o título obedeça a </w:t>
      </w:r>
      <w:r>
        <w:rPr>
          <w:u w:val="single"/>
        </w:rPr>
        <w:t>ambas</w:t>
      </w:r>
      <w:r>
        <w:t xml:space="preserve"> as condições para ser abarcado pela regra. Caso o 2º box não seja marcado, será exigido que o título obedeça apenas à primeira condição.</w:t>
      </w:r>
    </w:p>
    <w:p w:rsidR="00076CAD" w:rsidRDefault="00C360CC" w:rsidP="003E1EE5">
      <w:pPr>
        <w:ind w:left="1440"/>
      </w:pPr>
      <w:r>
        <w:t>Cada condição é composta de</w:t>
      </w:r>
    </w:p>
    <w:p w:rsidR="00C360CC" w:rsidRDefault="00C360CC" w:rsidP="00C360CC">
      <w:pPr>
        <w:pStyle w:val="ListParagraph"/>
      </w:pPr>
      <w:r>
        <w:t>Propriedade (a propriedade do título que será testada para verificar sua inclusão)</w:t>
      </w:r>
    </w:p>
    <w:p w:rsidR="00C360CC" w:rsidRDefault="00C360CC" w:rsidP="00C360CC">
      <w:pPr>
        <w:pStyle w:val="ListParagraph"/>
      </w:pPr>
      <w:r>
        <w:t>Comparador (qual será o teste de inclusão)</w:t>
      </w:r>
    </w:p>
    <w:p w:rsidR="00C360CC" w:rsidRDefault="00C360CC" w:rsidP="00C360CC">
      <w:pPr>
        <w:pStyle w:val="ListParagraph"/>
      </w:pPr>
      <w:r>
        <w:t>Constante (</w:t>
      </w:r>
      <w:r w:rsidR="00BB00F0">
        <w:t>com o quê a propriedade será comparada</w:t>
      </w:r>
      <w:r>
        <w:t>)</w:t>
      </w:r>
    </w:p>
    <w:p w:rsidR="00C360CC" w:rsidRDefault="00C360CC" w:rsidP="006F22F9">
      <w:pPr>
        <w:ind w:left="1800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733550" cy="111442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0CC" w:rsidRDefault="00C360CC" w:rsidP="003E1EE5">
      <w:pPr>
        <w:ind w:left="1440"/>
      </w:pPr>
      <w:r>
        <w:rPr>
          <w:u w:val="single"/>
        </w:rPr>
        <w:t>Propriedade</w:t>
      </w:r>
      <w:r>
        <w:t xml:space="preserve"> é qualquer propriedade descritiva, ou nome, classe de liquidez, classe de rentabilidade ou indexador.</w:t>
      </w:r>
    </w:p>
    <w:p w:rsidR="00C360CC" w:rsidRDefault="00C360CC" w:rsidP="003E1EE5">
      <w:pPr>
        <w:ind w:left="1440"/>
      </w:pPr>
      <w:r>
        <w:t xml:space="preserve">O </w:t>
      </w:r>
      <w:r w:rsidRPr="00C360CC">
        <w:rPr>
          <w:u w:val="single"/>
        </w:rPr>
        <w:t>comparador</w:t>
      </w:r>
      <w:r>
        <w:t xml:space="preserve"> pode ser:</w:t>
      </w:r>
    </w:p>
    <w:p w:rsidR="00C360CC" w:rsidRDefault="00C360CC" w:rsidP="00C360CC">
      <w:pPr>
        <w:pStyle w:val="ListParagraph"/>
      </w:pPr>
      <w:r>
        <w:t>“=”: igual à constante</w:t>
      </w:r>
    </w:p>
    <w:p w:rsidR="00C360CC" w:rsidRDefault="00C360CC" w:rsidP="00C360CC">
      <w:pPr>
        <w:pStyle w:val="ListParagraph"/>
      </w:pPr>
      <w:r>
        <w:t>“&gt;”: maior que a constante</w:t>
      </w:r>
    </w:p>
    <w:p w:rsidR="00C360CC" w:rsidRDefault="00C360CC" w:rsidP="00C360CC">
      <w:pPr>
        <w:pStyle w:val="ListParagraph"/>
      </w:pPr>
      <w:r>
        <w:t>“&lt;”: menor que a constante</w:t>
      </w:r>
    </w:p>
    <w:p w:rsidR="00C360CC" w:rsidRDefault="00C360CC" w:rsidP="00C360CC">
      <w:pPr>
        <w:pStyle w:val="ListParagraph"/>
      </w:pPr>
      <w:r>
        <w:t>“&lt;&gt;”: diferente da constante</w:t>
      </w:r>
    </w:p>
    <w:p w:rsidR="00C360CC" w:rsidRDefault="00C360CC" w:rsidP="00C360CC">
      <w:pPr>
        <w:pStyle w:val="ListParagraph"/>
      </w:pPr>
      <w:r>
        <w:t>crPior: significa “pior rating de crédito” que o da constante</w:t>
      </w:r>
    </w:p>
    <w:p w:rsidR="00C360CC" w:rsidRDefault="00C360CC" w:rsidP="00C360CC">
      <w:pPr>
        <w:pStyle w:val="ListParagraph"/>
      </w:pPr>
      <w:r>
        <w:t>crMelhor: significa “melhor rating de crédito” que o da constante</w:t>
      </w:r>
    </w:p>
    <w:p w:rsidR="00C360CC" w:rsidRDefault="00C360CC" w:rsidP="00C360CC">
      <w:pPr>
        <w:pStyle w:val="ListParagraph"/>
      </w:pPr>
      <w:r>
        <w:t>&lt;DaysAgo: significa “(o valor da propriedade) está a menos que x dias atrás”, onde x é a constante</w:t>
      </w:r>
    </w:p>
    <w:p w:rsidR="00C360CC" w:rsidRDefault="00C360CC" w:rsidP="00C360CC">
      <w:pPr>
        <w:pStyle w:val="ListParagraph"/>
      </w:pPr>
      <w:r>
        <w:t>&gt;DaysAgo: significa “(o valor da propriedade) está a mais que x dias atrás”, onde x é a constante</w:t>
      </w:r>
    </w:p>
    <w:p w:rsidR="00C360CC" w:rsidRDefault="00C360CC" w:rsidP="003E1EE5">
      <w:pPr>
        <w:ind w:left="1800"/>
      </w:pPr>
      <w:r>
        <w:rPr>
          <w:u w:val="single"/>
        </w:rPr>
        <w:t>Notas</w:t>
      </w:r>
      <w:r w:rsidR="003E1EE5">
        <w:rPr>
          <w:u w:val="single"/>
        </w:rPr>
        <w:t xml:space="preserve"> sobre os comparadores</w:t>
      </w:r>
    </w:p>
    <w:p w:rsidR="00C360CC" w:rsidRDefault="00C360CC" w:rsidP="003E1EE5">
      <w:pPr>
        <w:ind w:left="1800"/>
      </w:pPr>
      <w:r>
        <w:t xml:space="preserve">Os comparadores </w:t>
      </w:r>
      <w:r w:rsidR="00BB00F0">
        <w:t xml:space="preserve">“=”, “&lt;&gt;”, </w:t>
      </w:r>
      <w:r>
        <w:t xml:space="preserve">“&gt;” e “&lt;” comparam </w:t>
      </w:r>
      <w:r>
        <w:rPr>
          <w:u w:val="single"/>
        </w:rPr>
        <w:t>textos</w:t>
      </w:r>
      <w:r>
        <w:t xml:space="preserve"> e não números.</w:t>
      </w:r>
    </w:p>
    <w:p w:rsidR="00C360CC" w:rsidRPr="00C360CC" w:rsidRDefault="00C360CC" w:rsidP="003E1EE5">
      <w:pPr>
        <w:ind w:left="1800"/>
      </w:pPr>
      <w:r>
        <w:t>Todos os testes são sensíveis à caixa alta/baixa da propriedade e da constante.</w:t>
      </w:r>
    </w:p>
    <w:p w:rsidR="00C360CC" w:rsidRDefault="00C360CC" w:rsidP="003E1EE5">
      <w:pPr>
        <w:ind w:left="1800"/>
      </w:pPr>
      <w:r>
        <w:t>Os comparadores crPior e crMelhor devem ser usados quando a propriedade contém um rating de</w:t>
      </w:r>
      <w:r w:rsidR="0077655A">
        <w:t xml:space="preserve"> crédito (“AAA”, “BB+”, etc) e </w:t>
      </w:r>
      <w:r>
        <w:t>funciona</w:t>
      </w:r>
      <w:r w:rsidR="0077655A">
        <w:t>m</w:t>
      </w:r>
      <w:r>
        <w:t xml:space="preserve"> para ratings padrão S&amp;P ou Moodys.</w:t>
      </w:r>
    </w:p>
    <w:p w:rsidR="006658F5" w:rsidRDefault="006658F5" w:rsidP="003E1EE5">
      <w:pPr>
        <w:ind w:left="1800"/>
      </w:pPr>
      <w:r>
        <w:t>Qualquer rating fora dos padrões S&amp;P ou Moodys é considerado um rating pior possível. Por exemplo, se uma propriedade de rating for “não existente”, ela será considerada pior que “C”.</w:t>
      </w:r>
    </w:p>
    <w:p w:rsidR="00C360CC" w:rsidRPr="006E4D35" w:rsidRDefault="00C360CC" w:rsidP="003E1EE5">
      <w:pPr>
        <w:ind w:left="1800"/>
      </w:pPr>
      <w:r>
        <w:t>Os comparadores &lt;DaysAgo e &gt;DaysAgo devem ser usados quando a propriedade contém uma data, sempre dada no formato em inglês dd-mmm-yyyy.</w:t>
      </w:r>
    </w:p>
    <w:p w:rsidR="00A43073" w:rsidRDefault="00C360CC" w:rsidP="003E1EE5">
      <w:pPr>
        <w:ind w:left="1440"/>
      </w:pPr>
      <w:r>
        <w:t xml:space="preserve">A </w:t>
      </w:r>
      <w:r>
        <w:rPr>
          <w:u w:val="single"/>
        </w:rPr>
        <w:t>constante</w:t>
      </w:r>
      <w:r>
        <w:t xml:space="preserve"> </w:t>
      </w:r>
      <w:r w:rsidR="00A43073">
        <w:t xml:space="preserve">é um texto com o qual a propriedade será comparada. </w:t>
      </w:r>
    </w:p>
    <w:p w:rsidR="00C360CC" w:rsidRPr="0093718C" w:rsidRDefault="00A43073" w:rsidP="003E1EE5">
      <w:pPr>
        <w:ind w:left="1440"/>
      </w:pPr>
      <w:r>
        <w:lastRenderedPageBreak/>
        <w:t xml:space="preserve">Ela pode ser um </w:t>
      </w:r>
      <w:r w:rsidRPr="00A43073">
        <w:rPr>
          <w:u w:val="single"/>
        </w:rPr>
        <w:t>único valor</w:t>
      </w:r>
      <w:r>
        <w:t xml:space="preserve"> ou uma </w:t>
      </w:r>
      <w:r w:rsidRPr="00A43073">
        <w:rPr>
          <w:u w:val="single"/>
        </w:rPr>
        <w:t>lista de valores</w:t>
      </w:r>
      <w:r w:rsidR="0093718C">
        <w:t xml:space="preserve"> separados por vírgulas.</w:t>
      </w:r>
    </w:p>
    <w:p w:rsidR="00A43073" w:rsidRDefault="00A43073" w:rsidP="00A43073">
      <w:pPr>
        <w:pStyle w:val="ListParagraph"/>
      </w:pPr>
      <w:r>
        <w:t xml:space="preserve">No caso de uma comparação “=” a uma </w:t>
      </w:r>
      <w:r>
        <w:rPr>
          <w:u w:val="single"/>
        </w:rPr>
        <w:t>lista</w:t>
      </w:r>
      <w:r>
        <w:t xml:space="preserve"> de valores, o teste será positivo quando a propriedade for igual a </w:t>
      </w:r>
      <w:r>
        <w:rPr>
          <w:u w:val="single"/>
        </w:rPr>
        <w:t>qualquer um</w:t>
      </w:r>
      <w:r>
        <w:t xml:space="preserve"> dos valores da lista.</w:t>
      </w:r>
    </w:p>
    <w:p w:rsidR="00A43073" w:rsidRDefault="00A43073" w:rsidP="00A43073">
      <w:pPr>
        <w:pStyle w:val="ListParagraph"/>
      </w:pPr>
      <w:r>
        <w:t>No caso de uma comparação “</w:t>
      </w:r>
      <w:r w:rsidR="0093718C">
        <w:t>&lt;&gt;</w:t>
      </w:r>
      <w:r>
        <w:t xml:space="preserve">” de uma </w:t>
      </w:r>
      <w:r>
        <w:rPr>
          <w:u w:val="single"/>
        </w:rPr>
        <w:t>lista</w:t>
      </w:r>
      <w:r>
        <w:t xml:space="preserve"> de valores, o teste será positivo quando a propriedade for diferente de </w:t>
      </w:r>
      <w:r>
        <w:rPr>
          <w:u w:val="single"/>
        </w:rPr>
        <w:t>todos</w:t>
      </w:r>
      <w:r w:rsidRPr="00A43073">
        <w:t xml:space="preserve"> o</w:t>
      </w:r>
      <w:r>
        <w:t>s valores da lista.</w:t>
      </w:r>
    </w:p>
    <w:p w:rsidR="0093718C" w:rsidRDefault="0093718C" w:rsidP="00A43073">
      <w:pPr>
        <w:pStyle w:val="ListParagraph"/>
      </w:pPr>
      <w:r>
        <w:t>No caso de comparadores outros que não “=” e “&lt;&gt;”, a lista não faz sentido e não será considerada como tal.</w:t>
      </w:r>
    </w:p>
    <w:p w:rsidR="00A43073" w:rsidRPr="00A43073" w:rsidRDefault="0093718C" w:rsidP="003E1EE5">
      <w:pPr>
        <w:ind w:left="1440"/>
      </w:pPr>
      <w:r>
        <w:t>O quadro à direita do campo de constante auxilia no seu preenchimento, permitindo entrar com os valores da propriedade descritiva.</w:t>
      </w:r>
    </w:p>
    <w:p w:rsidR="003C09EF" w:rsidRDefault="003C09EF" w:rsidP="003C09EF">
      <w:pPr>
        <w:rPr>
          <w:u w:val="single"/>
        </w:rPr>
      </w:pPr>
      <w:r>
        <w:rPr>
          <w:u w:val="single"/>
        </w:rPr>
        <w:t xml:space="preserve">❸  </w:t>
      </w:r>
      <w:r w:rsidRPr="00076CAD">
        <w:rPr>
          <w:u w:val="single"/>
        </w:rPr>
        <w:t xml:space="preserve">Área de </w:t>
      </w:r>
      <w:r>
        <w:rPr>
          <w:u w:val="single"/>
        </w:rPr>
        <w:t>“POR”</w:t>
      </w:r>
    </w:p>
    <w:p w:rsidR="00BF4168" w:rsidRPr="00BF4168" w:rsidRDefault="00BF4168" w:rsidP="00645C8A">
      <w:pPr>
        <w:ind w:left="1440"/>
      </w:pPr>
      <w:r w:rsidRPr="00BF4168">
        <w:t xml:space="preserve">Se </w:t>
      </w:r>
      <w:r>
        <w:t>o box “POR” for acionado, o SRC classificará os títulos elegíveis pela propriedade “POR” e aplicará a regra à classe que contiver o maior patrimônio (se o limite for “MAX”) ou o menor patrimônio (se o limite for “MIN”).</w:t>
      </w:r>
    </w:p>
    <w:p w:rsidR="00BF4168" w:rsidRDefault="00BF4168" w:rsidP="003C09EF">
      <w:r>
        <w:rPr>
          <w:u w:val="single"/>
        </w:rPr>
        <w:t>❹ Área de “Patrimônio de Referência”</w:t>
      </w:r>
    </w:p>
    <w:p w:rsidR="00BF4168" w:rsidRDefault="00BF4168" w:rsidP="00645C8A">
      <w:pPr>
        <w:ind w:left="1440"/>
      </w:pPr>
      <w:r>
        <w:t>Determina se o patrimônio sobre o qual é computado o percentual de investimento é o da carteira ou o de uma fonte externa. Por exemplo: uma regra que limita a participação do fundo a 25% da emissão.</w:t>
      </w:r>
    </w:p>
    <w:p w:rsidR="00BF4168" w:rsidRDefault="00BF4168" w:rsidP="00645C8A">
      <w:pPr>
        <w:ind w:left="1080" w:firstLine="360"/>
      </w:pPr>
      <w:r>
        <w:t>Para que o PL de referência seja o da fonte externa (2ª opção):</w:t>
      </w:r>
    </w:p>
    <w:p w:rsidR="00BF4168" w:rsidRDefault="00BF4168" w:rsidP="00950D7D">
      <w:pPr>
        <w:pStyle w:val="ListParagraph"/>
        <w:numPr>
          <w:ilvl w:val="0"/>
          <w:numId w:val="4"/>
        </w:numPr>
      </w:pPr>
      <w:r>
        <w:t>a cláusula “POR” deve ser acionada de modo que o SRC agrupe os títulos pelo critério “POR”. Se o agrupador for a propriedade “NOME”, o sistema comparará o valor investido em cada título com o PL de referência do próprio título; e</w:t>
      </w:r>
    </w:p>
    <w:p w:rsidR="00BF4168" w:rsidRDefault="00BF4168" w:rsidP="00950D7D">
      <w:pPr>
        <w:pStyle w:val="ListParagraph"/>
        <w:numPr>
          <w:ilvl w:val="0"/>
          <w:numId w:val="4"/>
        </w:numPr>
      </w:pPr>
      <w:r>
        <w:t>o usuário deve selecionar a propriedade que contém o PL de referência do título em “O saldo de emissão está na propriedade....”. Ou seja, deve existir uma propriedade descritiva contendo o saldo de emissão de cada título, em formato numérico, para que a regra funcione.</w:t>
      </w:r>
    </w:p>
    <w:p w:rsidR="00076CAD" w:rsidRDefault="00936959" w:rsidP="00497CF1">
      <w:pPr>
        <w:pStyle w:val="Heading2"/>
      </w:pPr>
      <w:bookmarkStart w:id="55" w:name="_Toc475092482"/>
      <w:r>
        <w:t>COMBINANDO CLÁUSULAS “PARA” E “POR”</w:t>
      </w:r>
      <w:bookmarkEnd w:id="55"/>
    </w:p>
    <w:p w:rsidR="00936959" w:rsidRDefault="00936959" w:rsidP="00C676D2">
      <w:r>
        <w:t>As cláusulas “PARA” e “POR” são independentes.</w:t>
      </w:r>
    </w:p>
    <w:p w:rsidR="00936959" w:rsidRDefault="00936959" w:rsidP="00C676D2">
      <w:r>
        <w:t>Uma regra sem cláusula “PARA” nem “POR” será aplicada à soma de todos os títulos da carteira e seu resultado será</w:t>
      </w:r>
      <w:r w:rsidR="00C83153">
        <w:t xml:space="preserve"> sempre de </w:t>
      </w:r>
      <w:r>
        <w:t>100% do patrimônio líquido sob a regra.</w:t>
      </w:r>
    </w:p>
    <w:p w:rsidR="00936959" w:rsidRDefault="00936959" w:rsidP="00C676D2">
      <w:r>
        <w:t>Uma regra com “PARA” e sem “POR” será aplicada à soma dos títulos que cumprem o critério “PARA”.</w:t>
      </w:r>
    </w:p>
    <w:p w:rsidR="00936959" w:rsidRDefault="00936959" w:rsidP="00C676D2">
      <w:r>
        <w:lastRenderedPageBreak/>
        <w:t>Uma regra sem “PARA” e com “POR” será aplicada a todos os títulos da carteira, mas classificados pela propriedade “POR” de modo que só a classe de maior concentração (se o limite for MAX) ou a classe de menor concentração (se o limite for MIN) integrará o P.L. sob a regra e será comparada com o limite.</w:t>
      </w:r>
    </w:p>
    <w:p w:rsidR="00936959" w:rsidRDefault="00936959" w:rsidP="00C676D2">
      <w:r>
        <w:t>Uma regra com “PARA” e com “POR” será aplicada ao conjunto dos títulos que cumprem o critério “PARA”</w:t>
      </w:r>
      <w:r w:rsidR="00BF4168">
        <w:t>, classificados pela propriedade “POR”. O SRC primeiramente separa toda a sub-carteira que cumpre o “PARA” e depois classifica pelo “POR”.</w:t>
      </w:r>
    </w:p>
    <w:p w:rsidR="00936959" w:rsidRDefault="00936959" w:rsidP="00497CF1">
      <w:pPr>
        <w:pStyle w:val="Heading2"/>
      </w:pPr>
      <w:bookmarkStart w:id="56" w:name="_Toc475092483"/>
      <w:r>
        <w:t>EXEMPLOS DE REGRAS</w:t>
      </w:r>
      <w:bookmarkEnd w:id="56"/>
    </w:p>
    <w:p w:rsidR="00BB00F0" w:rsidRDefault="00BB00F0" w:rsidP="00BB00F0">
      <w:r>
        <w:rPr>
          <w:noProof/>
          <w:lang w:eastAsia="pt-B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342900</wp:posOffset>
            </wp:positionV>
            <wp:extent cx="2952750" cy="4572000"/>
            <wp:effectExtent l="1905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EXEMPLO A</w:t>
      </w:r>
    </w:p>
    <w:p w:rsidR="008B7775" w:rsidRDefault="008B7775" w:rsidP="00BB00F0"/>
    <w:p w:rsidR="00BB00F0" w:rsidRPr="00BB00F0" w:rsidRDefault="00BB00F0" w:rsidP="00BB00F0">
      <w:r>
        <w:t>Esta regra l</w:t>
      </w:r>
      <w:r w:rsidR="007A771B">
        <w:t>imita o total de títulos que têm a propriedade “Tipo409” igual a</w:t>
      </w:r>
      <w:r>
        <w:t xml:space="preserve"> Fundo409 </w:t>
      </w:r>
      <w:r>
        <w:rPr>
          <w:u w:val="single"/>
        </w:rPr>
        <w:t>ou</w:t>
      </w:r>
      <w:r>
        <w:t xml:space="preserve"> FIC409 </w:t>
      </w:r>
      <w:r>
        <w:rPr>
          <w:u w:val="single"/>
        </w:rPr>
        <w:t>ou</w:t>
      </w:r>
      <w:r>
        <w:t xml:space="preserve"> FII </w:t>
      </w:r>
      <w:r>
        <w:rPr>
          <w:u w:val="single"/>
        </w:rPr>
        <w:t>ou</w:t>
      </w:r>
      <w:r>
        <w:t xml:space="preserve"> FIDC a 20% do PL, com “warning” a 18%.</w:t>
      </w:r>
    </w:p>
    <w:p w:rsidR="00BB00F0" w:rsidRDefault="00BB00F0" w:rsidP="00BB00F0">
      <w:r>
        <w:lastRenderedPageBreak/>
        <w:t>EXEMPLO B</w:t>
      </w:r>
    </w:p>
    <w:p w:rsidR="00BB00F0" w:rsidRDefault="00BB00F0" w:rsidP="00BB00F0">
      <w:r>
        <w:rPr>
          <w:noProof/>
          <w:lang w:eastAsia="pt-BR"/>
        </w:rPr>
        <w:drawing>
          <wp:inline distT="0" distB="0" distL="0" distR="0">
            <wp:extent cx="2956782" cy="45720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782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0F0" w:rsidRDefault="007A771B" w:rsidP="00BB00F0">
      <w:r>
        <w:t xml:space="preserve">Esta regra limita a 20% (com warning a 18%) a concentração </w:t>
      </w:r>
      <w:r>
        <w:rPr>
          <w:u w:val="single"/>
        </w:rPr>
        <w:t>por Emissor</w:t>
      </w:r>
      <w:r>
        <w:t xml:space="preserve"> para todos os títulos que tiverem “Tipo409Emissor” igual a “InstFin”.</w:t>
      </w:r>
    </w:p>
    <w:p w:rsidR="007A771B" w:rsidRDefault="007A771B" w:rsidP="00BB00F0">
      <w:r>
        <w:t>É usada para limitar a 20% do PL a concentração em cada emissor que seja instituição financeira.</w:t>
      </w:r>
    </w:p>
    <w:p w:rsidR="00313D9E" w:rsidRDefault="00313D9E">
      <w:pPr>
        <w:ind w:left="0"/>
        <w:jc w:val="left"/>
      </w:pPr>
      <w:r>
        <w:br w:type="page"/>
      </w:r>
    </w:p>
    <w:p w:rsidR="007A771B" w:rsidRDefault="007A771B" w:rsidP="00BB00F0">
      <w:r>
        <w:lastRenderedPageBreak/>
        <w:t>EXEMPLO C</w:t>
      </w:r>
    </w:p>
    <w:p w:rsidR="00BB00F0" w:rsidRDefault="00BB00F0" w:rsidP="00BB00F0">
      <w:r>
        <w:rPr>
          <w:noProof/>
          <w:lang w:eastAsia="pt-BR"/>
        </w:rPr>
        <w:drawing>
          <wp:inline distT="0" distB="0" distL="0" distR="0">
            <wp:extent cx="2956782" cy="4572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782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71B" w:rsidRDefault="007A771B" w:rsidP="00BB00F0">
      <w:r>
        <w:t xml:space="preserve">Esta regra limita o investimento em </w:t>
      </w:r>
      <w:r w:rsidRPr="007A771B">
        <w:rPr>
          <w:u w:val="single"/>
        </w:rPr>
        <w:t>cada</w:t>
      </w:r>
      <w:r>
        <w:t xml:space="preserve"> título de “Tipo409” igual a “Deb400” a 25% do “ValorEmissao”.</w:t>
      </w:r>
    </w:p>
    <w:p w:rsidR="007A771B" w:rsidRDefault="007A771B" w:rsidP="00BB00F0">
      <w:r>
        <w:t>É usada para limitar a concentração a 25% do valor da emissão no caso de debêntures ICVM400. Note que:</w:t>
      </w:r>
    </w:p>
    <w:p w:rsidR="007A771B" w:rsidRDefault="007A771B" w:rsidP="007A771B">
      <w:pPr>
        <w:pStyle w:val="ListParagraph"/>
      </w:pPr>
      <w:r>
        <w:t xml:space="preserve">O box “POR” foi acionado, para o SRC percorrer </w:t>
      </w:r>
      <w:r>
        <w:rPr>
          <w:u w:val="single"/>
        </w:rPr>
        <w:t>cada</w:t>
      </w:r>
      <w:r>
        <w:t xml:space="preserve"> título. Sem isso, a regra não faria sentido.</w:t>
      </w:r>
    </w:p>
    <w:p w:rsidR="007A771B" w:rsidRPr="007A771B" w:rsidRDefault="007A771B" w:rsidP="007A771B">
      <w:pPr>
        <w:pStyle w:val="ListParagraph"/>
      </w:pPr>
      <w:r>
        <w:t>O 2º box da área de “patrimônio de referência” foi acionado, e no dropdown a propriedade foi escolhida “ValorEmissao”.</w:t>
      </w:r>
    </w:p>
    <w:p w:rsidR="00313D9E" w:rsidRDefault="00313D9E">
      <w:pPr>
        <w:ind w:left="0"/>
        <w:jc w:val="left"/>
      </w:pPr>
      <w:r>
        <w:br w:type="page"/>
      </w:r>
    </w:p>
    <w:p w:rsidR="008B7775" w:rsidRDefault="008B7775" w:rsidP="00BB00F0">
      <w:r>
        <w:lastRenderedPageBreak/>
        <w:t>EXEMPLO D</w:t>
      </w:r>
    </w:p>
    <w:p w:rsidR="00BB00F0" w:rsidRDefault="006658F5" w:rsidP="00BB00F0">
      <w:r>
        <w:rPr>
          <w:noProof/>
          <w:lang w:eastAsia="pt-BR"/>
        </w:rPr>
        <w:drawing>
          <wp:inline distT="0" distB="0" distL="0" distR="0">
            <wp:extent cx="2956782" cy="4572000"/>
            <wp:effectExtent l="1905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782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775" w:rsidRDefault="008B7775" w:rsidP="00BB00F0">
      <w:r>
        <w:t xml:space="preserve">Esta regra limita a 10% (com warn a 9%) a concentração em título que a) tenham “Rating” pior que BBB- </w:t>
      </w:r>
      <w:r>
        <w:rPr>
          <w:u w:val="single"/>
        </w:rPr>
        <w:t>e</w:t>
      </w:r>
      <w:r w:rsidR="00266B40">
        <w:t xml:space="preserve"> b) tenham “Tipo409” diferente de “</w:t>
      </w:r>
      <w:r w:rsidR="006658F5">
        <w:t>FII</w:t>
      </w:r>
      <w:r w:rsidR="00266B40">
        <w:t>” ou “</w:t>
      </w:r>
      <w:r w:rsidR="006658F5">
        <w:t>Fundo409” ou “FIRF CURTO PRAZO” ou “FIRF”.</w:t>
      </w:r>
    </w:p>
    <w:p w:rsidR="006658F5" w:rsidRPr="00266B40" w:rsidRDefault="006658F5" w:rsidP="00BB00F0">
      <w:r>
        <w:t>É usada para limitar a concentração em títulos sem grau de investimento (rating pior que BBB-), exclusive os títulos que não têm rating por serem quotas de fundos.</w:t>
      </w:r>
    </w:p>
    <w:p w:rsidR="00D63709" w:rsidRDefault="00D63709" w:rsidP="00497CF1">
      <w:pPr>
        <w:pStyle w:val="Heading2"/>
      </w:pPr>
      <w:bookmarkStart w:id="57" w:name="_Ref459035542"/>
      <w:bookmarkStart w:id="58" w:name="_Toc475092484"/>
      <w:r>
        <w:t>REGRAS DE MOVIMENTAÇÃO</w:t>
      </w:r>
      <w:bookmarkEnd w:id="57"/>
      <w:bookmarkEnd w:id="58"/>
    </w:p>
    <w:p w:rsidR="00D63709" w:rsidRDefault="00D63709" w:rsidP="00D63709">
      <w:r>
        <w:t xml:space="preserve">O SRC permite configurar regras que só são válidas na movimentação (compra ou venda), mas não na carteira. </w:t>
      </w:r>
    </w:p>
    <w:p w:rsidR="00D63709" w:rsidRDefault="00D63709" w:rsidP="00D63709">
      <w:r>
        <w:t xml:space="preserve">Por exemplo, a regra que limita a </w:t>
      </w:r>
      <w:r w:rsidRPr="00D63709">
        <w:rPr>
          <w:u w:val="single"/>
        </w:rPr>
        <w:t>aquisição</w:t>
      </w:r>
      <w:r>
        <w:t xml:space="preserve"> a um rating mínimo, mas que, após a aquisição, não veda o fundo de manter investimentos abaixo do rating (caso o título seja rebaixado após a aquisição).</w:t>
      </w:r>
    </w:p>
    <w:p w:rsidR="00C22936" w:rsidRDefault="00C22936" w:rsidP="00C22936">
      <w:r>
        <w:t>Uma regra “de movimentação” gera um BREACH ou um WARNING conforme a movimentação cause um desenquadramento da carteira pós-movimentação.</w:t>
      </w:r>
    </w:p>
    <w:p w:rsidR="00D63709" w:rsidRDefault="009F2014" w:rsidP="00D63709">
      <w:r>
        <w:lastRenderedPageBreak/>
        <w:t xml:space="preserve">As regras de movimentação </w:t>
      </w:r>
      <w:r>
        <w:rPr>
          <w:u w:val="single"/>
        </w:rPr>
        <w:t>não</w:t>
      </w:r>
      <w:r>
        <w:t xml:space="preserve"> permitem checar “day-trade”, “off-market price” ou outras condições que não possam ser traduzidas como alterações da carteira após a movimentação.</w:t>
      </w:r>
    </w:p>
    <w:p w:rsidR="00C22936" w:rsidRDefault="00C22936" w:rsidP="00C22936">
      <w:pPr>
        <w:ind w:left="0"/>
      </w:pPr>
      <w:r>
        <w:tab/>
        <w:t>A violação do limite de um regra de movimentação tem o seguinte tratamento:</w:t>
      </w:r>
    </w:p>
    <w:p w:rsidR="00C22936" w:rsidRDefault="00C22936" w:rsidP="00CA6E5C">
      <w:pPr>
        <w:pStyle w:val="ListParagraph"/>
        <w:numPr>
          <w:ilvl w:val="0"/>
          <w:numId w:val="23"/>
        </w:numPr>
      </w:pPr>
      <w:r>
        <w:t xml:space="preserve">Se o SRC estiver simulando uma compra e venda(ver </w:t>
      </w:r>
      <w:r w:rsidR="000B1A93">
        <w:fldChar w:fldCharType="begin"/>
      </w:r>
      <w:r>
        <w:instrText xml:space="preserve"> REF _Ref458615482 \r \h </w:instrText>
      </w:r>
      <w:r w:rsidR="000B1A93">
        <w:fldChar w:fldCharType="separate"/>
      </w:r>
      <w:r>
        <w:t>V-8</w:t>
      </w:r>
      <w:r w:rsidR="000B1A93">
        <w:fldChar w:fldCharType="end"/>
      </w:r>
      <w:r>
        <w:t>), causa um BREACH</w:t>
      </w:r>
    </w:p>
    <w:p w:rsidR="00C22936" w:rsidRPr="009F2014" w:rsidRDefault="00C22936" w:rsidP="00CA6E5C">
      <w:pPr>
        <w:pStyle w:val="ListParagraph"/>
        <w:numPr>
          <w:ilvl w:val="0"/>
          <w:numId w:val="23"/>
        </w:numPr>
      </w:pPr>
      <w:r>
        <w:t>Se o SRC estiver processando a carteira normalmente, causa um WARNING, mesmo que o limite ultrapassado seja “hard limit”.</w:t>
      </w:r>
    </w:p>
    <w:p w:rsidR="00C22936" w:rsidRDefault="00C22936" w:rsidP="00497CF1">
      <w:pPr>
        <w:pStyle w:val="Heading2"/>
      </w:pPr>
      <w:bookmarkStart w:id="59" w:name="_Ref458615482"/>
      <w:bookmarkStart w:id="60" w:name="_Toc475092485"/>
      <w:r>
        <w:t>PRÉ-TRADE COMPLIANCE</w:t>
      </w:r>
      <w:bookmarkEnd w:id="59"/>
      <w:bookmarkEnd w:id="60"/>
    </w:p>
    <w:p w:rsidR="00DC7293" w:rsidRDefault="00EA0F19" w:rsidP="00504273">
      <w:r>
        <w:t xml:space="preserve">O SRC pode </w:t>
      </w:r>
      <w:r>
        <w:rPr>
          <w:u w:val="single"/>
        </w:rPr>
        <w:t>simular</w:t>
      </w:r>
      <w:r>
        <w:t xml:space="preserve"> um novo negócio antes de sua execução de modo a verificar seu impacto sobre a compliance de enquadramento</w:t>
      </w:r>
      <w:r w:rsidR="00DC7293">
        <w:t xml:space="preserve"> com Compliance</w:t>
      </w:r>
      <w:r w:rsidR="00DC7293">
        <w:sym w:font="Wingdings" w:char="F0E0"/>
      </w:r>
      <w:r w:rsidR="00DC7293">
        <w:t>Pré-Trade (ou Simulação</w:t>
      </w:r>
      <w:r w:rsidR="00DC7293">
        <w:sym w:font="Wingdings" w:char="F0E0"/>
      </w:r>
      <w:r w:rsidR="00DC7293">
        <w:t>Simula C/V)</w:t>
      </w:r>
      <w:r>
        <w:t xml:space="preserve">. </w:t>
      </w:r>
    </w:p>
    <w:p w:rsidR="00504273" w:rsidRPr="00EA0F19" w:rsidRDefault="00EA0F19" w:rsidP="00504273">
      <w:r>
        <w:t>Ver</w:t>
      </w:r>
      <w:r w:rsidR="00B77F0C">
        <w:t xml:space="preserve"> </w:t>
      </w:r>
      <w:r w:rsidR="000B1A93">
        <w:fldChar w:fldCharType="begin"/>
      </w:r>
      <w:r w:rsidR="00B77F0C">
        <w:instrText xml:space="preserve"> REF _Ref458692734 \r \h </w:instrText>
      </w:r>
      <w:r w:rsidR="000B1A93">
        <w:fldChar w:fldCharType="separate"/>
      </w:r>
      <w:r w:rsidR="00B77F0C">
        <w:t>X-2</w:t>
      </w:r>
      <w:r w:rsidR="000B1A93">
        <w:fldChar w:fldCharType="end"/>
      </w:r>
      <w:r w:rsidR="00DC7293">
        <w:t xml:space="preserve"> para o funcionamento da simulação de transações.</w:t>
      </w:r>
    </w:p>
    <w:p w:rsidR="00D85C43" w:rsidRDefault="00D85C43" w:rsidP="00497CF1">
      <w:pPr>
        <w:pStyle w:val="Heading2"/>
      </w:pPr>
      <w:bookmarkStart w:id="61" w:name="_Toc475092486"/>
      <w:r>
        <w:t>LIVROS DE REGRAS</w:t>
      </w:r>
      <w:bookmarkEnd w:id="61"/>
    </w:p>
    <w:p w:rsidR="00F70D9A" w:rsidRDefault="00F70D9A" w:rsidP="00F70D9A">
      <w:r>
        <w:t>Para facilitar a organização, as regras são agrupadas em Livros. Os Livros são atribuídos aos fundos.</w:t>
      </w:r>
    </w:p>
    <w:p w:rsidR="00F70D9A" w:rsidRDefault="00F70D9A" w:rsidP="00F70D9A">
      <w:r>
        <w:t>Uma mesma regra pode figurar em mais de um Livro.</w:t>
      </w:r>
    </w:p>
    <w:p w:rsidR="00F70D9A" w:rsidRDefault="00F70D9A" w:rsidP="00F70D9A">
      <w:r>
        <w:t>Um mesmo Livro pode ser atribuído a mais de um fundo.</w:t>
      </w:r>
    </w:p>
    <w:p w:rsidR="00D969E7" w:rsidRDefault="00D969E7" w:rsidP="00F70D9A">
      <w:r>
        <w:t>Para gerenciar os Livros de regras, clica-se em Compliance</w:t>
      </w:r>
      <w:r>
        <w:sym w:font="Wingdings" w:char="F0E0"/>
      </w:r>
      <w:r>
        <w:t>Livros. A Lista de Livros aparece, com opções de criar Novo, Excluir ou Editar.</w:t>
      </w:r>
    </w:p>
    <w:p w:rsidR="00D969E7" w:rsidRPr="00F70D9A" w:rsidRDefault="00347A63" w:rsidP="00F70D9A">
      <w:r>
        <w:t>Ao Editar um Livro, podem-se escolher as regras que o comporão.</w:t>
      </w:r>
    </w:p>
    <w:p w:rsidR="00936959" w:rsidRDefault="00936959" w:rsidP="00497CF1">
      <w:pPr>
        <w:pStyle w:val="Heading2"/>
      </w:pPr>
      <w:bookmarkStart w:id="62" w:name="_Toc475092487"/>
      <w:r>
        <w:t>ATRIBUINDO LIVROS AOS FUNDOS</w:t>
      </w:r>
      <w:bookmarkEnd w:id="62"/>
    </w:p>
    <w:p w:rsidR="00347A63" w:rsidRPr="00347A63" w:rsidRDefault="00347A63" w:rsidP="00347A63">
      <w:r>
        <w:t xml:space="preserve">Os Livros são atribuídos aos Fundos na edição do </w:t>
      </w:r>
      <w:r w:rsidRPr="0099160B">
        <w:rPr>
          <w:u w:val="single"/>
        </w:rPr>
        <w:t>cadastro</w:t>
      </w:r>
      <w:r>
        <w:t xml:space="preserve"> do Fundo (</w:t>
      </w:r>
      <w:r w:rsidRPr="00347A63">
        <w:t>ver</w:t>
      </w:r>
      <w:r>
        <w:t xml:space="preserve"> </w:t>
      </w:r>
      <w:r w:rsidR="000B1A93">
        <w:fldChar w:fldCharType="begin"/>
      </w:r>
      <w:r>
        <w:instrText xml:space="preserve"> REF _Ref458526319 \r \h </w:instrText>
      </w:r>
      <w:r w:rsidR="000B1A93">
        <w:fldChar w:fldCharType="separate"/>
      </w:r>
      <w:r>
        <w:t>III-3</w:t>
      </w:r>
      <w:r w:rsidR="000B1A93">
        <w:fldChar w:fldCharType="end"/>
      </w:r>
      <w:r>
        <w:t>).</w:t>
      </w:r>
    </w:p>
    <w:p w:rsidR="00950D7D" w:rsidRPr="00950D7D" w:rsidRDefault="00950D7D" w:rsidP="00497CF1">
      <w:pPr>
        <w:pStyle w:val="Heading2"/>
      </w:pPr>
      <w:bookmarkStart w:id="63" w:name="_Toc475092488"/>
      <w:r w:rsidRPr="00950D7D">
        <w:t>VISUALIZANDO A COMPLIANCE</w:t>
      </w:r>
      <w:bookmarkEnd w:id="63"/>
    </w:p>
    <w:p w:rsidR="00D85C43" w:rsidRDefault="007F3670" w:rsidP="00C676D2">
      <w:r>
        <w:t>A conformidade com as regras p</w:t>
      </w:r>
      <w:r w:rsidR="00823A32">
        <w:t>ode ser visualizada:</w:t>
      </w:r>
    </w:p>
    <w:p w:rsidR="007F3670" w:rsidRDefault="007F3670" w:rsidP="007F3670">
      <w:pPr>
        <w:pStyle w:val="ListParagraph"/>
      </w:pPr>
      <w:r>
        <w:t xml:space="preserve">No </w:t>
      </w:r>
      <w:r w:rsidRPr="00115373">
        <w:rPr>
          <w:u w:val="single"/>
        </w:rPr>
        <w:t>Dashboard</w:t>
      </w:r>
      <w:r>
        <w:t xml:space="preserve">, há </w:t>
      </w:r>
      <w:r w:rsidR="00823A32">
        <w:t>dois</w:t>
      </w:r>
      <w:r>
        <w:t xml:space="preserve"> semáforo</w:t>
      </w:r>
      <w:r w:rsidR="00823A32">
        <w:t>s</w:t>
      </w:r>
      <w:r>
        <w:t xml:space="preserve"> que mostra</w:t>
      </w:r>
      <w:r w:rsidR="00823A32">
        <w:t>m</w:t>
      </w:r>
      <w:r>
        <w:t xml:space="preserve"> o enquadramento </w:t>
      </w:r>
      <w:r w:rsidRPr="00016FE1">
        <w:t>do fundo</w:t>
      </w:r>
      <w:r>
        <w:t>:</w:t>
      </w:r>
    </w:p>
    <w:p w:rsidR="007F3670" w:rsidRDefault="007F3670" w:rsidP="007F3670">
      <w:pPr>
        <w:pStyle w:val="ListParagraph"/>
        <w:numPr>
          <w:ilvl w:val="1"/>
          <w:numId w:val="2"/>
        </w:numPr>
      </w:pPr>
      <w:r>
        <w:t>BREACH (</w:t>
      </w:r>
      <w:r w:rsidRPr="008B095D">
        <w:rPr>
          <w:u w:val="single"/>
        </w:rPr>
        <w:t>vermelho</w:t>
      </w:r>
      <w:r>
        <w:t xml:space="preserve">) se pelo menos </w:t>
      </w:r>
      <w:r w:rsidR="00823A32">
        <w:t xml:space="preserve">uma regra </w:t>
      </w:r>
      <w:r w:rsidR="00016FE1">
        <w:t xml:space="preserve">do fundo </w:t>
      </w:r>
      <w:r>
        <w:t xml:space="preserve">estiver em BREACH, </w:t>
      </w:r>
    </w:p>
    <w:p w:rsidR="007F3670" w:rsidRDefault="007F3670" w:rsidP="007F3670">
      <w:pPr>
        <w:pStyle w:val="ListParagraph"/>
        <w:numPr>
          <w:ilvl w:val="1"/>
          <w:numId w:val="2"/>
        </w:numPr>
      </w:pPr>
      <w:r>
        <w:lastRenderedPageBreak/>
        <w:t>WARN (</w:t>
      </w:r>
      <w:r w:rsidRPr="008B095D">
        <w:rPr>
          <w:u w:val="single"/>
        </w:rPr>
        <w:t>amarelo</w:t>
      </w:r>
      <w:r>
        <w:t xml:space="preserve">) se não houver </w:t>
      </w:r>
      <w:r w:rsidR="00823A32">
        <w:t xml:space="preserve">nenhuma regra </w:t>
      </w:r>
      <w:r w:rsidR="00016FE1">
        <w:t xml:space="preserve">em </w:t>
      </w:r>
      <w:r>
        <w:t>BREACH e pelo menos um</w:t>
      </w:r>
      <w:r w:rsidR="00823A32">
        <w:t>a</w:t>
      </w:r>
      <w:r>
        <w:t xml:space="preserve"> </w:t>
      </w:r>
      <w:r w:rsidR="00016FE1">
        <w:t xml:space="preserve">em </w:t>
      </w:r>
      <w:r>
        <w:t>WARN.</w:t>
      </w:r>
    </w:p>
    <w:p w:rsidR="00016FE1" w:rsidRDefault="00016FE1" w:rsidP="007F3670">
      <w:pPr>
        <w:pStyle w:val="ListParagraph"/>
        <w:numPr>
          <w:ilvl w:val="1"/>
          <w:numId w:val="2"/>
        </w:numPr>
      </w:pPr>
      <w:r>
        <w:t>OK (</w:t>
      </w:r>
      <w:r w:rsidRPr="008B095D">
        <w:rPr>
          <w:u w:val="single"/>
        </w:rPr>
        <w:t>verde</w:t>
      </w:r>
      <w:r>
        <w:t xml:space="preserve">) se </w:t>
      </w:r>
      <w:r w:rsidR="00823A32">
        <w:t>todas as regras estiverem</w:t>
      </w:r>
      <w:r>
        <w:t xml:space="preserve"> OK</w:t>
      </w:r>
    </w:p>
    <w:p w:rsidR="00823A32" w:rsidRDefault="00823A32" w:rsidP="00823A32">
      <w:pPr>
        <w:ind w:left="2520"/>
      </w:pPr>
      <w:r>
        <w:t xml:space="preserve">Obs: </w:t>
      </w:r>
      <w:r w:rsidR="008B095D">
        <w:t>o 1º semáforo (cheio)</w:t>
      </w:r>
      <w:r>
        <w:t xml:space="preserve"> mostra o enquadramento no escopo de CONTROLE e o segundo semáforo </w:t>
      </w:r>
      <w:r w:rsidR="008B095D">
        <w:t xml:space="preserve">(vazado) </w:t>
      </w:r>
      <w:r>
        <w:t>mostra o enquadramento em limites gerenciais (escopos “LIM” e “GER”).</w:t>
      </w:r>
    </w:p>
    <w:p w:rsidR="00016FE1" w:rsidRDefault="00016FE1" w:rsidP="00016FE1">
      <w:pPr>
        <w:pStyle w:val="ListParagraph"/>
      </w:pPr>
      <w:r>
        <w:t xml:space="preserve">No </w:t>
      </w:r>
      <w:r w:rsidRPr="00115373">
        <w:rPr>
          <w:u w:val="single"/>
        </w:rPr>
        <w:t>e-mail</w:t>
      </w:r>
      <w:r>
        <w:t xml:space="preserve"> diário, </w:t>
      </w:r>
      <w:r w:rsidR="00823A32">
        <w:t>os desenquadramentos são reportados por fundo e regra</w:t>
      </w:r>
      <w:r w:rsidR="00604239">
        <w:t>, em 4 grupos:</w:t>
      </w:r>
    </w:p>
    <w:p w:rsidR="00604239" w:rsidRDefault="00604239" w:rsidP="00604239">
      <w:pPr>
        <w:pStyle w:val="ListParagraph"/>
        <w:numPr>
          <w:ilvl w:val="1"/>
          <w:numId w:val="2"/>
        </w:numPr>
      </w:pPr>
      <w:r>
        <w:t>BREACHES de regras de CONTROLE</w:t>
      </w:r>
    </w:p>
    <w:p w:rsidR="00604239" w:rsidRDefault="00604239" w:rsidP="00604239">
      <w:pPr>
        <w:pStyle w:val="ListParagraph"/>
        <w:numPr>
          <w:ilvl w:val="1"/>
          <w:numId w:val="2"/>
        </w:numPr>
      </w:pPr>
      <w:r>
        <w:t>WARNINGS de regras de CONTROLE</w:t>
      </w:r>
    </w:p>
    <w:p w:rsidR="00604239" w:rsidRDefault="00604239" w:rsidP="00604239">
      <w:pPr>
        <w:pStyle w:val="ListParagraph"/>
        <w:numPr>
          <w:ilvl w:val="1"/>
          <w:numId w:val="2"/>
        </w:numPr>
      </w:pPr>
      <w:r>
        <w:t>BREACHES de regras internas, tanto “LIM” quanto “GER”</w:t>
      </w:r>
    </w:p>
    <w:p w:rsidR="00604239" w:rsidRDefault="00604239" w:rsidP="00604239">
      <w:pPr>
        <w:pStyle w:val="ListParagraph"/>
        <w:numPr>
          <w:ilvl w:val="1"/>
          <w:numId w:val="2"/>
        </w:numPr>
      </w:pPr>
      <w:r>
        <w:t>WARNINGS de regras internas, tanto “LIM” quanto “GER”</w:t>
      </w:r>
    </w:p>
    <w:p w:rsidR="00016FE1" w:rsidRDefault="00016FE1" w:rsidP="00016FE1">
      <w:pPr>
        <w:pStyle w:val="ListParagraph"/>
      </w:pPr>
      <w:r>
        <w:t xml:space="preserve">Na aba “Regras” da </w:t>
      </w:r>
      <w:r w:rsidRPr="00115373">
        <w:rPr>
          <w:u w:val="single"/>
        </w:rPr>
        <w:t>Tela de Carteira</w:t>
      </w:r>
      <w:r>
        <w:t>, o enquadramento é mostrado por Regra.</w:t>
      </w:r>
    </w:p>
    <w:p w:rsidR="007F3670" w:rsidRDefault="007F3670" w:rsidP="007F3670">
      <w:pPr>
        <w:pStyle w:val="ListParagraph"/>
        <w:numPr>
          <w:ilvl w:val="0"/>
          <w:numId w:val="0"/>
        </w:numPr>
        <w:ind w:left="2880"/>
      </w:pPr>
    </w:p>
    <w:p w:rsidR="007F3670" w:rsidRDefault="007F3670" w:rsidP="007F3670">
      <w:pPr>
        <w:pStyle w:val="ListParagraph"/>
        <w:numPr>
          <w:ilvl w:val="0"/>
          <w:numId w:val="0"/>
        </w:numPr>
        <w:ind w:left="2880"/>
      </w:pPr>
    </w:p>
    <w:p w:rsidR="007F3670" w:rsidRDefault="007F3670" w:rsidP="007F3670">
      <w:pPr>
        <w:pStyle w:val="ListParagraph"/>
        <w:numPr>
          <w:ilvl w:val="0"/>
          <w:numId w:val="0"/>
        </w:numPr>
        <w:ind w:left="2880"/>
      </w:pPr>
    </w:p>
    <w:p w:rsidR="007F3670" w:rsidRDefault="007F3670" w:rsidP="007F3670">
      <w:pPr>
        <w:pStyle w:val="ListParagraph"/>
        <w:numPr>
          <w:ilvl w:val="0"/>
          <w:numId w:val="0"/>
        </w:numPr>
        <w:ind w:left="2880"/>
      </w:pPr>
    </w:p>
    <w:p w:rsidR="000A50AF" w:rsidRDefault="000A50AF" w:rsidP="00016FE1">
      <w:pPr>
        <w:pStyle w:val="Heading1"/>
      </w:pPr>
      <w:bookmarkStart w:id="64" w:name="_Toc475092489"/>
      <w:r>
        <w:lastRenderedPageBreak/>
        <w:t>RISCO DE MERCADO</w:t>
      </w:r>
      <w:bookmarkEnd w:id="64"/>
    </w:p>
    <w:p w:rsidR="00823A32" w:rsidRDefault="00823A32" w:rsidP="00497CF1">
      <w:pPr>
        <w:pStyle w:val="Heading2"/>
      </w:pPr>
      <w:bookmarkStart w:id="65" w:name="_Toc475092490"/>
      <w:r>
        <w:t>GERAL</w:t>
      </w:r>
      <w:bookmarkEnd w:id="65"/>
    </w:p>
    <w:p w:rsidR="00823A32" w:rsidRDefault="00823A32" w:rsidP="00823A32">
      <w:r>
        <w:t>O SRC calcula duas métricas de risco de mercado:</w:t>
      </w:r>
    </w:p>
    <w:p w:rsidR="00823A32" w:rsidRDefault="00823A32" w:rsidP="00CA6E5C">
      <w:pPr>
        <w:pStyle w:val="ListParagraph"/>
        <w:numPr>
          <w:ilvl w:val="0"/>
          <w:numId w:val="13"/>
        </w:numPr>
      </w:pPr>
      <w:r>
        <w:t>VaR paramétrico diário</w:t>
      </w:r>
      <w:r w:rsidR="00017DD2">
        <w:t xml:space="preserve"> a 99%</w:t>
      </w:r>
      <w:r w:rsidR="00707EF7">
        <w:t>;</w:t>
      </w:r>
    </w:p>
    <w:p w:rsidR="00823A32" w:rsidRDefault="00707EF7" w:rsidP="00CA6E5C">
      <w:pPr>
        <w:pStyle w:val="ListParagraph"/>
        <w:numPr>
          <w:ilvl w:val="0"/>
          <w:numId w:val="13"/>
        </w:numPr>
      </w:pPr>
      <w:r>
        <w:t>Stress histórico;</w:t>
      </w:r>
    </w:p>
    <w:p w:rsidR="00707EF7" w:rsidRDefault="00707EF7" w:rsidP="00CA6E5C">
      <w:pPr>
        <w:pStyle w:val="ListParagraph"/>
        <w:numPr>
          <w:ilvl w:val="0"/>
          <w:numId w:val="13"/>
        </w:numPr>
      </w:pPr>
      <w:r>
        <w:t>Stress por cenário.</w:t>
      </w:r>
    </w:p>
    <w:p w:rsidR="00823A32" w:rsidRDefault="00707EF7" w:rsidP="00707EF7">
      <w:pPr>
        <w:ind w:left="0" w:firstLine="720"/>
      </w:pPr>
      <w:r>
        <w:t>Para VaR e Stress Histórico s</w:t>
      </w:r>
      <w:r w:rsidR="00823A32">
        <w:t>ão utilizados 4 fatores de risco:</w:t>
      </w:r>
    </w:p>
    <w:p w:rsidR="00823A32" w:rsidRDefault="00823A32" w:rsidP="00CA6E5C">
      <w:pPr>
        <w:pStyle w:val="ListParagraph"/>
        <w:numPr>
          <w:ilvl w:val="0"/>
          <w:numId w:val="14"/>
        </w:numPr>
      </w:pPr>
      <w:r>
        <w:t xml:space="preserve">curva pré, </w:t>
      </w:r>
    </w:p>
    <w:p w:rsidR="00823A32" w:rsidRDefault="00823A32" w:rsidP="00CA6E5C">
      <w:pPr>
        <w:pStyle w:val="ListParagraph"/>
        <w:numPr>
          <w:ilvl w:val="0"/>
          <w:numId w:val="14"/>
        </w:numPr>
      </w:pPr>
      <w:r>
        <w:t xml:space="preserve">curva de </w:t>
      </w:r>
      <w:r w:rsidR="00B6727A">
        <w:t>IPCA</w:t>
      </w:r>
      <w:r>
        <w:t>,</w:t>
      </w:r>
    </w:p>
    <w:p w:rsidR="00823A32" w:rsidRDefault="00823A32" w:rsidP="00CA6E5C">
      <w:pPr>
        <w:pStyle w:val="ListParagraph"/>
        <w:numPr>
          <w:ilvl w:val="0"/>
          <w:numId w:val="14"/>
        </w:numPr>
      </w:pPr>
      <w:r>
        <w:t xml:space="preserve">índice </w:t>
      </w:r>
      <w:r w:rsidR="00B6727A">
        <w:t xml:space="preserve">IFIX </w:t>
      </w:r>
      <w:r>
        <w:t xml:space="preserve">de fundos imobiliários e </w:t>
      </w:r>
    </w:p>
    <w:p w:rsidR="00823A32" w:rsidRDefault="00823A32" w:rsidP="00CA6E5C">
      <w:pPr>
        <w:pStyle w:val="ListParagraph"/>
        <w:numPr>
          <w:ilvl w:val="0"/>
          <w:numId w:val="14"/>
        </w:numPr>
      </w:pPr>
      <w:r>
        <w:t>dólar</w:t>
      </w:r>
    </w:p>
    <w:p w:rsidR="00823A32" w:rsidRDefault="00823A32" w:rsidP="00823A32">
      <w:r>
        <w:t xml:space="preserve">Para o cômputo de risco de mercado é necessário que as séries históricas de preços de fatores de risco, que são </w:t>
      </w:r>
      <w:r w:rsidRPr="00823A32">
        <w:rPr>
          <w:u w:val="single"/>
        </w:rPr>
        <w:t>importadas</w:t>
      </w:r>
      <w:r>
        <w:t xml:space="preserve">, estejam atualizadas. </w:t>
      </w:r>
    </w:p>
    <w:p w:rsidR="00823A32" w:rsidRDefault="00823A32" w:rsidP="00497CF1">
      <w:pPr>
        <w:pStyle w:val="Heading2"/>
      </w:pPr>
      <w:bookmarkStart w:id="66" w:name="_Toc475092491"/>
      <w:r>
        <w:t>IMPORTAÇÃO</w:t>
      </w:r>
      <w:bookmarkEnd w:id="66"/>
    </w:p>
    <w:p w:rsidR="00823A32" w:rsidRDefault="00823A32" w:rsidP="00823A32">
      <w:r>
        <w:t>A importação das séries históricas é automática durante o processo de Importação Completa, que busca as séries na planilha Excel configurada.</w:t>
      </w:r>
    </w:p>
    <w:p w:rsidR="00823A32" w:rsidRDefault="00823A32" w:rsidP="00823A32">
      <w:r>
        <w:t>A importação de uma série de uma data sobrescreve a anterior. Este é o único procedimento para corrigir dados errados durante a importação. Não há meios de editar as séries históricas depois de importadas.</w:t>
      </w:r>
    </w:p>
    <w:p w:rsidR="00017DD2" w:rsidRDefault="00017DD2" w:rsidP="00497CF1">
      <w:pPr>
        <w:pStyle w:val="Heading2"/>
      </w:pPr>
      <w:bookmarkStart w:id="67" w:name="_Toc475092492"/>
      <w:r>
        <w:t>PARÂMETROS</w:t>
      </w:r>
      <w:bookmarkEnd w:id="67"/>
    </w:p>
    <w:p w:rsidR="00017DD2" w:rsidRDefault="00017DD2" w:rsidP="00017DD2">
      <w:r>
        <w:t>Na configuração do SRC é possível determinar:</w:t>
      </w:r>
    </w:p>
    <w:p w:rsidR="00017DD2" w:rsidRDefault="00017DD2" w:rsidP="00CA6E5C">
      <w:pPr>
        <w:pStyle w:val="ListParagraph"/>
        <w:numPr>
          <w:ilvl w:val="0"/>
          <w:numId w:val="15"/>
        </w:numPr>
      </w:pPr>
      <w:r>
        <w:t>Os identificadores dos fatores de risco na base de dados;</w:t>
      </w:r>
    </w:p>
    <w:p w:rsidR="00017DD2" w:rsidRDefault="00017DD2" w:rsidP="00CA6E5C">
      <w:pPr>
        <w:pStyle w:val="ListParagraph"/>
        <w:numPr>
          <w:ilvl w:val="0"/>
          <w:numId w:val="15"/>
        </w:numPr>
      </w:pPr>
      <w:r>
        <w:t>O Lambda da métrica EWMA de volatilidade;</w:t>
      </w:r>
    </w:p>
    <w:p w:rsidR="00017DD2" w:rsidRDefault="00017DD2" w:rsidP="00CA6E5C">
      <w:pPr>
        <w:pStyle w:val="ListParagraph"/>
        <w:numPr>
          <w:ilvl w:val="0"/>
          <w:numId w:val="15"/>
        </w:numPr>
      </w:pPr>
      <w:r>
        <w:t>Os níveis aproximados de taxas de juros e de inflação anual.</w:t>
      </w:r>
    </w:p>
    <w:p w:rsidR="00017DD2" w:rsidRDefault="00017DD2" w:rsidP="00823A32">
      <w:r>
        <w:lastRenderedPageBreak/>
        <w:t>Os parâmetros de VaR (diário a 99%) são fixos.</w:t>
      </w:r>
    </w:p>
    <w:p w:rsidR="00707EF7" w:rsidRDefault="00707EF7" w:rsidP="00497CF1">
      <w:pPr>
        <w:pStyle w:val="Heading2"/>
      </w:pPr>
      <w:bookmarkStart w:id="68" w:name="_Toc475092493"/>
      <w:r>
        <w:t>CÁLCULO DO VAR</w:t>
      </w:r>
      <w:bookmarkEnd w:id="68"/>
    </w:p>
    <w:p w:rsidR="00707EF7" w:rsidRDefault="00707EF7" w:rsidP="00823A32">
      <w:r>
        <w:t>O VaR é calculado pelo método paramétrico.</w:t>
      </w:r>
    </w:p>
    <w:p w:rsidR="002713A7" w:rsidRDefault="002713A7" w:rsidP="00823A32">
      <w:r>
        <w:t>Os seguintes testes são realizados para determinar o(s) fator(es) de risco mais adequado(s) a cada título:</w:t>
      </w:r>
    </w:p>
    <w:p w:rsidR="002713A7" w:rsidRDefault="002713A7" w:rsidP="00CA6E5C">
      <w:pPr>
        <w:pStyle w:val="ListParagraph"/>
        <w:numPr>
          <w:ilvl w:val="0"/>
          <w:numId w:val="17"/>
        </w:numPr>
      </w:pPr>
      <w:r>
        <w:t>Se a Classe de Liquidez for “FIILIST”</w:t>
      </w:r>
      <w:r w:rsidR="00B6727A">
        <w:t>, o fator de risco será o índice IFIX de fundos imobiliários;</w:t>
      </w:r>
    </w:p>
    <w:p w:rsidR="00B6727A" w:rsidRDefault="00B6727A" w:rsidP="00CA6E5C">
      <w:pPr>
        <w:pStyle w:val="ListParagraph"/>
        <w:numPr>
          <w:ilvl w:val="0"/>
          <w:numId w:val="17"/>
        </w:numPr>
      </w:pPr>
      <w:r>
        <w:t xml:space="preserve">Caso a Classe de liquidez </w:t>
      </w:r>
      <w:r>
        <w:rPr>
          <w:u w:val="single"/>
        </w:rPr>
        <w:t>não</w:t>
      </w:r>
      <w:r>
        <w:t xml:space="preserve"> seja “FIILIST”:</w:t>
      </w:r>
    </w:p>
    <w:p w:rsidR="00B6727A" w:rsidRDefault="00B6727A" w:rsidP="00CA6E5C">
      <w:pPr>
        <w:pStyle w:val="ListParagraph"/>
        <w:numPr>
          <w:ilvl w:val="1"/>
          <w:numId w:val="17"/>
        </w:numPr>
      </w:pPr>
      <w:r>
        <w:t>Se o Indexador for “FIXED”</w:t>
      </w:r>
      <w:r w:rsidR="008B6930">
        <w:t>, “%CDI”,</w:t>
      </w:r>
      <w:r>
        <w:t xml:space="preserve"> ou “PRE” ou o tipo for “FUTUROS”, sensibilizará o fator de risco “pré”;</w:t>
      </w:r>
    </w:p>
    <w:p w:rsidR="00B6727A" w:rsidRDefault="00B6727A" w:rsidP="00CA6E5C">
      <w:pPr>
        <w:pStyle w:val="ListParagraph"/>
        <w:numPr>
          <w:ilvl w:val="1"/>
          <w:numId w:val="17"/>
        </w:numPr>
      </w:pPr>
      <w:r>
        <w:t>Se o Indexador for “IPCA”, “IGPM” ou “IGPDI”, sensibilizará o fator de risco “inflação”;</w:t>
      </w:r>
    </w:p>
    <w:p w:rsidR="00B6727A" w:rsidRDefault="00B6727A" w:rsidP="00CA6E5C">
      <w:pPr>
        <w:pStyle w:val="ListParagraph"/>
        <w:numPr>
          <w:ilvl w:val="1"/>
          <w:numId w:val="17"/>
        </w:numPr>
      </w:pPr>
      <w:r>
        <w:t>Se o Indexador for “DOLAR”, sensibilizará o fator de risco “dólar”.</w:t>
      </w:r>
    </w:p>
    <w:p w:rsidR="00707EF7" w:rsidRDefault="00707EF7" w:rsidP="00823A32">
      <w:r>
        <w:t xml:space="preserve">Para riscos de taxas de juros (pré e inflação) é computada a </w:t>
      </w:r>
      <w:r>
        <w:rPr>
          <w:u w:val="single"/>
        </w:rPr>
        <w:t>Duration</w:t>
      </w:r>
      <w:r>
        <w:t xml:space="preserve"> do título e interpolada a volatilidade da taxa para o seu prazo.</w:t>
      </w:r>
    </w:p>
    <w:p w:rsidR="00707EF7" w:rsidRDefault="00707EF7" w:rsidP="00823A32">
      <w:r>
        <w:t xml:space="preserve">A correlação entre fatores de risco é considerada igual a 1, ou seja o VaR </w:t>
      </w:r>
      <w:r>
        <w:rPr>
          <w:u w:val="single"/>
        </w:rPr>
        <w:t>soma</w:t>
      </w:r>
      <w:r>
        <w:t xml:space="preserve"> os riscos de mercado dos 4 fatores, provavelmente superestimando o risco de mercado verdadeiro.</w:t>
      </w:r>
    </w:p>
    <w:p w:rsidR="0099160B" w:rsidRDefault="0099160B" w:rsidP="0099160B">
      <w:r>
        <w:t>A opção Risco</w:t>
      </w:r>
      <w:r>
        <w:sym w:font="Wingdings" w:char="F0E0"/>
      </w:r>
      <w:r>
        <w:t>Parâmetros de Mercado permite visualizar as volatilidades e stress de 30 dias calculadas das séries históricas.</w:t>
      </w:r>
    </w:p>
    <w:p w:rsidR="00707EF7" w:rsidRDefault="00707EF7" w:rsidP="00497CF1">
      <w:pPr>
        <w:pStyle w:val="Heading2"/>
      </w:pPr>
      <w:bookmarkStart w:id="69" w:name="_Toc475092494"/>
      <w:r>
        <w:t>CÁLCULO DO STRESS HISTÓRICO</w:t>
      </w:r>
      <w:bookmarkEnd w:id="69"/>
    </w:p>
    <w:p w:rsidR="00707EF7" w:rsidRDefault="00707EF7" w:rsidP="00823A32">
      <w:r>
        <w:t>O Stress é calculado sobre a maior variação de cada fator de risco em uma janela móvel de 30 dias.</w:t>
      </w:r>
    </w:p>
    <w:p w:rsidR="00B6727A" w:rsidRDefault="00B6727A" w:rsidP="00497CF1">
      <w:pPr>
        <w:pStyle w:val="Heading2"/>
      </w:pPr>
      <w:bookmarkStart w:id="70" w:name="_Toc475092495"/>
      <w:r>
        <w:t>TELA DE RISCO DE MERCADO</w:t>
      </w:r>
      <w:bookmarkEnd w:id="70"/>
      <w:r>
        <w:t xml:space="preserve"> </w:t>
      </w:r>
    </w:p>
    <w:p w:rsidR="00B6727A" w:rsidRDefault="00B6727A" w:rsidP="00B6727A">
      <w:r>
        <w:t>Clicando em Risco</w:t>
      </w:r>
      <w:r>
        <w:sym w:font="Wingdings" w:char="F0E0"/>
      </w:r>
      <w:r>
        <w:t xml:space="preserve">Risco de Mercado (Fundos), abre-se a Tela de Risco de Mercado por fundo. </w:t>
      </w:r>
    </w:p>
    <w:p w:rsidR="00B6727A" w:rsidRDefault="00B6727A" w:rsidP="00B6727A">
      <w:r>
        <w:t>Nela é possível visualizar o VaR, o Stress Histórico, e as exposições a fatores de risco:</w:t>
      </w:r>
    </w:p>
    <w:p w:rsidR="00B6727A" w:rsidRDefault="00B6727A" w:rsidP="00CA6E5C">
      <w:pPr>
        <w:pStyle w:val="ListParagraph"/>
        <w:numPr>
          <w:ilvl w:val="0"/>
          <w:numId w:val="18"/>
        </w:numPr>
      </w:pPr>
      <w:r>
        <w:t>As exposições a índice imobiliário e a dólar são dadas em percentual do PL</w:t>
      </w:r>
    </w:p>
    <w:p w:rsidR="00B6727A" w:rsidRPr="00B6727A" w:rsidRDefault="00B6727A" w:rsidP="00CA6E5C">
      <w:pPr>
        <w:pStyle w:val="ListParagraph"/>
        <w:numPr>
          <w:ilvl w:val="0"/>
          <w:numId w:val="18"/>
        </w:numPr>
      </w:pPr>
      <w:r>
        <w:t>As exposições a pré e inflação são dadas em Duration.</w:t>
      </w:r>
    </w:p>
    <w:p w:rsidR="00B6727A" w:rsidRPr="00EF27D1" w:rsidRDefault="00B6727A" w:rsidP="00B6727A">
      <w:r>
        <w:rPr>
          <w:noProof/>
          <w:lang w:eastAsia="pt-BR"/>
        </w:rPr>
        <w:lastRenderedPageBreak/>
        <w:drawing>
          <wp:inline distT="0" distB="0" distL="0" distR="0">
            <wp:extent cx="4475513" cy="4572000"/>
            <wp:effectExtent l="19050" t="0" r="1237" b="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513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27A" w:rsidRDefault="00B6727A" w:rsidP="00497CF1">
      <w:pPr>
        <w:pStyle w:val="Heading2"/>
      </w:pPr>
      <w:bookmarkStart w:id="71" w:name="_Toc475092496"/>
      <w:r>
        <w:t>TELA DE RISCO DE CARTEIRA</w:t>
      </w:r>
      <w:bookmarkEnd w:id="71"/>
    </w:p>
    <w:p w:rsidR="00B6727A" w:rsidRPr="00B6727A" w:rsidRDefault="00B6727A" w:rsidP="00B6727A">
      <w:r>
        <w:t>Ao escolhe Risco</w:t>
      </w:r>
      <w:r>
        <w:sym w:font="Wingdings" w:char="F0E0"/>
      </w:r>
      <w:r>
        <w:t>Risco de Mercado (Carteira) abre-se a Tela de Risco de Carteira, com o VaR por fator de risco de cada título da carteira de um fundo selecionado.</w:t>
      </w:r>
    </w:p>
    <w:p w:rsidR="00B6727A" w:rsidRDefault="00B6727A" w:rsidP="00B6727A">
      <w:r>
        <w:rPr>
          <w:noProof/>
          <w:lang w:eastAsia="pt-BR"/>
        </w:rPr>
        <w:lastRenderedPageBreak/>
        <w:drawing>
          <wp:inline distT="0" distB="0" distL="0" distR="0">
            <wp:extent cx="4812030" cy="5486400"/>
            <wp:effectExtent l="19050" t="0" r="762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EF7" w:rsidRDefault="00707EF7" w:rsidP="00497CF1">
      <w:pPr>
        <w:pStyle w:val="Heading2"/>
      </w:pPr>
      <w:bookmarkStart w:id="72" w:name="_Toc475092497"/>
      <w:r>
        <w:t>STRESS POR CENÁRIO</w:t>
      </w:r>
      <w:bookmarkEnd w:id="72"/>
    </w:p>
    <w:p w:rsidR="00EF27D1" w:rsidRDefault="00EF27D1" w:rsidP="00EF27D1">
      <w:r>
        <w:t>O Stress por cenário é calculado como o impacto da variação de valor de cada título.</w:t>
      </w:r>
    </w:p>
    <w:p w:rsidR="00EF27D1" w:rsidRDefault="00EF27D1" w:rsidP="00EF27D1">
      <w:r>
        <w:t xml:space="preserve">Para computar o stress, o usuário deve criar e manter uma lista de </w:t>
      </w:r>
      <w:r>
        <w:rPr>
          <w:u w:val="single"/>
        </w:rPr>
        <w:t>cenários</w:t>
      </w:r>
      <w:r w:rsidR="00446A0B">
        <w:t xml:space="preserve"> acionando Risco</w:t>
      </w:r>
      <w:r w:rsidR="00446A0B">
        <w:sym w:font="Wingdings" w:char="F0E0"/>
      </w:r>
      <w:r w:rsidR="00446A0B">
        <w:t>Cenários de Stress. É mostrado o Formulário de Configuração de Stress, que tem 3 áreas:</w:t>
      </w:r>
    </w:p>
    <w:p w:rsidR="00446A0B" w:rsidRPr="00446A0B" w:rsidRDefault="00446A0B" w:rsidP="00B6727A"/>
    <w:p w:rsidR="00EF27D1" w:rsidRDefault="000B1A93" w:rsidP="00EF27D1">
      <w:r>
        <w:rPr>
          <w:noProof/>
          <w:lang w:eastAsia="pt-BR"/>
        </w:rPr>
        <w:lastRenderedPageBreak/>
        <w:pict>
          <v:rect id="_x0000_s1103" style="position:absolute;left:0;text-align:left;margin-left:39.75pt;margin-top:263.6pt;width:247.5pt;height:54pt;z-index:251730944" filled="f" strokecolor="red" strokeweight="1.5pt"/>
        </w:pict>
      </w:r>
      <w:r>
        <w:rPr>
          <w:noProof/>
          <w:lang w:eastAsia="pt-BR"/>
        </w:rPr>
        <w:pict>
          <v:shape id="_x0000_s1106" type="#_x0000_t202" style="position:absolute;left:0;text-align:left;margin-left:251.25pt;margin-top:270.35pt;width:25.5pt;height:19.5pt;z-index:251734016" filled="f" stroked="f">
            <v:textbox>
              <w:txbxContent>
                <w:p w:rsidR="003C1A56" w:rsidRPr="00431641" w:rsidRDefault="003C1A56" w:rsidP="00446A0B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❸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05" type="#_x0000_t202" style="position:absolute;left:0;text-align:left;margin-left:251.25pt;margin-top:58.1pt;width:25.5pt;height:20.25pt;z-index:251732992" filled="f" stroked="f">
            <v:textbox>
              <w:txbxContent>
                <w:p w:rsidR="003C1A56" w:rsidRPr="00431641" w:rsidRDefault="003C1A56" w:rsidP="00446A0B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❷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04" type="#_x0000_t202" style="position:absolute;left:0;text-align:left;margin-left:245.25pt;margin-top:17.6pt;width:31.5pt;height:19.5pt;z-index:251731968" filled="f" stroked="f">
            <v:textbox>
              <w:txbxContent>
                <w:p w:rsidR="003C1A56" w:rsidRPr="00431641" w:rsidRDefault="003C1A56" w:rsidP="00446A0B">
                  <w:pPr>
                    <w:ind w:left="0"/>
                    <w:rPr>
                      <w:b/>
                      <w:color w:val="FF0000"/>
                    </w:rPr>
                  </w:pPr>
                  <w:r w:rsidRPr="00431641">
                    <w:rPr>
                      <w:b/>
                      <w:color w:val="FF0000"/>
                    </w:rPr>
                    <w:t>❶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rect id="_x0000_s1102" style="position:absolute;left:0;text-align:left;margin-left:39.75pt;margin-top:38.6pt;width:247.5pt;height:225pt;z-index:251729920" filled="f" strokecolor="red" strokeweight="1.5pt"/>
        </w:pict>
      </w:r>
      <w:r>
        <w:rPr>
          <w:noProof/>
          <w:lang w:eastAsia="pt-BR"/>
        </w:rPr>
        <w:pict>
          <v:rect id="_x0000_s1101" style="position:absolute;left:0;text-align:left;margin-left:39.75pt;margin-top:17.6pt;width:247.5pt;height:21pt;z-index:251728896" filled="f" strokecolor="red" strokeweight="1.5pt"/>
        </w:pict>
      </w:r>
      <w:r w:rsidR="008B6930">
        <w:rPr>
          <w:noProof/>
          <w:lang w:eastAsia="pt-BR"/>
        </w:rPr>
        <w:drawing>
          <wp:inline distT="0" distB="0" distL="0" distR="0">
            <wp:extent cx="3181350" cy="4105275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27A" w:rsidRDefault="00B6727A" w:rsidP="00B6727A">
      <w:r>
        <w:t>❶ Identificador do Cenário: percorrendo a drop-down, troca-se o cenário.</w:t>
      </w:r>
    </w:p>
    <w:p w:rsidR="00B6727A" w:rsidRDefault="00B6727A" w:rsidP="00B6727A">
      <w:r>
        <w:t xml:space="preserve">❷ </w:t>
      </w:r>
      <w:r w:rsidR="008B6930">
        <w:t>Visualização e c</w:t>
      </w:r>
      <w:r>
        <w:t>onfiguração dos choques do cenário:</w:t>
      </w:r>
    </w:p>
    <w:p w:rsidR="00B6727A" w:rsidRDefault="00B6727A" w:rsidP="00CA6E5C">
      <w:pPr>
        <w:pStyle w:val="ListParagraph"/>
        <w:numPr>
          <w:ilvl w:val="0"/>
          <w:numId w:val="16"/>
        </w:numPr>
      </w:pPr>
      <w:r>
        <w:t>Para incluir ou alterar um choque, o usuário preenche o percentual, escolhe o título e clica em “Inclui Choque”</w:t>
      </w:r>
    </w:p>
    <w:p w:rsidR="00B6727A" w:rsidRDefault="00B6727A" w:rsidP="00CA6E5C">
      <w:pPr>
        <w:pStyle w:val="ListParagraph"/>
        <w:numPr>
          <w:ilvl w:val="0"/>
          <w:numId w:val="16"/>
        </w:numPr>
      </w:pPr>
      <w:r>
        <w:t>Para excluir um choque da lista, o usuário o seleciona e clica em “Exclui Choque”</w:t>
      </w:r>
    </w:p>
    <w:p w:rsidR="008B6930" w:rsidRDefault="00B6727A" w:rsidP="00B6727A">
      <w:r>
        <w:t xml:space="preserve">❸ </w:t>
      </w:r>
      <w:r w:rsidR="008B6930">
        <w:t>Botões que controlam a criação e remoção de cenários:</w:t>
      </w:r>
    </w:p>
    <w:p w:rsidR="00B6727A" w:rsidRDefault="00B6727A" w:rsidP="008B6930">
      <w:pPr>
        <w:pStyle w:val="ListParagraph"/>
        <w:numPr>
          <w:ilvl w:val="0"/>
          <w:numId w:val="45"/>
        </w:numPr>
      </w:pPr>
      <w:r>
        <w:t xml:space="preserve">Para a criação de um cenário novo, o usuário introduz </w:t>
      </w:r>
      <w:r w:rsidR="0089032B">
        <w:t xml:space="preserve">um choque, escreve </w:t>
      </w:r>
      <w:r>
        <w:t>o nome e clica em “Cria Cenário”</w:t>
      </w:r>
    </w:p>
    <w:p w:rsidR="008B6930" w:rsidRPr="00446A0B" w:rsidRDefault="008B6930" w:rsidP="008B6930">
      <w:pPr>
        <w:pStyle w:val="ListParagraph"/>
        <w:numPr>
          <w:ilvl w:val="0"/>
          <w:numId w:val="45"/>
        </w:numPr>
      </w:pPr>
      <w:r>
        <w:t>O botão “Exclui Cenário” elimina o cenário presente.</w:t>
      </w:r>
    </w:p>
    <w:p w:rsidR="00CB0531" w:rsidRDefault="00CB0531" w:rsidP="00EF27D1">
      <w:r>
        <w:t>O resultado do Stress por cenário é mostrado na Tela de Relatório de Stress pela opção Risco</w:t>
      </w:r>
      <w:r>
        <w:sym w:font="Wingdings" w:char="F0E0"/>
      </w:r>
      <w:r>
        <w:t>Relat.Stress.</w:t>
      </w:r>
    </w:p>
    <w:p w:rsidR="00EF27D1" w:rsidRDefault="00EF27D1" w:rsidP="00EF27D1">
      <w:pPr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6858000" cy="3925129"/>
            <wp:effectExtent l="1905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2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D14" w:rsidRDefault="003B7D14" w:rsidP="00497CF1">
      <w:pPr>
        <w:pStyle w:val="Heading2"/>
      </w:pPr>
      <w:bookmarkStart w:id="73" w:name="_Toc475092498"/>
      <w:r>
        <w:t>LIMITES DE RISCO DE MERCADO</w:t>
      </w:r>
      <w:bookmarkEnd w:id="73"/>
    </w:p>
    <w:p w:rsidR="003B7D14" w:rsidRDefault="003B7D14" w:rsidP="003B7D14">
      <w:r>
        <w:t xml:space="preserve">Cada fundo possui </w:t>
      </w:r>
      <w:r>
        <w:rPr>
          <w:u w:val="single"/>
        </w:rPr>
        <w:t>limites</w:t>
      </w:r>
      <w:r>
        <w:t xml:space="preserve"> de VaR e Stress, da seguinte maneira:</w:t>
      </w:r>
    </w:p>
    <w:p w:rsidR="003B7D14" w:rsidRDefault="003B7D14" w:rsidP="00CA6E5C">
      <w:pPr>
        <w:pStyle w:val="ListParagraph"/>
        <w:numPr>
          <w:ilvl w:val="0"/>
          <w:numId w:val="19"/>
        </w:numPr>
      </w:pPr>
      <w:r>
        <w:t xml:space="preserve">Limites </w:t>
      </w:r>
      <w:r w:rsidRPr="003B7D14">
        <w:rPr>
          <w:u w:val="single"/>
        </w:rPr>
        <w:t>de Política</w:t>
      </w:r>
      <w:r>
        <w:t>, que se aplicam a todos os fundos conforme seu tipo</w:t>
      </w:r>
      <w:r w:rsidR="00D74510">
        <w:t xml:space="preserve"> e público-alvo</w:t>
      </w:r>
      <w:r>
        <w:t xml:space="preserve">, pré-configurados na base de dados do SRC (ver </w:t>
      </w:r>
      <w:r w:rsidR="000B1A93">
        <w:fldChar w:fldCharType="begin"/>
      </w:r>
      <w:r>
        <w:instrText xml:space="preserve"> REF _Ref458526637 \r \h </w:instrText>
      </w:r>
      <w:r w:rsidR="000B1A93">
        <w:fldChar w:fldCharType="separate"/>
      </w:r>
      <w:r w:rsidR="00EA0F19">
        <w:t>XII-</w:t>
      </w:r>
      <w:r w:rsidR="000B1A93">
        <w:fldChar w:fldCharType="end"/>
      </w:r>
      <w:r>
        <w:t>Configuração);</w:t>
      </w:r>
    </w:p>
    <w:p w:rsidR="003B7D14" w:rsidRPr="003B7D14" w:rsidRDefault="003B7D14" w:rsidP="00CA6E5C">
      <w:pPr>
        <w:pStyle w:val="ListParagraph"/>
        <w:numPr>
          <w:ilvl w:val="0"/>
          <w:numId w:val="19"/>
        </w:numPr>
      </w:pPr>
      <w:r>
        <w:t xml:space="preserve">Limites </w:t>
      </w:r>
      <w:r w:rsidRPr="003B7D14">
        <w:rPr>
          <w:u w:val="single"/>
        </w:rPr>
        <w:t>específicos</w:t>
      </w:r>
      <w:r>
        <w:t xml:space="preserve">, definidos no </w:t>
      </w:r>
      <w:r w:rsidRPr="003B7D14">
        <w:rPr>
          <w:u w:val="single"/>
        </w:rPr>
        <w:t>cadastro do fundo</w:t>
      </w:r>
      <w:r>
        <w:t>, que se sobrepõem aos limites de Política se o Box “Este fundo tem Limites de Risco próprios...” for marcado (</w:t>
      </w:r>
      <w:r w:rsidRPr="003B7D14">
        <w:t xml:space="preserve">ver </w:t>
      </w:r>
      <w:fldSimple w:instr=" REF _Ref458526771 \r \h  \* MERGEFORMAT ">
        <w:r w:rsidRPr="003B7D14">
          <w:t>III-3</w:t>
        </w:r>
      </w:fldSimple>
      <w:r>
        <w:t>).</w:t>
      </w:r>
    </w:p>
    <w:p w:rsidR="00F04C6A" w:rsidRDefault="00F04C6A" w:rsidP="003B7D14">
      <w:r>
        <w:t xml:space="preserve">O nível de “Warning” é fixado em 80% do limite de risco. </w:t>
      </w:r>
    </w:p>
    <w:p w:rsidR="0099160B" w:rsidRDefault="0099160B" w:rsidP="003B7D14">
      <w:r>
        <w:t>A opção Fundos</w:t>
      </w:r>
      <w:r>
        <w:sym w:font="Wingdings" w:char="F0E0"/>
      </w:r>
      <w:r>
        <w:t>Limites permite visualizar os limites ativos de todos os fundos, e se são limites de política ou limites específicos (“Override”).</w:t>
      </w:r>
    </w:p>
    <w:p w:rsidR="003B7D14" w:rsidRDefault="00F04C6A" w:rsidP="003B7D14">
      <w:r>
        <w:t>Conforme os limites, o fundo poderá estar:</w:t>
      </w:r>
    </w:p>
    <w:p w:rsidR="00F04C6A" w:rsidRDefault="00F04C6A" w:rsidP="00CA6E5C">
      <w:pPr>
        <w:pStyle w:val="ListParagraph"/>
        <w:numPr>
          <w:ilvl w:val="0"/>
          <w:numId w:val="20"/>
        </w:numPr>
      </w:pPr>
      <w:r>
        <w:t xml:space="preserve">BREACH: se pelo menos um dos indicadores (VaR </w:t>
      </w:r>
      <w:r w:rsidRPr="00F04C6A">
        <w:rPr>
          <w:u w:val="single"/>
        </w:rPr>
        <w:t>ou</w:t>
      </w:r>
      <w:r>
        <w:t xml:space="preserve"> Stress) estiver acima do limite;</w:t>
      </w:r>
    </w:p>
    <w:p w:rsidR="00F04C6A" w:rsidRDefault="00F04C6A" w:rsidP="00CA6E5C">
      <w:pPr>
        <w:pStyle w:val="ListParagraph"/>
        <w:numPr>
          <w:ilvl w:val="0"/>
          <w:numId w:val="20"/>
        </w:numPr>
      </w:pPr>
      <w:r>
        <w:t>WARN: se nenhum dos dois indicadores estiver acima do limite, e pelo menos um estiver em Warning;</w:t>
      </w:r>
    </w:p>
    <w:p w:rsidR="00F04C6A" w:rsidRPr="00F04C6A" w:rsidRDefault="00F04C6A" w:rsidP="00CA6E5C">
      <w:pPr>
        <w:pStyle w:val="ListParagraph"/>
        <w:numPr>
          <w:ilvl w:val="0"/>
          <w:numId w:val="20"/>
        </w:numPr>
      </w:pPr>
      <w:r>
        <w:lastRenderedPageBreak/>
        <w:t>OK: se nenhum dos dois indicadores estiver acima do limite ou em Warning.</w:t>
      </w:r>
    </w:p>
    <w:p w:rsidR="00362736" w:rsidRDefault="00362736" w:rsidP="00497CF1">
      <w:pPr>
        <w:pStyle w:val="Heading2"/>
      </w:pPr>
      <w:r>
        <w:t xml:space="preserve"> </w:t>
      </w:r>
      <w:bookmarkStart w:id="74" w:name="_Toc475092499"/>
      <w:r>
        <w:t>SIMULAÇÃO DE TRANSAÇÕES</w:t>
      </w:r>
      <w:bookmarkEnd w:id="74"/>
    </w:p>
    <w:p w:rsidR="00362736" w:rsidRDefault="00362736" w:rsidP="00362736">
      <w:r>
        <w:t xml:space="preserve">O SRC pode </w:t>
      </w:r>
      <w:r>
        <w:rPr>
          <w:u w:val="single"/>
        </w:rPr>
        <w:t>simular</w:t>
      </w:r>
      <w:r>
        <w:t xml:space="preserve"> um novo negócio antes de sua execução de modo a verificar seu impacto sobre o risco de mercado e seu enquadramento. Ver </w:t>
      </w:r>
      <w:r w:rsidR="000B1A93">
        <w:fldChar w:fldCharType="begin"/>
      </w:r>
      <w:r>
        <w:instrText xml:space="preserve"> REF _Ref458667286 \r \h </w:instrText>
      </w:r>
      <w:r w:rsidR="000B1A93">
        <w:fldChar w:fldCharType="separate"/>
      </w:r>
      <w:r>
        <w:t>X-</w:t>
      </w:r>
      <w:r w:rsidR="000B1A93">
        <w:fldChar w:fldCharType="end"/>
      </w:r>
      <w:r>
        <w:t>Simulação.</w:t>
      </w:r>
    </w:p>
    <w:p w:rsidR="00C35F68" w:rsidRDefault="00C35F68" w:rsidP="00497CF1">
      <w:pPr>
        <w:pStyle w:val="Heading2"/>
      </w:pPr>
      <w:bookmarkStart w:id="75" w:name="_Toc475092500"/>
      <w:r>
        <w:t>VISUALIZAÇÃO DO RISCO DE MERCADO</w:t>
      </w:r>
      <w:bookmarkEnd w:id="75"/>
    </w:p>
    <w:p w:rsidR="001C20C5" w:rsidRDefault="001C20C5" w:rsidP="001C20C5">
      <w:r>
        <w:t>O risco de mercado pode ser visualizado:</w:t>
      </w:r>
    </w:p>
    <w:p w:rsidR="001C20C5" w:rsidRDefault="001C20C5" w:rsidP="001C20C5">
      <w:pPr>
        <w:pStyle w:val="ListParagraph"/>
      </w:pPr>
      <w:r>
        <w:t xml:space="preserve">No </w:t>
      </w:r>
      <w:r w:rsidRPr="00115373">
        <w:rPr>
          <w:u w:val="single"/>
        </w:rPr>
        <w:t>Dashboard</w:t>
      </w:r>
      <w:r>
        <w:t xml:space="preserve">, nas 3 colunas marcadas com </w:t>
      </w:r>
    </w:p>
    <w:p w:rsidR="001C20C5" w:rsidRDefault="001C20C5" w:rsidP="001C20C5">
      <w:pPr>
        <w:pStyle w:val="ListParagraph"/>
        <w:numPr>
          <w:ilvl w:val="1"/>
          <w:numId w:val="2"/>
        </w:numPr>
      </w:pPr>
      <w:r>
        <w:t>“MvaR”: é o VaR de mercado;</w:t>
      </w:r>
    </w:p>
    <w:p w:rsidR="001C20C5" w:rsidRPr="001C20C5" w:rsidRDefault="001C20C5" w:rsidP="001C20C5">
      <w:pPr>
        <w:pStyle w:val="ListParagraph"/>
        <w:numPr>
          <w:ilvl w:val="1"/>
          <w:numId w:val="2"/>
        </w:numPr>
      </w:pPr>
      <w:r w:rsidRPr="001C20C5">
        <w:t>“Stress” é o Stress Histó</w:t>
      </w:r>
      <w:r>
        <w:t>rico;</w:t>
      </w:r>
    </w:p>
    <w:p w:rsidR="001C20C5" w:rsidRDefault="001C20C5" w:rsidP="001C20C5">
      <w:pPr>
        <w:pStyle w:val="ListParagraph"/>
        <w:numPr>
          <w:ilvl w:val="1"/>
          <w:numId w:val="2"/>
        </w:numPr>
      </w:pPr>
      <w:r>
        <w:t>“Market?” é o compliance com o limite de risco do fundo.</w:t>
      </w:r>
    </w:p>
    <w:p w:rsidR="001C20C5" w:rsidRDefault="001C20C5" w:rsidP="001C20C5">
      <w:pPr>
        <w:pStyle w:val="ListParagraph"/>
      </w:pPr>
      <w:r>
        <w:t xml:space="preserve">No </w:t>
      </w:r>
      <w:r w:rsidRPr="00115373">
        <w:rPr>
          <w:u w:val="single"/>
        </w:rPr>
        <w:t>e-mail</w:t>
      </w:r>
      <w:r>
        <w:t xml:space="preserve"> diário, no sumário dos fundos, as 3 colunas do Dashboard são repetidas.</w:t>
      </w:r>
    </w:p>
    <w:p w:rsidR="002947C2" w:rsidRDefault="002947C2" w:rsidP="001C20C5">
      <w:pPr>
        <w:pStyle w:val="ListParagraph"/>
      </w:pPr>
      <w:r>
        <w:t>Nas demais telas apresentadas neste capítulo.</w:t>
      </w:r>
    </w:p>
    <w:p w:rsidR="003B7D14" w:rsidRPr="003B7D14" w:rsidRDefault="003B7D14" w:rsidP="003B7D14"/>
    <w:p w:rsidR="00017DD2" w:rsidRDefault="00017DD2" w:rsidP="00823A32"/>
    <w:p w:rsidR="00823A32" w:rsidRPr="00823A32" w:rsidRDefault="00823A32" w:rsidP="00823A32"/>
    <w:p w:rsidR="000A50AF" w:rsidRDefault="000A50AF" w:rsidP="00D85C43">
      <w:pPr>
        <w:pStyle w:val="Heading1"/>
      </w:pPr>
      <w:bookmarkStart w:id="76" w:name="_Toc475092501"/>
      <w:r>
        <w:lastRenderedPageBreak/>
        <w:t>RISCO DE CRÉDITO</w:t>
      </w:r>
      <w:bookmarkEnd w:id="76"/>
    </w:p>
    <w:p w:rsidR="00D74510" w:rsidRDefault="00D74510" w:rsidP="00497CF1">
      <w:pPr>
        <w:pStyle w:val="Heading2"/>
      </w:pPr>
      <w:bookmarkStart w:id="77" w:name="_Toc475092502"/>
      <w:r>
        <w:t>GERAL</w:t>
      </w:r>
      <w:bookmarkEnd w:id="77"/>
    </w:p>
    <w:p w:rsidR="00D74510" w:rsidRDefault="00D74510" w:rsidP="00D74510">
      <w:r>
        <w:t xml:space="preserve">O SRC </w:t>
      </w:r>
      <w:r w:rsidRPr="008E14AF">
        <w:rPr>
          <w:u w:val="single"/>
        </w:rPr>
        <w:t>agrega</w:t>
      </w:r>
      <w:r>
        <w:t xml:space="preserve"> o risco de crédito das carteiras e calcula dois indicadores:</w:t>
      </w:r>
    </w:p>
    <w:p w:rsidR="00D74510" w:rsidRDefault="00D74510" w:rsidP="00CA6E5C">
      <w:pPr>
        <w:pStyle w:val="ListParagraph"/>
        <w:numPr>
          <w:ilvl w:val="0"/>
          <w:numId w:val="21"/>
        </w:numPr>
      </w:pPr>
      <w:r>
        <w:t>Perda Esperada em Crédito</w:t>
      </w:r>
      <w:r w:rsidR="00374679">
        <w:t>;</w:t>
      </w:r>
    </w:p>
    <w:p w:rsidR="00D74510" w:rsidRDefault="00D74510" w:rsidP="00CA6E5C">
      <w:pPr>
        <w:pStyle w:val="ListParagraph"/>
        <w:numPr>
          <w:ilvl w:val="0"/>
          <w:numId w:val="21"/>
        </w:numPr>
      </w:pPr>
      <w:r>
        <w:t>Credit-VaR</w:t>
      </w:r>
      <w:r w:rsidR="00374679">
        <w:t xml:space="preserve"> anual a 95%.</w:t>
      </w:r>
    </w:p>
    <w:p w:rsidR="00D74510" w:rsidRDefault="00D74510" w:rsidP="00D74510">
      <w:r>
        <w:t xml:space="preserve">Os cálculos de risco de crédito são baseados no </w:t>
      </w:r>
      <w:r>
        <w:rPr>
          <w:u w:val="single"/>
        </w:rPr>
        <w:t>rating</w:t>
      </w:r>
      <w:r>
        <w:t xml:space="preserve"> do título.</w:t>
      </w:r>
    </w:p>
    <w:p w:rsidR="00C52375" w:rsidRDefault="00C52375" w:rsidP="00D74510">
      <w:r>
        <w:t xml:space="preserve">O SRC calcula </w:t>
      </w:r>
      <w:r>
        <w:rPr>
          <w:u w:val="single"/>
        </w:rPr>
        <w:t>duas</w:t>
      </w:r>
      <w:r>
        <w:t xml:space="preserve"> versões dos indicadores acima: </w:t>
      </w:r>
    </w:p>
    <w:p w:rsidR="00C52375" w:rsidRDefault="00C52375" w:rsidP="00CA6E5C">
      <w:pPr>
        <w:pStyle w:val="ListParagraph"/>
        <w:numPr>
          <w:ilvl w:val="0"/>
          <w:numId w:val="38"/>
        </w:numPr>
      </w:pPr>
      <w:r>
        <w:t>Baseada no Rating Externo;</w:t>
      </w:r>
    </w:p>
    <w:p w:rsidR="00C52375" w:rsidRPr="00C52375" w:rsidRDefault="00C52375" w:rsidP="00CA6E5C">
      <w:pPr>
        <w:pStyle w:val="ListParagraph"/>
        <w:numPr>
          <w:ilvl w:val="0"/>
          <w:numId w:val="38"/>
        </w:numPr>
      </w:pPr>
      <w:r>
        <w:t>Baseada no Rating Interno.</w:t>
      </w:r>
    </w:p>
    <w:p w:rsidR="00C52375" w:rsidRDefault="00C52375" w:rsidP="00D74510">
      <w:r>
        <w:t>Apenas a versão baseada no Rating Externo sensibili</w:t>
      </w:r>
      <w:r w:rsidR="00632DB4">
        <w:t>za o indicador de enquadramento do Dashboard.</w:t>
      </w:r>
    </w:p>
    <w:p w:rsidR="00D74510" w:rsidRDefault="00D74510" w:rsidP="00D74510">
      <w:r>
        <w:t>Para que o SRC saiba qu</w:t>
      </w:r>
      <w:r w:rsidR="00C52375">
        <w:t>ais</w:t>
      </w:r>
      <w:r>
        <w:t xml:space="preserve"> propriedade</w:t>
      </w:r>
      <w:r w:rsidR="00C52375">
        <w:t>s</w:t>
      </w:r>
      <w:r>
        <w:t xml:space="preserve"> descritiva</w:t>
      </w:r>
      <w:r w:rsidR="00C52375">
        <w:t>s</w:t>
      </w:r>
      <w:r>
        <w:t xml:space="preserve"> cont</w:t>
      </w:r>
      <w:r w:rsidR="00C52375">
        <w:t>ê</w:t>
      </w:r>
      <w:r>
        <w:t>m o</w:t>
      </w:r>
      <w:r w:rsidR="00C52375">
        <w:t>s</w:t>
      </w:r>
      <w:r>
        <w:t xml:space="preserve"> rating</w:t>
      </w:r>
      <w:r w:rsidR="00C52375">
        <w:t>s externo e interno</w:t>
      </w:r>
      <w:r>
        <w:t>, o</w:t>
      </w:r>
      <w:r w:rsidR="00C52375">
        <w:t>s</w:t>
      </w:r>
      <w:r>
        <w:t xml:space="preserve"> identificador</w:t>
      </w:r>
      <w:r w:rsidR="00C52375">
        <w:t>es</w:t>
      </w:r>
      <w:r>
        <w:t xml:space="preserve"> desta</w:t>
      </w:r>
      <w:r w:rsidR="00C52375">
        <w:t>s</w:t>
      </w:r>
      <w:r>
        <w:t xml:space="preserve"> deve</w:t>
      </w:r>
      <w:r w:rsidR="00C52375">
        <w:t>m</w:t>
      </w:r>
      <w:r>
        <w:t xml:space="preserve"> ser configurado</w:t>
      </w:r>
      <w:r w:rsidR="00C52375">
        <w:t>s</w:t>
      </w:r>
      <w:r>
        <w:t xml:space="preserve"> na base de dados do sistema (ver </w:t>
      </w:r>
      <w:r w:rsidR="000B1A93">
        <w:fldChar w:fldCharType="begin"/>
      </w:r>
      <w:r>
        <w:instrText xml:space="preserve"> REF _Ref458526637 \r \h </w:instrText>
      </w:r>
      <w:r w:rsidR="000B1A93">
        <w:fldChar w:fldCharType="separate"/>
      </w:r>
      <w:r>
        <w:t>X-</w:t>
      </w:r>
      <w:r w:rsidR="000B1A93">
        <w:fldChar w:fldCharType="end"/>
      </w:r>
      <w:r>
        <w:t>Configuração).</w:t>
      </w:r>
    </w:p>
    <w:p w:rsidR="00D74510" w:rsidRDefault="00D74510" w:rsidP="00D74510">
      <w:r>
        <w:t>A Perda Esperada é a perda méd</w:t>
      </w:r>
      <w:r w:rsidR="00CA5EFC">
        <w:t>ia da carteira, assumindo-se a P</w:t>
      </w:r>
      <w:r>
        <w:t xml:space="preserve">robabilidade de </w:t>
      </w:r>
      <w:r w:rsidR="00CA5EFC">
        <w:t>D</w:t>
      </w:r>
      <w:r>
        <w:t xml:space="preserve">efault </w:t>
      </w:r>
      <w:r w:rsidR="00CA5EFC">
        <w:t xml:space="preserve">(PD) </w:t>
      </w:r>
      <w:r>
        <w:t xml:space="preserve">típica de cada “rating” e o parâmetro de “Perda </w:t>
      </w:r>
      <w:r w:rsidR="00A26DF4">
        <w:t>Dado Default” (LGD). A Perda Esperada assemelha-se ao rating médio da carteira.</w:t>
      </w:r>
    </w:p>
    <w:p w:rsidR="00A26DF4" w:rsidRPr="00D74510" w:rsidRDefault="00A26DF4" w:rsidP="00D74510">
      <w:r>
        <w:t xml:space="preserve">O Credit-VaR é a perda </w:t>
      </w:r>
      <w:r>
        <w:rPr>
          <w:u w:val="single"/>
        </w:rPr>
        <w:t>inesperada</w:t>
      </w:r>
      <w:r>
        <w:t xml:space="preserve"> da carteira, em excesso à perda esperada, e é computado conforme a distribuição de probabilidades para um grau de confiança de 9</w:t>
      </w:r>
      <w:r w:rsidR="00374679">
        <w:t>5</w:t>
      </w:r>
      <w:r>
        <w:t>% no ano.</w:t>
      </w:r>
    </w:p>
    <w:p w:rsidR="00D74510" w:rsidRDefault="00D74510" w:rsidP="00497CF1">
      <w:pPr>
        <w:pStyle w:val="Heading2"/>
      </w:pPr>
      <w:bookmarkStart w:id="78" w:name="_Toc475092503"/>
      <w:r>
        <w:t>PARÂMETROS</w:t>
      </w:r>
      <w:bookmarkEnd w:id="78"/>
    </w:p>
    <w:p w:rsidR="00D74510" w:rsidRDefault="00D74510" w:rsidP="00D74510">
      <w:r>
        <w:t>Na configuração do SRC é possível determinar:</w:t>
      </w:r>
    </w:p>
    <w:p w:rsidR="006114FE" w:rsidRDefault="006114FE" w:rsidP="00CA6E5C">
      <w:pPr>
        <w:pStyle w:val="ListParagraph"/>
        <w:numPr>
          <w:ilvl w:val="0"/>
          <w:numId w:val="22"/>
        </w:numPr>
      </w:pPr>
      <w:r>
        <w:t>O nome da propriedade descritiva que contém o</w:t>
      </w:r>
      <w:r w:rsidR="00CA5EFC">
        <w:t>s</w:t>
      </w:r>
      <w:r>
        <w:t xml:space="preserve"> rating</w:t>
      </w:r>
      <w:r w:rsidR="00CA5EFC">
        <w:t>s externo e interno</w:t>
      </w:r>
      <w:r>
        <w:t xml:space="preserve"> dos títulos;</w:t>
      </w:r>
    </w:p>
    <w:p w:rsidR="00D74510" w:rsidRDefault="00CA5EFC" w:rsidP="00CA6E5C">
      <w:pPr>
        <w:pStyle w:val="ListParagraph"/>
        <w:numPr>
          <w:ilvl w:val="0"/>
          <w:numId w:val="15"/>
        </w:numPr>
      </w:pPr>
      <w:r>
        <w:t>As P</w:t>
      </w:r>
      <w:r w:rsidR="00A26DF4">
        <w:t>robabilidade</w:t>
      </w:r>
      <w:r>
        <w:t>s</w:t>
      </w:r>
      <w:r w:rsidR="00A26DF4">
        <w:t xml:space="preserve"> de </w:t>
      </w:r>
      <w:r>
        <w:t>D</w:t>
      </w:r>
      <w:r w:rsidR="00A26DF4">
        <w:t xml:space="preserve">efault </w:t>
      </w:r>
      <w:r w:rsidR="006114FE">
        <w:t>(</w:t>
      </w:r>
      <w:r>
        <w:t xml:space="preserve">ou </w:t>
      </w:r>
      <w:r w:rsidR="006114FE">
        <w:t xml:space="preserve">EDF – Expected Default Frequency) </w:t>
      </w:r>
      <w:r w:rsidR="00A26DF4">
        <w:t>típicas para cada rating de crédito;</w:t>
      </w:r>
    </w:p>
    <w:p w:rsidR="00D74510" w:rsidRDefault="00A26DF4" w:rsidP="00CA6E5C">
      <w:pPr>
        <w:pStyle w:val="ListParagraph"/>
        <w:numPr>
          <w:ilvl w:val="0"/>
          <w:numId w:val="15"/>
        </w:numPr>
      </w:pPr>
      <w:r>
        <w:t>A LGD (Perda Dado Default) padrão;</w:t>
      </w:r>
    </w:p>
    <w:p w:rsidR="00D74510" w:rsidRDefault="00A26DF4" w:rsidP="00CA6E5C">
      <w:pPr>
        <w:pStyle w:val="ListParagraph"/>
        <w:numPr>
          <w:ilvl w:val="0"/>
          <w:numId w:val="15"/>
        </w:numPr>
      </w:pPr>
      <w:r>
        <w:t>A correlação de perda padrão.</w:t>
      </w:r>
    </w:p>
    <w:p w:rsidR="00D74510" w:rsidRDefault="00D74510" w:rsidP="00D74510">
      <w:r>
        <w:t>Os parâmetros de VaR (</w:t>
      </w:r>
      <w:r w:rsidR="00A26DF4">
        <w:t xml:space="preserve">anual </w:t>
      </w:r>
      <w:r w:rsidR="00374679">
        <w:t>a 95</w:t>
      </w:r>
      <w:r>
        <w:t>%) são fixos.</w:t>
      </w:r>
    </w:p>
    <w:p w:rsidR="00CA5EFC" w:rsidRDefault="00CA5EFC" w:rsidP="00497CF1">
      <w:pPr>
        <w:pStyle w:val="Heading2"/>
      </w:pPr>
      <w:bookmarkStart w:id="79" w:name="_Toc475092504"/>
      <w:r>
        <w:lastRenderedPageBreak/>
        <w:t xml:space="preserve">MAPEAMENTO RATING </w:t>
      </w:r>
      <w:r>
        <w:sym w:font="Wingdings" w:char="F0E0"/>
      </w:r>
      <w:r>
        <w:t xml:space="preserve"> PD</w:t>
      </w:r>
      <w:bookmarkEnd w:id="79"/>
    </w:p>
    <w:p w:rsidR="00CA5EFC" w:rsidRDefault="00CA5EFC" w:rsidP="00CA5EFC">
      <w:r>
        <w:t>O mapeamento de Rating para Probabilidade de Default (PD) é definido na configuração do SRC.</w:t>
      </w:r>
    </w:p>
    <w:p w:rsidR="00CA5EFC" w:rsidRDefault="00CA5EFC" w:rsidP="00CA5EFC">
      <w:r>
        <w:t>O mesmo mapeamento vale para as estimativas com Rating Externo e com Rating Interno.</w:t>
      </w:r>
    </w:p>
    <w:p w:rsidR="00CA5EFC" w:rsidRDefault="00CA5EFC" w:rsidP="00CA5EFC">
      <w:r>
        <w:t>A PD dos “notches” intermediários é interpolada pelo sistema.</w:t>
      </w:r>
    </w:p>
    <w:p w:rsidR="00CA5EFC" w:rsidRPr="00CA5EFC" w:rsidRDefault="00CA5EFC" w:rsidP="00CA5EFC">
      <w:r>
        <w:t xml:space="preserve">Caso um título tenha rating em branco ou “não há”, seu rating </w:t>
      </w:r>
      <w:r>
        <w:rPr>
          <w:u w:val="single"/>
        </w:rPr>
        <w:t>para efeito de risco agregado</w:t>
      </w:r>
      <w:r>
        <w:t xml:space="preserve"> é BBB. Note que essa é uma convenção </w:t>
      </w:r>
      <w:r>
        <w:rPr>
          <w:u w:val="single"/>
        </w:rPr>
        <w:t>diferente</w:t>
      </w:r>
      <w:r>
        <w:t xml:space="preserve"> da aplicada para </w:t>
      </w:r>
      <w:r>
        <w:rPr>
          <w:u w:val="single"/>
        </w:rPr>
        <w:t>compliance</w:t>
      </w:r>
      <w:r>
        <w:t>, na qual um rating inexistente é considerado o pior rating.</w:t>
      </w:r>
    </w:p>
    <w:p w:rsidR="006114FE" w:rsidRDefault="006114FE" w:rsidP="00497CF1">
      <w:pPr>
        <w:pStyle w:val="Heading2"/>
      </w:pPr>
      <w:bookmarkStart w:id="80" w:name="_Toc475092505"/>
      <w:r>
        <w:t>LIMITES DE RISCO DE CRÉDITO</w:t>
      </w:r>
      <w:bookmarkEnd w:id="80"/>
    </w:p>
    <w:p w:rsidR="00882B72" w:rsidRDefault="00882B72" w:rsidP="0099160B">
      <w:r>
        <w:t xml:space="preserve">Os limites de risco de crédito são aplicados exclusivamente às métricas calculadas com </w:t>
      </w:r>
      <w:r w:rsidRPr="008E14AF">
        <w:rPr>
          <w:u w:val="single"/>
        </w:rPr>
        <w:t>Rating Externo</w:t>
      </w:r>
      <w:r>
        <w:t>.</w:t>
      </w:r>
    </w:p>
    <w:p w:rsidR="0099160B" w:rsidRDefault="0099160B" w:rsidP="0099160B">
      <w:r>
        <w:t xml:space="preserve">Cada fundo pode possuir </w:t>
      </w:r>
      <w:r>
        <w:rPr>
          <w:u w:val="single"/>
        </w:rPr>
        <w:t>limites</w:t>
      </w:r>
      <w:r>
        <w:t xml:space="preserve"> de Perda Esperada e Credit-VaR, da seguinte maneira:</w:t>
      </w:r>
    </w:p>
    <w:p w:rsidR="0099160B" w:rsidRDefault="0099160B" w:rsidP="00CA6E5C">
      <w:pPr>
        <w:pStyle w:val="ListParagraph"/>
        <w:numPr>
          <w:ilvl w:val="0"/>
          <w:numId w:val="19"/>
        </w:numPr>
      </w:pPr>
      <w:r>
        <w:t xml:space="preserve">Limites </w:t>
      </w:r>
      <w:r w:rsidRPr="003B7D14">
        <w:rPr>
          <w:u w:val="single"/>
        </w:rPr>
        <w:t>de Política</w:t>
      </w:r>
      <w:r>
        <w:t xml:space="preserve">, que se aplicam a todos os fundos conforme seu tipo e público-alvo, pré-configurados na base de dados do SRC (ver </w:t>
      </w:r>
      <w:r w:rsidR="000B1A93">
        <w:fldChar w:fldCharType="begin"/>
      </w:r>
      <w:r>
        <w:instrText xml:space="preserve"> REF _Ref458526637 \r \h </w:instrText>
      </w:r>
      <w:r w:rsidR="000B1A93">
        <w:fldChar w:fldCharType="separate"/>
      </w:r>
      <w:r>
        <w:t>X-</w:t>
      </w:r>
      <w:r w:rsidR="000B1A93">
        <w:fldChar w:fldCharType="end"/>
      </w:r>
      <w:r>
        <w:t>Configuração);</w:t>
      </w:r>
    </w:p>
    <w:p w:rsidR="0099160B" w:rsidRDefault="0099160B" w:rsidP="00CA6E5C">
      <w:pPr>
        <w:pStyle w:val="ListParagraph"/>
        <w:numPr>
          <w:ilvl w:val="0"/>
          <w:numId w:val="19"/>
        </w:numPr>
      </w:pPr>
      <w:r>
        <w:t xml:space="preserve">Limites </w:t>
      </w:r>
      <w:r w:rsidRPr="003B7D14">
        <w:rPr>
          <w:u w:val="single"/>
        </w:rPr>
        <w:t>específicos</w:t>
      </w:r>
      <w:r>
        <w:t xml:space="preserve">, definidos no </w:t>
      </w:r>
      <w:r w:rsidRPr="003B7D14">
        <w:rPr>
          <w:u w:val="single"/>
        </w:rPr>
        <w:t>cadastro do fundo</w:t>
      </w:r>
      <w:r>
        <w:t>, que se sobrepõem aos limites de Política se o Box “Este fundo tem Limites de Risco próprios...” for marcado (</w:t>
      </w:r>
      <w:r w:rsidRPr="003B7D14">
        <w:t xml:space="preserve">ver </w:t>
      </w:r>
      <w:fldSimple w:instr=" REF _Ref458526771 \r \h  \* MERGEFORMAT ">
        <w:r w:rsidRPr="003B7D14">
          <w:t>III-3</w:t>
        </w:r>
      </w:fldSimple>
      <w:r>
        <w:t>).</w:t>
      </w:r>
    </w:p>
    <w:p w:rsidR="0099160B" w:rsidRPr="003B7D14" w:rsidRDefault="0099160B" w:rsidP="00CA6E5C">
      <w:pPr>
        <w:pStyle w:val="ListParagraph"/>
        <w:numPr>
          <w:ilvl w:val="0"/>
          <w:numId w:val="19"/>
        </w:numPr>
      </w:pPr>
      <w:r w:rsidRPr="0099160B">
        <w:rPr>
          <w:u w:val="single"/>
        </w:rPr>
        <w:t>Isenção</w:t>
      </w:r>
      <w:r>
        <w:t xml:space="preserve"> de limite de risco de crédito, caso o regulamento já preveja a política de concentração por risco de crédito.</w:t>
      </w:r>
    </w:p>
    <w:p w:rsidR="0099160B" w:rsidRDefault="0099160B" w:rsidP="0099160B">
      <w:r>
        <w:t xml:space="preserve">O nível de “Warning” é fixado em 80% do limite de risco. </w:t>
      </w:r>
    </w:p>
    <w:p w:rsidR="0099160B" w:rsidRPr="0099160B" w:rsidRDefault="0099160B" w:rsidP="0099160B">
      <w:r>
        <w:t xml:space="preserve">A </w:t>
      </w:r>
      <w:r>
        <w:rPr>
          <w:u w:val="single"/>
        </w:rPr>
        <w:t>isenção</w:t>
      </w:r>
      <w:r>
        <w:t xml:space="preserve"> de limite de risco de crédito é feita no </w:t>
      </w:r>
      <w:r>
        <w:rPr>
          <w:u w:val="single"/>
        </w:rPr>
        <w:t>cadastro</w:t>
      </w:r>
      <w:r>
        <w:t xml:space="preserve"> do Fundo, assinalando o box “Este fundo tem limites de rating no regulamento”.</w:t>
      </w:r>
    </w:p>
    <w:p w:rsidR="0099160B" w:rsidRDefault="0099160B" w:rsidP="0099160B">
      <w:r>
        <w:t>A opção Fundos</w:t>
      </w:r>
      <w:r>
        <w:sym w:font="Wingdings" w:char="F0E0"/>
      </w:r>
      <w:r>
        <w:t>Limites permite visualizar os limites ativos de todos os fundos, e se são limites de política ou limites específicos (“Override”).</w:t>
      </w:r>
    </w:p>
    <w:p w:rsidR="0099160B" w:rsidRDefault="0099160B" w:rsidP="0099160B">
      <w:r>
        <w:t>Conforme os limites, o fundo poderá estar:</w:t>
      </w:r>
    </w:p>
    <w:p w:rsidR="0099160B" w:rsidRDefault="0099160B" w:rsidP="00CA6E5C">
      <w:pPr>
        <w:pStyle w:val="ListParagraph"/>
        <w:numPr>
          <w:ilvl w:val="0"/>
          <w:numId w:val="20"/>
        </w:numPr>
      </w:pPr>
      <w:r>
        <w:t xml:space="preserve">BREACH: se pelo menos um dos indicadores (Perda Esperada </w:t>
      </w:r>
      <w:r>
        <w:rPr>
          <w:u w:val="single"/>
        </w:rPr>
        <w:t>ou</w:t>
      </w:r>
      <w:r>
        <w:t xml:space="preserve"> Credit-VaR) estiver acima do limite;</w:t>
      </w:r>
    </w:p>
    <w:p w:rsidR="0099160B" w:rsidRDefault="0099160B" w:rsidP="00CA6E5C">
      <w:pPr>
        <w:pStyle w:val="ListParagraph"/>
        <w:numPr>
          <w:ilvl w:val="0"/>
          <w:numId w:val="20"/>
        </w:numPr>
      </w:pPr>
      <w:r>
        <w:t>WARN: se nenhum dos dois indicadores estiver acima do limite, e pelo menos um estiver em Warning;</w:t>
      </w:r>
    </w:p>
    <w:p w:rsidR="0099160B" w:rsidRDefault="0099160B" w:rsidP="00CA6E5C">
      <w:pPr>
        <w:pStyle w:val="ListParagraph"/>
        <w:numPr>
          <w:ilvl w:val="0"/>
          <w:numId w:val="20"/>
        </w:numPr>
      </w:pPr>
      <w:r>
        <w:t>OK: se nenhum dos dois indicadores estiver acima do limite ou em Warning.</w:t>
      </w:r>
    </w:p>
    <w:p w:rsidR="0099160B" w:rsidRPr="00F04C6A" w:rsidRDefault="0099160B" w:rsidP="00CA6E5C">
      <w:pPr>
        <w:pStyle w:val="ListParagraph"/>
        <w:numPr>
          <w:ilvl w:val="0"/>
          <w:numId w:val="20"/>
        </w:numPr>
      </w:pPr>
      <w:r>
        <w:t>Isento: se o Fundo foi cadastrado como isento.</w:t>
      </w:r>
    </w:p>
    <w:p w:rsidR="00362736" w:rsidRDefault="00497CF1" w:rsidP="00497CF1">
      <w:pPr>
        <w:pStyle w:val="Heading2"/>
      </w:pPr>
      <w:bookmarkStart w:id="81" w:name="_Toc475092506"/>
      <w:r>
        <w:lastRenderedPageBreak/>
        <w:t>SIMULAÇÃO</w:t>
      </w:r>
      <w:bookmarkEnd w:id="81"/>
    </w:p>
    <w:p w:rsidR="00362736" w:rsidRDefault="00362736" w:rsidP="00362736">
      <w:r>
        <w:t xml:space="preserve">O SRC pode </w:t>
      </w:r>
      <w:r>
        <w:rPr>
          <w:u w:val="single"/>
        </w:rPr>
        <w:t>simular</w:t>
      </w:r>
      <w:r>
        <w:t xml:space="preserve"> </w:t>
      </w:r>
      <w:r w:rsidR="00497CF1">
        <w:t xml:space="preserve">mudanças nas qualidades dos títulos (ex: rating) bem como simular </w:t>
      </w:r>
      <w:r>
        <w:t>novo</w:t>
      </w:r>
      <w:r w:rsidR="00497CF1">
        <w:t>s</w:t>
      </w:r>
      <w:r>
        <w:t xml:space="preserve"> negócio</w:t>
      </w:r>
      <w:r w:rsidR="00497CF1">
        <w:t>s antes da</w:t>
      </w:r>
      <w:r>
        <w:t xml:space="preserve"> execução de modo a verificar seu</w:t>
      </w:r>
      <w:r w:rsidR="00497CF1">
        <w:t>s</w:t>
      </w:r>
      <w:r>
        <w:t xml:space="preserve"> impacto</w:t>
      </w:r>
      <w:r w:rsidR="00497CF1">
        <w:t>s</w:t>
      </w:r>
      <w:r>
        <w:t xml:space="preserve"> sobre o risco de crédito e seu enquadramento. Ver </w:t>
      </w:r>
      <w:r w:rsidR="000B1A93">
        <w:fldChar w:fldCharType="begin"/>
      </w:r>
      <w:r>
        <w:instrText xml:space="preserve"> REF _Ref458667286 \r \h </w:instrText>
      </w:r>
      <w:r w:rsidR="000B1A93">
        <w:fldChar w:fldCharType="separate"/>
      </w:r>
      <w:r>
        <w:t>X-</w:t>
      </w:r>
      <w:r w:rsidR="000B1A93">
        <w:fldChar w:fldCharType="end"/>
      </w:r>
      <w:r>
        <w:t>Simulação.</w:t>
      </w:r>
    </w:p>
    <w:p w:rsidR="006114FE" w:rsidRDefault="006114FE" w:rsidP="00497CF1">
      <w:pPr>
        <w:pStyle w:val="Heading2"/>
      </w:pPr>
      <w:bookmarkStart w:id="82" w:name="_Toc475092507"/>
      <w:r>
        <w:t>VISUALIZAÇÃO DO RISCO DE CRÉDITO</w:t>
      </w:r>
      <w:bookmarkEnd w:id="82"/>
    </w:p>
    <w:p w:rsidR="00D63709" w:rsidRDefault="00D63709" w:rsidP="00D63709">
      <w:r>
        <w:t>O risco de crédito pode ser visualizado:</w:t>
      </w:r>
    </w:p>
    <w:p w:rsidR="00D63709" w:rsidRDefault="00D63709" w:rsidP="00D63709">
      <w:pPr>
        <w:pStyle w:val="ListParagraph"/>
      </w:pPr>
      <w:r>
        <w:t xml:space="preserve">No </w:t>
      </w:r>
      <w:r w:rsidRPr="00115373">
        <w:rPr>
          <w:u w:val="single"/>
        </w:rPr>
        <w:t>Dashboard</w:t>
      </w:r>
      <w:r>
        <w:t xml:space="preserve">, nas </w:t>
      </w:r>
      <w:r w:rsidR="00882B72">
        <w:t>5</w:t>
      </w:r>
      <w:r>
        <w:t xml:space="preserve"> colunas marcadas com </w:t>
      </w:r>
    </w:p>
    <w:p w:rsidR="00D63709" w:rsidRDefault="00D63709" w:rsidP="00D63709">
      <w:pPr>
        <w:pStyle w:val="ListParagraph"/>
        <w:numPr>
          <w:ilvl w:val="1"/>
          <w:numId w:val="2"/>
        </w:numPr>
      </w:pPr>
      <w:r>
        <w:t>“EL”: é a Perda Esperada;</w:t>
      </w:r>
    </w:p>
    <w:p w:rsidR="00D63709" w:rsidRPr="001C20C5" w:rsidRDefault="00D63709" w:rsidP="00D63709">
      <w:pPr>
        <w:pStyle w:val="ListParagraph"/>
        <w:numPr>
          <w:ilvl w:val="1"/>
          <w:numId w:val="2"/>
        </w:numPr>
      </w:pPr>
      <w:r>
        <w:t>“CVaR</w:t>
      </w:r>
      <w:r w:rsidRPr="001C20C5">
        <w:t xml:space="preserve">” é o </w:t>
      </w:r>
      <w:r>
        <w:t>Credit-VaR;</w:t>
      </w:r>
    </w:p>
    <w:p w:rsidR="00D63709" w:rsidRDefault="00D63709" w:rsidP="00D63709">
      <w:pPr>
        <w:pStyle w:val="ListParagraph"/>
        <w:numPr>
          <w:ilvl w:val="1"/>
          <w:numId w:val="2"/>
        </w:numPr>
      </w:pPr>
      <w:r>
        <w:t>“Credit?” é o compliance com o limi</w:t>
      </w:r>
      <w:r w:rsidR="00882B72">
        <w:t>te de risco de crédito do fundo;</w:t>
      </w:r>
    </w:p>
    <w:p w:rsidR="00882B72" w:rsidRDefault="00882B72" w:rsidP="00D63709">
      <w:pPr>
        <w:pStyle w:val="ListParagraph"/>
        <w:numPr>
          <w:ilvl w:val="1"/>
          <w:numId w:val="2"/>
        </w:numPr>
      </w:pPr>
      <w:r>
        <w:t>“EL(Int)” é a perda esperada segundo rating interno;</w:t>
      </w:r>
    </w:p>
    <w:p w:rsidR="00882B72" w:rsidRDefault="00882B72" w:rsidP="00D63709">
      <w:pPr>
        <w:pStyle w:val="ListParagraph"/>
        <w:numPr>
          <w:ilvl w:val="1"/>
          <w:numId w:val="2"/>
        </w:numPr>
      </w:pPr>
      <w:r>
        <w:t>“CVaR(Int)” é o Credit-VaR segundo o rating interno.</w:t>
      </w:r>
    </w:p>
    <w:p w:rsidR="00D63709" w:rsidRDefault="00D63709" w:rsidP="00D63709">
      <w:pPr>
        <w:pStyle w:val="ListParagraph"/>
      </w:pPr>
      <w:r>
        <w:t xml:space="preserve">No </w:t>
      </w:r>
      <w:r w:rsidRPr="00115373">
        <w:rPr>
          <w:u w:val="single"/>
        </w:rPr>
        <w:t>e-mail</w:t>
      </w:r>
      <w:r>
        <w:t xml:space="preserve"> diário, no sumário dos fundos, as 2 primeiras colunas do Dashboard são repetidas.</w:t>
      </w:r>
    </w:p>
    <w:p w:rsidR="00D63709" w:rsidRPr="00D63709" w:rsidRDefault="00D63709" w:rsidP="00D63709">
      <w:pPr>
        <w:pStyle w:val="ListParagraph"/>
      </w:pPr>
      <w:r>
        <w:t>Nas demais telas apresentadas neste capítulo.</w:t>
      </w:r>
    </w:p>
    <w:p w:rsidR="000A50AF" w:rsidRDefault="000A50AF" w:rsidP="00D85C43">
      <w:pPr>
        <w:pStyle w:val="Heading1"/>
      </w:pPr>
      <w:bookmarkStart w:id="83" w:name="_Ref458783627"/>
      <w:bookmarkStart w:id="84" w:name="_Toc475092508"/>
      <w:r>
        <w:lastRenderedPageBreak/>
        <w:t>RISCO DE LIQUIDEZ</w:t>
      </w:r>
      <w:bookmarkEnd w:id="83"/>
      <w:bookmarkEnd w:id="84"/>
    </w:p>
    <w:p w:rsidR="00D63709" w:rsidRDefault="00D63709" w:rsidP="0022529B">
      <w:pPr>
        <w:pStyle w:val="Heading2"/>
      </w:pPr>
      <w:bookmarkStart w:id="85" w:name="_Toc475092509"/>
      <w:r>
        <w:t>GERAL</w:t>
      </w:r>
      <w:bookmarkEnd w:id="85"/>
    </w:p>
    <w:p w:rsidR="0022529B" w:rsidRDefault="0022529B" w:rsidP="00D63709">
      <w:r>
        <w:t>O SRC dispõe das seguintes funções de risco de liquidez:</w:t>
      </w:r>
    </w:p>
    <w:p w:rsidR="0022529B" w:rsidRDefault="0022529B" w:rsidP="00CA6E5C">
      <w:pPr>
        <w:pStyle w:val="ListParagraph"/>
        <w:numPr>
          <w:ilvl w:val="0"/>
          <w:numId w:val="32"/>
        </w:numPr>
      </w:pPr>
      <w:r>
        <w:t>Cálculo da liquidez, percentual de cobertura e enquadramento em liquidez para fins de controle;</w:t>
      </w:r>
    </w:p>
    <w:p w:rsidR="0022529B" w:rsidRDefault="0022529B" w:rsidP="00CA6E5C">
      <w:pPr>
        <w:pStyle w:val="ListParagraph"/>
        <w:numPr>
          <w:ilvl w:val="0"/>
          <w:numId w:val="32"/>
        </w:numPr>
      </w:pPr>
      <w:r>
        <w:t xml:space="preserve">Cálculo </w:t>
      </w:r>
      <w:r w:rsidR="002E3960">
        <w:t>do caixa disponível gerencialmente e do caixa em excesso ao mandato;</w:t>
      </w:r>
    </w:p>
    <w:p w:rsidR="002E3960" w:rsidRDefault="002E3960" w:rsidP="00CA6E5C">
      <w:pPr>
        <w:pStyle w:val="ListParagraph"/>
        <w:numPr>
          <w:ilvl w:val="0"/>
          <w:numId w:val="32"/>
        </w:numPr>
      </w:pPr>
      <w:r>
        <w:t>Cálculo do “Cash Report” gerencial com o caixa exigível/disponível no curto prazo.</w:t>
      </w:r>
    </w:p>
    <w:p w:rsidR="0022529B" w:rsidRDefault="002E3960" w:rsidP="00D63709">
      <w:r>
        <w:t xml:space="preserve">Para fins de controle de enquadramento, o </w:t>
      </w:r>
      <w:r w:rsidR="0022529B">
        <w:t xml:space="preserve">SRC mensura o risco de liquidez dos fundos e o percentual de cobertura (percentual dos ativos líquidos comprometidos com obrigações) </w:t>
      </w:r>
      <w:r>
        <w:t xml:space="preserve">para </w:t>
      </w:r>
      <w:r w:rsidR="0022529B">
        <w:t>cada um de 7 vértices</w:t>
      </w:r>
      <w:r>
        <w:t>: 1, 5, 21, 42, 63, 126 e 252 dias úteis.</w:t>
      </w:r>
    </w:p>
    <w:p w:rsidR="0022529B" w:rsidRDefault="0022529B" w:rsidP="00D63709">
      <w:r>
        <w:t>Um índice de cobertura pior que 100% (obrigações acima de ativos líquidos) gera um BREACH em liquidez no fundo e vértice específicos. Um índice de cobertura entre 80% e 100% (obrigações entre 80% e 100% dos ativos líquidos) gera um WARNING.</w:t>
      </w:r>
    </w:p>
    <w:p w:rsidR="0022529B" w:rsidRDefault="0022529B" w:rsidP="0022529B">
      <w:pPr>
        <w:pStyle w:val="Heading2"/>
      </w:pPr>
      <w:bookmarkStart w:id="86" w:name="_Toc475092510"/>
      <w:r>
        <w:t>CONFIGURAÇÕES DE LIQUIDEZ DO FUNDO</w:t>
      </w:r>
      <w:bookmarkEnd w:id="86"/>
    </w:p>
    <w:p w:rsidR="0022529B" w:rsidRDefault="0022529B" w:rsidP="0022529B">
      <w:r>
        <w:t xml:space="preserve">O cálculo de liquidez depende de </w:t>
      </w:r>
      <w:r w:rsidR="002E3960">
        <w:t>parâmetros do cadastro do fundo:</w:t>
      </w:r>
    </w:p>
    <w:p w:rsidR="002E3960" w:rsidRDefault="002E3960" w:rsidP="0022529B">
      <w:r>
        <w:rPr>
          <w:noProof/>
          <w:lang w:eastAsia="pt-BR"/>
        </w:rPr>
        <w:drawing>
          <wp:inline distT="0" distB="0" distL="0" distR="0">
            <wp:extent cx="3524250" cy="1390650"/>
            <wp:effectExtent l="19050" t="0" r="0" b="0"/>
            <wp:docPr id="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960" w:rsidRDefault="002E3960" w:rsidP="00CA6E5C">
      <w:pPr>
        <w:pStyle w:val="ListParagraph"/>
        <w:numPr>
          <w:ilvl w:val="0"/>
          <w:numId w:val="33"/>
        </w:numPr>
      </w:pPr>
      <w:r>
        <w:t>ID Liquidez: é o identificador do fundo nos controles de resgates e transferências que são importados;</w:t>
      </w:r>
    </w:p>
    <w:p w:rsidR="002E3960" w:rsidRDefault="002E3960" w:rsidP="00CA6E5C">
      <w:pPr>
        <w:pStyle w:val="ListParagraph"/>
        <w:numPr>
          <w:ilvl w:val="0"/>
          <w:numId w:val="33"/>
        </w:numPr>
      </w:pPr>
      <w:r>
        <w:t xml:space="preserve">Método de Liquidez: qual método será </w:t>
      </w:r>
      <w:r w:rsidR="000B598F">
        <w:t>considerado</w:t>
      </w:r>
      <w:r>
        <w:t xml:space="preserve"> para aferir a liquidez da carteira (ver </w:t>
      </w:r>
      <w:r w:rsidR="000B1A93">
        <w:fldChar w:fldCharType="begin"/>
      </w:r>
      <w:r>
        <w:instrText xml:space="preserve"> REF _Ref458697846 \r \h </w:instrText>
      </w:r>
      <w:r w:rsidR="000B1A93">
        <w:fldChar w:fldCharType="separate"/>
      </w:r>
      <w:r>
        <w:t>VIII-3</w:t>
      </w:r>
      <w:r w:rsidR="000B1A93">
        <w:fldChar w:fldCharType="end"/>
      </w:r>
      <w:r w:rsidR="000B598F">
        <w:t xml:space="preserve"> e Anexo V</w:t>
      </w:r>
      <w:r>
        <w:t>);</w:t>
      </w:r>
    </w:p>
    <w:p w:rsidR="002E3960" w:rsidRDefault="002E3960" w:rsidP="00CA6E5C">
      <w:pPr>
        <w:pStyle w:val="ListParagraph"/>
        <w:numPr>
          <w:ilvl w:val="0"/>
          <w:numId w:val="33"/>
        </w:numPr>
      </w:pPr>
      <w:r>
        <w:t>Concentração: classificação de concentração de cotistas;</w:t>
      </w:r>
    </w:p>
    <w:p w:rsidR="002E3960" w:rsidRDefault="002E3960" w:rsidP="00CA6E5C">
      <w:pPr>
        <w:pStyle w:val="ListParagraph"/>
        <w:numPr>
          <w:ilvl w:val="0"/>
          <w:numId w:val="33"/>
        </w:numPr>
      </w:pPr>
      <w:r>
        <w:t>Prazo Resgate: prazo de cotização e pagamento de pedidos de resgate;</w:t>
      </w:r>
    </w:p>
    <w:p w:rsidR="002E3960" w:rsidRPr="0022529B" w:rsidRDefault="002E3960" w:rsidP="00CA6E5C">
      <w:pPr>
        <w:pStyle w:val="ListParagraph"/>
        <w:numPr>
          <w:ilvl w:val="0"/>
          <w:numId w:val="33"/>
        </w:numPr>
      </w:pPr>
      <w:r>
        <w:t>Caixa Mandato: caixa mínimo do mandato gerencial do fundo.</w:t>
      </w:r>
    </w:p>
    <w:p w:rsidR="0022529B" w:rsidRDefault="0022529B" w:rsidP="0022529B">
      <w:pPr>
        <w:pStyle w:val="Heading2"/>
      </w:pPr>
      <w:bookmarkStart w:id="87" w:name="_Ref458697846"/>
      <w:bookmarkStart w:id="88" w:name="_Toc475092511"/>
      <w:r>
        <w:lastRenderedPageBreak/>
        <w:t>LIQUIDEZ DO ATIVO</w:t>
      </w:r>
      <w:bookmarkEnd w:id="87"/>
      <w:bookmarkEnd w:id="88"/>
    </w:p>
    <w:p w:rsidR="0022529B" w:rsidRDefault="0022529B" w:rsidP="00D63709">
      <w:r>
        <w:t xml:space="preserve">A liquidez do ativo </w:t>
      </w:r>
      <w:r w:rsidR="000B598F">
        <w:t xml:space="preserve">é </w:t>
      </w:r>
      <w:r w:rsidR="000B598F">
        <w:rPr>
          <w:u w:val="single"/>
        </w:rPr>
        <w:t>sempre</w:t>
      </w:r>
      <w:r w:rsidR="000B598F" w:rsidRPr="000B598F">
        <w:t xml:space="preserve"> </w:t>
      </w:r>
      <w:r w:rsidR="000B598F">
        <w:t>calculada por 3 métodos:</w:t>
      </w:r>
    </w:p>
    <w:p w:rsidR="000B598F" w:rsidRDefault="000B598F" w:rsidP="00CA6E5C">
      <w:pPr>
        <w:pStyle w:val="ListParagraph"/>
        <w:numPr>
          <w:ilvl w:val="0"/>
          <w:numId w:val="34"/>
        </w:numPr>
      </w:pPr>
      <w:r>
        <w:t>Fluxo de Caixa Apenas</w:t>
      </w:r>
      <w:r w:rsidR="00897CEC">
        <w:t xml:space="preserve"> (</w:t>
      </w:r>
      <w:r w:rsidR="00897CEC" w:rsidRPr="00897CEC">
        <w:rPr>
          <w:u w:val="single"/>
        </w:rPr>
        <w:t>CFLOW</w:t>
      </w:r>
      <w:r w:rsidR="00897CEC">
        <w:t>)</w:t>
      </w:r>
      <w:r>
        <w:t xml:space="preserve">: a única liquidez será a da geração </w:t>
      </w:r>
      <w:r w:rsidR="00897CEC">
        <w:t xml:space="preserve">de caixa própria do titulo: juros e amortizações conforme </w:t>
      </w:r>
      <w:r>
        <w:t>o fluxo de caixa (real ou indicativo – ver )</w:t>
      </w:r>
    </w:p>
    <w:p w:rsidR="000B598F" w:rsidRDefault="000B598F" w:rsidP="00CA6E5C">
      <w:pPr>
        <w:pStyle w:val="ListParagraph"/>
        <w:numPr>
          <w:ilvl w:val="0"/>
          <w:numId w:val="34"/>
        </w:numPr>
      </w:pPr>
      <w:r>
        <w:t>Fluxo de Caixa e Secundário</w:t>
      </w:r>
      <w:r w:rsidR="00897CEC">
        <w:t xml:space="preserve"> (</w:t>
      </w:r>
      <w:r w:rsidR="00897CEC" w:rsidRPr="00897CEC">
        <w:rPr>
          <w:u w:val="single"/>
        </w:rPr>
        <w:t>ADTV</w:t>
      </w:r>
      <w:r w:rsidR="00897CEC">
        <w:t>)</w:t>
      </w:r>
      <w:r>
        <w:t>:</w:t>
      </w:r>
      <w:r w:rsidR="00897CEC">
        <w:t xml:space="preserve"> à liquidez de fluxo de caixa será somada 20% do volume médio de negociação diária (ADTV);</w:t>
      </w:r>
    </w:p>
    <w:p w:rsidR="000B598F" w:rsidRDefault="000B598F" w:rsidP="00CA6E5C">
      <w:pPr>
        <w:pStyle w:val="ListParagraph"/>
        <w:numPr>
          <w:ilvl w:val="0"/>
          <w:numId w:val="34"/>
        </w:numPr>
      </w:pPr>
      <w:r>
        <w:t>Metodologia ANBIMA</w:t>
      </w:r>
      <w:r w:rsidR="00897CEC">
        <w:t xml:space="preserve"> (</w:t>
      </w:r>
      <w:r w:rsidR="00897CEC" w:rsidRPr="00897CEC">
        <w:rPr>
          <w:u w:val="single"/>
        </w:rPr>
        <w:t>ANBIMA</w:t>
      </w:r>
      <w:r w:rsidR="00897CEC">
        <w:t>)</w:t>
      </w:r>
      <w:r>
        <w:t>:</w:t>
      </w:r>
      <w:r w:rsidR="00897CEC">
        <w:t xml:space="preserve"> apenas o fluxo de caixa é utilizado, mas o prazo de cada fluxo é reduzido por um fator redutor conforme o tipo do título (propriedade “Classe de Liquidez”), segundo constantes “rLiq1” da tabela da ANBIMA.</w:t>
      </w:r>
    </w:p>
    <w:p w:rsidR="000B598F" w:rsidRDefault="000B598F" w:rsidP="00D63709">
      <w:r>
        <w:t>O campo “</w:t>
      </w:r>
      <w:r w:rsidRPr="00897CEC">
        <w:rPr>
          <w:u w:val="single"/>
        </w:rPr>
        <w:t>Método de Liquidez</w:t>
      </w:r>
      <w:r>
        <w:t xml:space="preserve">” </w:t>
      </w:r>
      <w:r w:rsidR="00897CEC">
        <w:t xml:space="preserve">do cadastro de fundo </w:t>
      </w:r>
      <w:r>
        <w:t xml:space="preserve">seleciona </w:t>
      </w:r>
      <w:r>
        <w:rPr>
          <w:u w:val="single"/>
        </w:rPr>
        <w:t>qual</w:t>
      </w:r>
      <w:r>
        <w:t xml:space="preserve"> método é utilizado para compor os índices de liquidez para enquadramento do fundo.</w:t>
      </w:r>
    </w:p>
    <w:p w:rsidR="000B598F" w:rsidRPr="000B598F" w:rsidRDefault="000B598F" w:rsidP="00D63709">
      <w:r>
        <w:t xml:space="preserve">A escolha do método de liquidez é por fundo e não por ativo, e percorre toda a carteira </w:t>
      </w:r>
      <w:r>
        <w:rPr>
          <w:u w:val="single"/>
        </w:rPr>
        <w:t>consolidada</w:t>
      </w:r>
      <w:r>
        <w:t xml:space="preserve"> do fundo. Pode haver títulos que tenham a liquidez considerada diferentemente dependendo do fundo em questão.</w:t>
      </w:r>
    </w:p>
    <w:p w:rsidR="000B598F" w:rsidRDefault="000B598F" w:rsidP="00D63709">
      <w:r>
        <w:t>Por exemplo, o fundo A e o fundo B ambos investem em um fundo C que detém cotas de fundos imobiliários negociados em bolsa. O fundo A é um fundo de fundos imobiliários que elege ADTV como método de liquidez e o fundo B é um fundo de Crédito Privado que elege ANBIMA como método de liquidez. A liquidez dos títulos do fundo C será tratada diferentemente conforme a porção representada na carteira consolidada de A ou de B.</w:t>
      </w:r>
    </w:p>
    <w:p w:rsidR="000B598F" w:rsidRDefault="00897CEC" w:rsidP="00D63709">
      <w:r>
        <w:rPr>
          <w:u w:val="single"/>
        </w:rPr>
        <w:t>ADTV</w:t>
      </w:r>
    </w:p>
    <w:p w:rsidR="00897CEC" w:rsidRPr="00897CEC" w:rsidRDefault="00897CEC" w:rsidP="00D63709">
      <w:r>
        <w:t xml:space="preserve">O ADTV é obtido durante o processo de </w:t>
      </w:r>
      <w:r>
        <w:rPr>
          <w:u w:val="single"/>
        </w:rPr>
        <w:t>importação de preços de fechamento</w:t>
      </w:r>
      <w:r>
        <w:t>. Nem todo título terá dados de ADTV</w:t>
      </w:r>
      <w:r w:rsidR="007F1AF3">
        <w:t>, particularmente os que não forem negociados em bolsa.</w:t>
      </w:r>
    </w:p>
    <w:p w:rsidR="0022529B" w:rsidRDefault="0022529B" w:rsidP="0022529B">
      <w:pPr>
        <w:pStyle w:val="Heading2"/>
      </w:pPr>
      <w:bookmarkStart w:id="89" w:name="_Toc475092512"/>
      <w:r>
        <w:t>OBRIGAÇÕES DO PASSIVO</w:t>
      </w:r>
      <w:bookmarkEnd w:id="89"/>
    </w:p>
    <w:p w:rsidR="006D78CB" w:rsidRDefault="006D78CB" w:rsidP="006D78CB">
      <w:r>
        <w:t>O SRC adota todas as recomendações da ANBIMA e CVM quanto à mensuração da exigência de liquidez do passivo, particularmente:</w:t>
      </w:r>
    </w:p>
    <w:p w:rsidR="006D78CB" w:rsidRDefault="006D78CB" w:rsidP="00CA6E5C">
      <w:pPr>
        <w:pStyle w:val="ListParagraph"/>
        <w:numPr>
          <w:ilvl w:val="0"/>
          <w:numId w:val="36"/>
        </w:numPr>
      </w:pPr>
      <w:r>
        <w:t>O prazo de cotização do fundo;</w:t>
      </w:r>
    </w:p>
    <w:p w:rsidR="00AE7FF6" w:rsidRDefault="00AE7FF6" w:rsidP="00CA6E5C">
      <w:pPr>
        <w:pStyle w:val="ListParagraph"/>
        <w:numPr>
          <w:ilvl w:val="0"/>
          <w:numId w:val="36"/>
        </w:numPr>
      </w:pPr>
      <w:r>
        <w:t xml:space="preserve">Os resgates </w:t>
      </w:r>
      <w:r w:rsidR="008F1329">
        <w:t>agendados</w:t>
      </w:r>
      <w:r>
        <w:t>;</w:t>
      </w:r>
    </w:p>
    <w:p w:rsidR="008F1329" w:rsidRDefault="008F1329" w:rsidP="00CA6E5C">
      <w:pPr>
        <w:pStyle w:val="ListParagraph"/>
        <w:numPr>
          <w:ilvl w:val="0"/>
          <w:numId w:val="36"/>
        </w:numPr>
      </w:pPr>
      <w:r>
        <w:t>As transferências agendadas;</w:t>
      </w:r>
    </w:p>
    <w:p w:rsidR="006D78CB" w:rsidRDefault="006D78CB" w:rsidP="00CA6E5C">
      <w:pPr>
        <w:pStyle w:val="ListParagraph"/>
        <w:numPr>
          <w:ilvl w:val="0"/>
          <w:numId w:val="36"/>
        </w:numPr>
      </w:pPr>
      <w:r>
        <w:t>Os resgates esperados;</w:t>
      </w:r>
    </w:p>
    <w:p w:rsidR="006D78CB" w:rsidRDefault="006D78CB" w:rsidP="00CA6E5C">
      <w:pPr>
        <w:pStyle w:val="ListParagraph"/>
        <w:numPr>
          <w:ilvl w:val="0"/>
          <w:numId w:val="36"/>
        </w:numPr>
      </w:pPr>
      <w:r>
        <w:t>O</w:t>
      </w:r>
      <w:r w:rsidR="00AE7FF6">
        <w:t xml:space="preserve"> grau de concentração de quotas.</w:t>
      </w:r>
    </w:p>
    <w:p w:rsidR="00AE7FF6" w:rsidRDefault="00AE7FF6" w:rsidP="00AE7FF6"/>
    <w:p w:rsidR="00AE7FF6" w:rsidRDefault="008F1329" w:rsidP="00AE7FF6">
      <w:r>
        <w:t xml:space="preserve">Os </w:t>
      </w:r>
      <w:r>
        <w:rPr>
          <w:u w:val="single"/>
        </w:rPr>
        <w:t>resgates agendados</w:t>
      </w:r>
      <w:r>
        <w:t xml:space="preserve"> e as </w:t>
      </w:r>
      <w:r>
        <w:rPr>
          <w:u w:val="single"/>
        </w:rPr>
        <w:t xml:space="preserve">transferências </w:t>
      </w:r>
      <w:r w:rsidRPr="008F1329">
        <w:rPr>
          <w:u w:val="single"/>
        </w:rPr>
        <w:t>agendadas</w:t>
      </w:r>
      <w:r>
        <w:t xml:space="preserve"> </w:t>
      </w:r>
      <w:r w:rsidRPr="008F1329">
        <w:t>são</w:t>
      </w:r>
      <w:r>
        <w:t xml:space="preserve"> obtidos da fila de resgate importada.</w:t>
      </w:r>
    </w:p>
    <w:p w:rsidR="008F1329" w:rsidRDefault="008F1329" w:rsidP="00AE7FF6">
      <w:r>
        <w:t xml:space="preserve">Os </w:t>
      </w:r>
      <w:r w:rsidRPr="008F1329">
        <w:rPr>
          <w:u w:val="single"/>
        </w:rPr>
        <w:t>resgates esperados</w:t>
      </w:r>
      <w:r>
        <w:t xml:space="preserve"> são estimados pela volatilidade de patrimônio líquido, escalonada pela raiz quadrada do prazo da primeira data de cotização possível até a data do vértice.</w:t>
      </w:r>
    </w:p>
    <w:p w:rsidR="008F1329" w:rsidRDefault="008F1329" w:rsidP="00AE7FF6">
      <w:r>
        <w:t xml:space="preserve">O </w:t>
      </w:r>
      <w:r>
        <w:rPr>
          <w:u w:val="single"/>
        </w:rPr>
        <w:t>grau de concentração</w:t>
      </w:r>
      <w:r>
        <w:t xml:space="preserve"> é obtido da lista de maiores cotistas importada. A Política de Liquidez penaliza fundos com cotistas que detenham mais que 20% do PL.</w:t>
      </w:r>
    </w:p>
    <w:p w:rsidR="008F1329" w:rsidRDefault="008F1329" w:rsidP="00AE7FF6">
      <w:r>
        <w:t xml:space="preserve">A </w:t>
      </w:r>
      <w:r>
        <w:rPr>
          <w:u w:val="single"/>
        </w:rPr>
        <w:t>necessidade total de liquidez</w:t>
      </w:r>
      <w:r>
        <w:t xml:space="preserve"> é igual a:</w:t>
      </w:r>
    </w:p>
    <w:p w:rsidR="008F1329" w:rsidRPr="008F1329" w:rsidRDefault="008F1329" w:rsidP="00AE7FF6">
      <w:r>
        <w:t>Resgates Agendados + Resgates Esperados – Transferências Agendadas + Ajuste de Concentração.</w:t>
      </w:r>
    </w:p>
    <w:p w:rsidR="007F1AF3" w:rsidRDefault="007F1AF3" w:rsidP="00E16973">
      <w:pPr>
        <w:pStyle w:val="Heading2"/>
      </w:pPr>
      <w:bookmarkStart w:id="90" w:name="_Toc475092513"/>
      <w:r>
        <w:t>VISUALIZANDO A LIQUIDEZ</w:t>
      </w:r>
      <w:bookmarkEnd w:id="90"/>
    </w:p>
    <w:p w:rsidR="007A47D4" w:rsidRPr="007A47D4" w:rsidRDefault="007A47D4" w:rsidP="007A47D4">
      <w:r>
        <w:t>Escolhendo Liquidez</w:t>
      </w:r>
      <w:r>
        <w:sym w:font="Wingdings" w:char="F0E0"/>
      </w:r>
      <w:r>
        <w:t>Fundos, aparece a Tela de Liquidez:</w:t>
      </w:r>
    </w:p>
    <w:p w:rsidR="007F1AF3" w:rsidRDefault="007A47D4" w:rsidP="007A47D4">
      <w:pPr>
        <w:ind w:left="0"/>
      </w:pPr>
      <w:r>
        <w:rPr>
          <w:noProof/>
          <w:lang w:eastAsia="pt-BR"/>
        </w:rPr>
        <w:drawing>
          <wp:inline distT="0" distB="0" distL="0" distR="0">
            <wp:extent cx="6858000" cy="3244869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4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AF3" w:rsidRDefault="007A47D4" w:rsidP="007F1AF3">
      <w:pPr>
        <w:ind w:left="360"/>
      </w:pPr>
      <w:r>
        <w:t>As colunas da Tela de Liquidez são:</w:t>
      </w:r>
    </w:p>
    <w:p w:rsidR="007A47D4" w:rsidRDefault="007A47D4" w:rsidP="00CA6E5C">
      <w:pPr>
        <w:pStyle w:val="ListParagraph"/>
        <w:numPr>
          <w:ilvl w:val="0"/>
          <w:numId w:val="37"/>
        </w:numPr>
      </w:pPr>
      <w:r>
        <w:t>Cotização: o prazo para cotização em dias;</w:t>
      </w:r>
    </w:p>
    <w:p w:rsidR="007A47D4" w:rsidRDefault="007A47D4" w:rsidP="00CA6E5C">
      <w:pPr>
        <w:pStyle w:val="ListParagraph"/>
        <w:numPr>
          <w:ilvl w:val="0"/>
          <w:numId w:val="37"/>
        </w:numPr>
      </w:pPr>
      <w:r>
        <w:t xml:space="preserve">VolPL: o desvio-padrão anual das </w:t>
      </w:r>
      <w:r w:rsidRPr="007A47D4">
        <w:rPr>
          <w:u w:val="single"/>
        </w:rPr>
        <w:t>reduções</w:t>
      </w:r>
      <w:r>
        <w:t xml:space="preserve"> percentuais de patrimônio líquido do fundo;</w:t>
      </w:r>
    </w:p>
    <w:p w:rsidR="007A47D4" w:rsidRDefault="007A47D4" w:rsidP="00CA6E5C">
      <w:pPr>
        <w:pStyle w:val="ListParagraph"/>
        <w:numPr>
          <w:ilvl w:val="0"/>
          <w:numId w:val="37"/>
        </w:numPr>
      </w:pPr>
      <w:r>
        <w:t>VolResg: o desvio-padrão anual dos resgates em percentual do PL do fundo;</w:t>
      </w:r>
    </w:p>
    <w:p w:rsidR="007A47D4" w:rsidRDefault="007A47D4" w:rsidP="00CA6E5C">
      <w:pPr>
        <w:pStyle w:val="ListParagraph"/>
        <w:numPr>
          <w:ilvl w:val="0"/>
          <w:numId w:val="37"/>
        </w:numPr>
      </w:pPr>
      <w:r>
        <w:lastRenderedPageBreak/>
        <w:t>Maior Cotista: a participação do maior cotista no PL do fundo;</w:t>
      </w:r>
    </w:p>
    <w:p w:rsidR="007A47D4" w:rsidRDefault="007A47D4" w:rsidP="00CA6E5C">
      <w:pPr>
        <w:pStyle w:val="ListParagraph"/>
        <w:numPr>
          <w:ilvl w:val="0"/>
          <w:numId w:val="37"/>
        </w:numPr>
      </w:pPr>
      <w:r>
        <w:t>Compliant: o estado do enquadramento em liquidez;</w:t>
      </w:r>
    </w:p>
    <w:p w:rsidR="007A47D4" w:rsidRDefault="007A47D4" w:rsidP="00CA6E5C">
      <w:pPr>
        <w:pStyle w:val="ListParagraph"/>
        <w:numPr>
          <w:ilvl w:val="0"/>
          <w:numId w:val="37"/>
        </w:numPr>
      </w:pPr>
      <w:r>
        <w:t>Caixa Total: o caixa atual em milhões de reais;</w:t>
      </w:r>
    </w:p>
    <w:p w:rsidR="007A47D4" w:rsidRDefault="007A47D4" w:rsidP="00CA6E5C">
      <w:pPr>
        <w:pStyle w:val="ListParagraph"/>
        <w:numPr>
          <w:ilvl w:val="0"/>
          <w:numId w:val="37"/>
        </w:numPr>
      </w:pPr>
      <w:r>
        <w:t>Colunas de “1” a “252”: a variável de liquidez para cada um dos vértices temporais de 1 a 252 dias úteis, conforme o “tab” acima da tabela:</w:t>
      </w:r>
    </w:p>
    <w:p w:rsidR="007A47D4" w:rsidRDefault="007A47D4" w:rsidP="00CA6E5C">
      <w:pPr>
        <w:pStyle w:val="ListParagraph"/>
        <w:numPr>
          <w:ilvl w:val="1"/>
          <w:numId w:val="37"/>
        </w:numPr>
      </w:pPr>
      <w:r>
        <w:t>Cobertura: Necessidade do Passivo / Liquidez do Ativo</w:t>
      </w:r>
    </w:p>
    <w:p w:rsidR="00D77A8B" w:rsidRDefault="00D77A8B" w:rsidP="00D77A8B">
      <w:pPr>
        <w:pStyle w:val="ListParagraph"/>
        <w:numPr>
          <w:ilvl w:val="0"/>
          <w:numId w:val="0"/>
        </w:numPr>
        <w:ind w:left="1800"/>
      </w:pPr>
      <w:r>
        <w:t>Obs: caso essa “tab” seja selecionada, serão apresentados apenas os fundos que têm reporte obrigatório de liquidez.</w:t>
      </w:r>
    </w:p>
    <w:p w:rsidR="007A47D4" w:rsidRDefault="007A47D4" w:rsidP="00CA6E5C">
      <w:pPr>
        <w:pStyle w:val="ListParagraph"/>
        <w:numPr>
          <w:ilvl w:val="1"/>
          <w:numId w:val="37"/>
        </w:numPr>
      </w:pPr>
      <w:r>
        <w:t>Ativo: liquidez existente e formada até a data do vértice, conforme o método de liquidez de cada fundo</w:t>
      </w:r>
      <w:r w:rsidR="00610042">
        <w:t>, em R$ MM.</w:t>
      </w:r>
    </w:p>
    <w:p w:rsidR="007A47D4" w:rsidRDefault="00610042" w:rsidP="00CA6E5C">
      <w:pPr>
        <w:pStyle w:val="ListParagraph"/>
        <w:numPr>
          <w:ilvl w:val="1"/>
          <w:numId w:val="37"/>
        </w:numPr>
      </w:pPr>
      <w:r>
        <w:t>Delta.Per: a variação da liquidez do ativo de um vértice para o próximo, em R$MM</w:t>
      </w:r>
    </w:p>
    <w:p w:rsidR="00610042" w:rsidRDefault="00610042" w:rsidP="00CA6E5C">
      <w:pPr>
        <w:pStyle w:val="ListParagraph"/>
        <w:numPr>
          <w:ilvl w:val="1"/>
          <w:numId w:val="37"/>
        </w:numPr>
      </w:pPr>
      <w:r>
        <w:t>Delta.Ac: a variação da liquidez do ativo do primeiro vértice para cada um dos demais, em R$MM</w:t>
      </w:r>
    </w:p>
    <w:p w:rsidR="00610042" w:rsidRDefault="00610042" w:rsidP="00CA6E5C">
      <w:pPr>
        <w:pStyle w:val="ListParagraph"/>
        <w:numPr>
          <w:ilvl w:val="1"/>
          <w:numId w:val="37"/>
        </w:numPr>
      </w:pPr>
      <w:r>
        <w:t>Percent: a liquidez do ativo em percentual do PL</w:t>
      </w:r>
    </w:p>
    <w:p w:rsidR="00610042" w:rsidRDefault="00610042" w:rsidP="00CA6E5C">
      <w:pPr>
        <w:pStyle w:val="ListParagraph"/>
        <w:numPr>
          <w:ilvl w:val="1"/>
          <w:numId w:val="37"/>
        </w:numPr>
      </w:pPr>
      <w:r>
        <w:t>Resgates: os resgates agendados</w:t>
      </w:r>
    </w:p>
    <w:p w:rsidR="00610042" w:rsidRDefault="00610042" w:rsidP="00CA6E5C">
      <w:pPr>
        <w:pStyle w:val="ListParagraph"/>
        <w:numPr>
          <w:ilvl w:val="1"/>
          <w:numId w:val="37"/>
        </w:numPr>
      </w:pPr>
      <w:r>
        <w:t>Passivo: a necessidade total do passivo (ver)</w:t>
      </w:r>
    </w:p>
    <w:p w:rsidR="00610042" w:rsidRDefault="00610042" w:rsidP="00CA6E5C">
      <w:pPr>
        <w:pStyle w:val="ListParagraph"/>
        <w:numPr>
          <w:ilvl w:val="1"/>
          <w:numId w:val="37"/>
        </w:numPr>
      </w:pPr>
      <w:r>
        <w:t>Passivo ex-resg: a necessidade do passivo excetuando-se os resgates agendados</w:t>
      </w:r>
    </w:p>
    <w:p w:rsidR="00610042" w:rsidRDefault="00610042" w:rsidP="00CA6E5C">
      <w:pPr>
        <w:pStyle w:val="ListParagraph"/>
        <w:numPr>
          <w:ilvl w:val="1"/>
          <w:numId w:val="37"/>
        </w:numPr>
      </w:pPr>
      <w:r>
        <w:t xml:space="preserve">Net Cash: Liquidez do Ativo </w:t>
      </w:r>
      <w:r>
        <w:rPr>
          <w:i/>
        </w:rPr>
        <w:t>menos</w:t>
      </w:r>
      <w:r>
        <w:t xml:space="preserve"> Necessidade do passivo, em R$ MM</w:t>
      </w:r>
    </w:p>
    <w:p w:rsidR="00610042" w:rsidRDefault="00610042" w:rsidP="00CA6E5C">
      <w:pPr>
        <w:pStyle w:val="ListParagraph"/>
        <w:numPr>
          <w:ilvl w:val="1"/>
          <w:numId w:val="37"/>
        </w:numPr>
      </w:pPr>
      <w:r>
        <w:t xml:space="preserve">Excess Cash: Liquidez do Ativo </w:t>
      </w:r>
      <w:r>
        <w:rPr>
          <w:i/>
        </w:rPr>
        <w:t xml:space="preserve">menos </w:t>
      </w:r>
      <w:r>
        <w:t xml:space="preserve">Necesside do passivo </w:t>
      </w:r>
      <w:r>
        <w:rPr>
          <w:i/>
        </w:rPr>
        <w:t>menos</w:t>
      </w:r>
      <w:r>
        <w:t xml:space="preserve"> Caixa do Mandato, em R$MM.</w:t>
      </w:r>
    </w:p>
    <w:p w:rsidR="007A47D4" w:rsidRPr="007A47D4" w:rsidRDefault="00815092" w:rsidP="007F1AF3">
      <w:pPr>
        <w:ind w:left="360"/>
      </w:pPr>
      <w:r>
        <w:t>Clicando-se duas vezes sobre um dos fundos, ou selecionando o fundo no Cadastro de Fundos e clicando no botão “Liquidez”, é apresentado o relatório de liquidez detalhado para o fundo:</w:t>
      </w:r>
    </w:p>
    <w:p w:rsidR="007F1AF3" w:rsidRDefault="007F1AF3" w:rsidP="007F1AF3">
      <w:pPr>
        <w:ind w:left="360"/>
      </w:pPr>
    </w:p>
    <w:p w:rsidR="007F1AF3" w:rsidRDefault="007A47D4" w:rsidP="007F1AF3">
      <w:pPr>
        <w:ind w:left="360"/>
      </w:pPr>
      <w:r>
        <w:rPr>
          <w:noProof/>
          <w:lang w:eastAsia="pt-BR"/>
        </w:rPr>
        <w:lastRenderedPageBreak/>
        <w:drawing>
          <wp:inline distT="0" distB="0" distL="0" distR="0">
            <wp:extent cx="6181725" cy="3724275"/>
            <wp:effectExtent l="19050" t="0" r="9525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4AF" w:rsidRDefault="008E14AF" w:rsidP="007F1AF3">
      <w:pPr>
        <w:ind w:left="360"/>
      </w:pPr>
      <w:r>
        <w:t xml:space="preserve">O relatório detalhado de liquidez mostra, para cada um dos 7 vértices, </w:t>
      </w:r>
      <w:r w:rsidRPr="008E14AF">
        <w:rPr>
          <w:u w:val="single"/>
        </w:rPr>
        <w:t>cumulativamente</w:t>
      </w:r>
      <w:r>
        <w:t>:</w:t>
      </w:r>
    </w:p>
    <w:p w:rsidR="008E14AF" w:rsidRDefault="008E14AF" w:rsidP="00CA6E5C">
      <w:pPr>
        <w:pStyle w:val="ListParagraph"/>
        <w:numPr>
          <w:ilvl w:val="0"/>
          <w:numId w:val="42"/>
        </w:numPr>
      </w:pPr>
      <w:r>
        <w:t>a liquidez em cada um dos três critérios;</w:t>
      </w:r>
    </w:p>
    <w:p w:rsidR="008E14AF" w:rsidRDefault="008E14AF" w:rsidP="00CA6E5C">
      <w:pPr>
        <w:pStyle w:val="ListParagraph"/>
        <w:numPr>
          <w:ilvl w:val="0"/>
          <w:numId w:val="42"/>
        </w:numPr>
      </w:pPr>
      <w:r>
        <w:t>a liquidez total do ativo efetivamente utilizada nos cálculos;</w:t>
      </w:r>
    </w:p>
    <w:p w:rsidR="008E14AF" w:rsidRDefault="008E14AF" w:rsidP="00CA6E5C">
      <w:pPr>
        <w:pStyle w:val="ListParagraph"/>
        <w:numPr>
          <w:ilvl w:val="0"/>
          <w:numId w:val="42"/>
        </w:numPr>
      </w:pPr>
      <w:r>
        <w:t>os resgates programados;</w:t>
      </w:r>
    </w:p>
    <w:p w:rsidR="008E14AF" w:rsidRDefault="008E14AF" w:rsidP="00CA6E5C">
      <w:pPr>
        <w:pStyle w:val="ListParagraph"/>
        <w:numPr>
          <w:ilvl w:val="0"/>
          <w:numId w:val="42"/>
        </w:numPr>
      </w:pPr>
      <w:r>
        <w:t>os resgates estatisticamente esperados;</w:t>
      </w:r>
    </w:p>
    <w:p w:rsidR="008E14AF" w:rsidRDefault="008E14AF" w:rsidP="00CA6E5C">
      <w:pPr>
        <w:pStyle w:val="ListParagraph"/>
        <w:numPr>
          <w:ilvl w:val="0"/>
          <w:numId w:val="42"/>
        </w:numPr>
      </w:pPr>
      <w:r>
        <w:t>o ajuste de concentração;</w:t>
      </w:r>
    </w:p>
    <w:p w:rsidR="008E14AF" w:rsidRDefault="008E14AF" w:rsidP="00CA6E5C">
      <w:pPr>
        <w:pStyle w:val="ListParagraph"/>
        <w:numPr>
          <w:ilvl w:val="0"/>
          <w:numId w:val="42"/>
        </w:numPr>
      </w:pPr>
      <w:r>
        <w:t>a necessidade total do passivo (resgates agendados  + resgates esperados + ajuste de concentração);</w:t>
      </w:r>
    </w:p>
    <w:p w:rsidR="008E14AF" w:rsidRDefault="008E14AF" w:rsidP="00CA6E5C">
      <w:pPr>
        <w:pStyle w:val="ListParagraph"/>
        <w:numPr>
          <w:ilvl w:val="0"/>
          <w:numId w:val="42"/>
        </w:numPr>
      </w:pPr>
      <w:r>
        <w:t>o índice de cobertura (necessidade total do passivo / liquidez do ativo);</w:t>
      </w:r>
    </w:p>
    <w:p w:rsidR="008E14AF" w:rsidRDefault="008E14AF" w:rsidP="00CA6E5C">
      <w:pPr>
        <w:pStyle w:val="ListParagraph"/>
        <w:numPr>
          <w:ilvl w:val="0"/>
          <w:numId w:val="42"/>
        </w:numPr>
      </w:pPr>
      <w:r>
        <w:t>Se o vértice está em conformidade (“OK”), em desconformidade (“BREACH”) ou em sinal amarelo (“WARN”);</w:t>
      </w:r>
    </w:p>
    <w:p w:rsidR="008E14AF" w:rsidRDefault="008E14AF" w:rsidP="00CA6E5C">
      <w:pPr>
        <w:pStyle w:val="ListParagraph"/>
        <w:numPr>
          <w:ilvl w:val="0"/>
          <w:numId w:val="42"/>
        </w:numPr>
      </w:pPr>
      <w:r w:rsidRPr="008E14AF">
        <w:t>O “Net Cash”, liquidez tota</w:t>
      </w:r>
      <w:r>
        <w:t xml:space="preserve">l do ativo </w:t>
      </w:r>
      <w:r w:rsidRPr="008E14AF">
        <w:rPr>
          <w:i/>
        </w:rPr>
        <w:t>menos</w:t>
      </w:r>
      <w:r>
        <w:t xml:space="preserve"> necessidade total do passivo;</w:t>
      </w:r>
    </w:p>
    <w:p w:rsidR="008E14AF" w:rsidRPr="008E14AF" w:rsidRDefault="008E14AF" w:rsidP="00CA6E5C">
      <w:pPr>
        <w:pStyle w:val="ListParagraph"/>
        <w:numPr>
          <w:ilvl w:val="0"/>
          <w:numId w:val="42"/>
        </w:numPr>
      </w:pPr>
      <w:r>
        <w:t xml:space="preserve">O “Excess Cash”, </w:t>
      </w:r>
      <w:r w:rsidRPr="008E14AF">
        <w:t>liquidez tota</w:t>
      </w:r>
      <w:r>
        <w:t xml:space="preserve">l do ativo </w:t>
      </w:r>
      <w:r w:rsidRPr="008E14AF">
        <w:rPr>
          <w:i/>
        </w:rPr>
        <w:t>menos</w:t>
      </w:r>
      <w:r>
        <w:t xml:space="preserve"> necessidade total do passivo </w:t>
      </w:r>
      <w:r w:rsidRPr="008E14AF">
        <w:rPr>
          <w:i/>
        </w:rPr>
        <w:t>menos</w:t>
      </w:r>
      <w:r>
        <w:t xml:space="preserve"> caixa mínimo de mandato.</w:t>
      </w:r>
    </w:p>
    <w:p w:rsidR="008E14AF" w:rsidRDefault="008E14AF" w:rsidP="008E14AF">
      <w:pPr>
        <w:pStyle w:val="Heading2"/>
      </w:pPr>
      <w:bookmarkStart w:id="91" w:name="_Toc475092514"/>
      <w:r>
        <w:lastRenderedPageBreak/>
        <w:t>LIQUIDEZ DE CADA TÍTULO</w:t>
      </w:r>
      <w:bookmarkEnd w:id="91"/>
    </w:p>
    <w:p w:rsidR="008E14AF" w:rsidRDefault="008E14AF" w:rsidP="007F1AF3">
      <w:pPr>
        <w:ind w:left="360"/>
      </w:pPr>
      <w:r>
        <w:t>A liquidez de cada título pode ser visualizada na opção Liquidez</w:t>
      </w:r>
      <w:r>
        <w:sym w:font="Wingdings" w:char="F0E0"/>
      </w:r>
      <w:r>
        <w:t>Títulos.</w:t>
      </w:r>
    </w:p>
    <w:p w:rsidR="00891BB4" w:rsidRDefault="00891BB4" w:rsidP="007F1AF3">
      <w:pPr>
        <w:ind w:left="360"/>
      </w:pPr>
      <w:r w:rsidRPr="00891BB4">
        <w:rPr>
          <w:noProof/>
          <w:lang w:eastAsia="pt-BR"/>
        </w:rPr>
        <w:drawing>
          <wp:inline distT="0" distB="0" distL="0" distR="0">
            <wp:extent cx="6858000" cy="4875183"/>
            <wp:effectExtent l="19050" t="0" r="0" b="0"/>
            <wp:docPr id="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75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BB4" w:rsidRDefault="00891BB4" w:rsidP="00891BB4">
      <w:pPr>
        <w:ind w:left="360"/>
      </w:pPr>
      <w:r>
        <w:t xml:space="preserve">As colunas mostram a classe de liquidez do título, o ADTV (para os títulos que o têm) e, para cada vértice, a liquidez </w:t>
      </w:r>
      <w:r w:rsidRPr="00891BB4">
        <w:rPr>
          <w:u w:val="single"/>
        </w:rPr>
        <w:t>cumulativa</w:t>
      </w:r>
      <w:r>
        <w:t xml:space="preserve"> para cada R$1 detido.</w:t>
      </w:r>
    </w:p>
    <w:p w:rsidR="00891BB4" w:rsidRDefault="00891BB4" w:rsidP="007F1AF3">
      <w:pPr>
        <w:ind w:left="360"/>
      </w:pPr>
      <w:r>
        <w:t>Os botões de “Filter” e “Investidos” permitem filtrar os resultados.</w:t>
      </w:r>
    </w:p>
    <w:p w:rsidR="00891BB4" w:rsidRDefault="00891BB4" w:rsidP="007F1AF3">
      <w:pPr>
        <w:ind w:left="360"/>
      </w:pPr>
      <w:r>
        <w:t>As abas “CFLOW”, “ANBIMA” e “Delta” mostram a liquidez no critério “CFLOW”, “ANBIMA”, e a liquidez periódica (</w:t>
      </w:r>
      <w:r w:rsidRPr="00891BB4">
        <w:rPr>
          <w:u w:val="single"/>
        </w:rPr>
        <w:t>incremental</w:t>
      </w:r>
      <w:r>
        <w:t xml:space="preserve"> de um vértice para o outro) sob critério CFLOW.</w:t>
      </w:r>
    </w:p>
    <w:p w:rsidR="008E14AF" w:rsidRDefault="008E14AF" w:rsidP="008E14AF">
      <w:pPr>
        <w:pStyle w:val="Heading2"/>
      </w:pPr>
      <w:bookmarkStart w:id="92" w:name="_Toc475092515"/>
      <w:r>
        <w:lastRenderedPageBreak/>
        <w:t>CASH REPORT</w:t>
      </w:r>
      <w:bookmarkEnd w:id="92"/>
    </w:p>
    <w:p w:rsidR="008E14AF" w:rsidRPr="008E14AF" w:rsidRDefault="008E14AF" w:rsidP="008E14AF">
      <w:r>
        <w:t>O Cash Report é uma visualização da liquidez de curtíssimo prazo (até 2 meses), considerando apenas os resgates agendados e o caixa mínimo de mandato. Ele é visualizado por Liquidez</w:t>
      </w:r>
      <w:r>
        <w:sym w:font="Wingdings" w:char="F0E0"/>
      </w:r>
      <w:r>
        <w:t>Cash Report.</w:t>
      </w:r>
    </w:p>
    <w:p w:rsidR="007F1AF3" w:rsidRPr="007F1AF3" w:rsidRDefault="007F1AF3" w:rsidP="007F1AF3">
      <w:r>
        <w:rPr>
          <w:noProof/>
          <w:lang w:eastAsia="pt-BR"/>
        </w:rPr>
        <w:drawing>
          <wp:inline distT="0" distB="0" distL="0" distR="0">
            <wp:extent cx="5524500" cy="4210050"/>
            <wp:effectExtent l="19050" t="0" r="0" b="0"/>
            <wp:docPr id="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709" w:rsidRDefault="00E16973" w:rsidP="00E16973">
      <w:pPr>
        <w:pStyle w:val="Heading2"/>
      </w:pPr>
      <w:bookmarkStart w:id="93" w:name="_Toc475092516"/>
      <w:r>
        <w:t>STRESS DE LIQUIDEZ</w:t>
      </w:r>
      <w:bookmarkEnd w:id="93"/>
    </w:p>
    <w:p w:rsidR="00E16973" w:rsidRPr="00D63709" w:rsidRDefault="00E16973" w:rsidP="00D63709">
      <w:r>
        <w:t>O SRC permite avaliar a liquidez dos fundos em caso de stress, em Liquidez</w:t>
      </w:r>
      <w:r>
        <w:sym w:font="Wingdings" w:char="F0E0"/>
      </w:r>
      <w:r>
        <w:t xml:space="preserve"> Simula Liquidez. Ver </w:t>
      </w:r>
      <w:r w:rsidR="000B1A93">
        <w:fldChar w:fldCharType="begin"/>
      </w:r>
      <w:r>
        <w:instrText xml:space="preserve"> REF _Ref458699538 \r \h </w:instrText>
      </w:r>
      <w:r w:rsidR="000B1A93">
        <w:fldChar w:fldCharType="separate"/>
      </w:r>
      <w:r>
        <w:t>X-3</w:t>
      </w:r>
      <w:r w:rsidR="000B1A93">
        <w:fldChar w:fldCharType="end"/>
      </w:r>
      <w:r>
        <w:t>.</w:t>
      </w:r>
    </w:p>
    <w:p w:rsidR="000A50AF" w:rsidRDefault="000A50AF" w:rsidP="00D85C43">
      <w:pPr>
        <w:pStyle w:val="Heading1"/>
      </w:pPr>
      <w:bookmarkStart w:id="94" w:name="_Toc475092517"/>
      <w:r>
        <w:lastRenderedPageBreak/>
        <w:t>AML</w:t>
      </w:r>
      <w:r w:rsidR="00334169">
        <w:t xml:space="preserve"> E RATEIO &amp; ALOCAÇÃO</w:t>
      </w:r>
      <w:bookmarkEnd w:id="94"/>
    </w:p>
    <w:p w:rsidR="00334169" w:rsidRDefault="00334169" w:rsidP="00334169">
      <w:pPr>
        <w:pStyle w:val="Heading2"/>
      </w:pPr>
      <w:bookmarkStart w:id="95" w:name="_Toc475092518"/>
      <w:r>
        <w:t>GERAL</w:t>
      </w:r>
      <w:bookmarkEnd w:id="95"/>
    </w:p>
    <w:p w:rsidR="00334169" w:rsidRDefault="00334169" w:rsidP="00334169">
      <w:r>
        <w:t>As funções de Anti-Money-Laundering são:</w:t>
      </w:r>
    </w:p>
    <w:p w:rsidR="00334169" w:rsidRDefault="00334169" w:rsidP="00CA6E5C">
      <w:pPr>
        <w:pStyle w:val="ListParagraph"/>
        <w:numPr>
          <w:ilvl w:val="0"/>
          <w:numId w:val="43"/>
        </w:numPr>
      </w:pPr>
      <w:r>
        <w:t>Cadastrar as contrapartes e verificar se empresas, administradores ou procuradores constam de “</w:t>
      </w:r>
      <w:r w:rsidRPr="00334169">
        <w:rPr>
          <w:u w:val="single"/>
        </w:rPr>
        <w:t>blacklist</w:t>
      </w:r>
      <w:r>
        <w:t>”;</w:t>
      </w:r>
    </w:p>
    <w:p w:rsidR="00334169" w:rsidRDefault="00334169" w:rsidP="00CA6E5C">
      <w:pPr>
        <w:pStyle w:val="ListParagraph"/>
        <w:numPr>
          <w:ilvl w:val="0"/>
          <w:numId w:val="43"/>
        </w:numPr>
      </w:pPr>
      <w:r>
        <w:t xml:space="preserve">Verificar se as transações são realizadas em preços compatíveis com os </w:t>
      </w:r>
      <w:r w:rsidRPr="00334169">
        <w:rPr>
          <w:u w:val="single"/>
        </w:rPr>
        <w:t>de mercado</w:t>
      </w:r>
      <w:r>
        <w:t>;</w:t>
      </w:r>
    </w:p>
    <w:p w:rsidR="00334169" w:rsidRDefault="00334169" w:rsidP="00CA6E5C">
      <w:pPr>
        <w:pStyle w:val="ListParagraph"/>
        <w:numPr>
          <w:ilvl w:val="0"/>
          <w:numId w:val="43"/>
        </w:numPr>
      </w:pPr>
      <w:r>
        <w:t>Verificar se as transações são com contrapartes cadastradas;</w:t>
      </w:r>
    </w:p>
    <w:p w:rsidR="00334169" w:rsidRDefault="00334169" w:rsidP="00334169">
      <w:r>
        <w:t>Adicionalmente, o mesmo processo que executa a rotina de AML:</w:t>
      </w:r>
    </w:p>
    <w:p w:rsidR="00334169" w:rsidRDefault="00334169" w:rsidP="00CA6E5C">
      <w:pPr>
        <w:pStyle w:val="ListParagraph"/>
        <w:numPr>
          <w:ilvl w:val="0"/>
          <w:numId w:val="44"/>
        </w:numPr>
      </w:pPr>
      <w:r>
        <w:t xml:space="preserve">Reporta os </w:t>
      </w:r>
      <w:r w:rsidRPr="00334169">
        <w:rPr>
          <w:u w:val="single"/>
        </w:rPr>
        <w:t>day-trades</w:t>
      </w:r>
      <w:r>
        <w:t xml:space="preserve"> que aconteceram no dia;</w:t>
      </w:r>
    </w:p>
    <w:p w:rsidR="00334169" w:rsidRDefault="00334169" w:rsidP="00CA6E5C">
      <w:pPr>
        <w:pStyle w:val="ListParagraph"/>
        <w:numPr>
          <w:ilvl w:val="0"/>
          <w:numId w:val="44"/>
        </w:numPr>
      </w:pPr>
      <w:r>
        <w:t xml:space="preserve">Reporta os resultados do </w:t>
      </w:r>
      <w:r>
        <w:rPr>
          <w:u w:val="single"/>
        </w:rPr>
        <w:t>rateio e alocação</w:t>
      </w:r>
      <w:r>
        <w:t xml:space="preserve"> de ordens a preços equitativos.</w:t>
      </w:r>
    </w:p>
    <w:p w:rsidR="00334169" w:rsidRDefault="00334169" w:rsidP="00334169">
      <w:pPr>
        <w:pStyle w:val="Heading2"/>
      </w:pPr>
      <w:bookmarkStart w:id="96" w:name="_Toc475092519"/>
      <w:r>
        <w:t>PROCEDIMENTO</w:t>
      </w:r>
      <w:bookmarkEnd w:id="96"/>
    </w:p>
    <w:p w:rsidR="00334169" w:rsidRDefault="00334169" w:rsidP="00334169">
      <w:r>
        <w:t xml:space="preserve">O procedimento de AML e Rateio &amp; Alocação atua sobre a lista de </w:t>
      </w:r>
      <w:r>
        <w:rPr>
          <w:u w:val="single"/>
        </w:rPr>
        <w:t>boletas</w:t>
      </w:r>
      <w:r>
        <w:t xml:space="preserve"> que são importadas:</w:t>
      </w:r>
    </w:p>
    <w:p w:rsidR="00334169" w:rsidRDefault="00334169" w:rsidP="00CA6E5C">
      <w:pPr>
        <w:pStyle w:val="ListParagraph"/>
        <w:numPr>
          <w:ilvl w:val="0"/>
          <w:numId w:val="44"/>
        </w:numPr>
      </w:pPr>
      <w:r>
        <w:t>do sistema CRM; e</w:t>
      </w:r>
    </w:p>
    <w:p w:rsidR="00334169" w:rsidRDefault="00334169" w:rsidP="00CA6E5C">
      <w:pPr>
        <w:pStyle w:val="ListParagraph"/>
        <w:numPr>
          <w:ilvl w:val="0"/>
          <w:numId w:val="44"/>
        </w:numPr>
      </w:pPr>
      <w:r>
        <w:t>do arquivo de confirmação para as corretoras.</w:t>
      </w:r>
    </w:p>
    <w:p w:rsidR="00334169" w:rsidRDefault="00334169" w:rsidP="00334169">
      <w:r>
        <w:t xml:space="preserve">O processamento ocorre </w:t>
      </w:r>
      <w:r>
        <w:rPr>
          <w:u w:val="single"/>
        </w:rPr>
        <w:t>independente</w:t>
      </w:r>
      <w:r>
        <w:t xml:space="preserve"> da rotina de risco e compliance, a qual se baseia na importação de </w:t>
      </w:r>
      <w:r>
        <w:rPr>
          <w:u w:val="single"/>
        </w:rPr>
        <w:t>carteiras</w:t>
      </w:r>
      <w:r>
        <w:t xml:space="preserve">. </w:t>
      </w:r>
    </w:p>
    <w:p w:rsidR="00334169" w:rsidRDefault="00334169" w:rsidP="00334169">
      <w:r>
        <w:rPr>
          <w:u w:val="single"/>
        </w:rPr>
        <w:t>Não</w:t>
      </w:r>
      <w:r>
        <w:t xml:space="preserve"> há correspondência necessária entre os títulos das carteiras e os títulos que constam das boletas.</w:t>
      </w:r>
    </w:p>
    <w:p w:rsidR="00CA6E5C" w:rsidRDefault="00CA6E5C" w:rsidP="00CA6E5C">
      <w:r>
        <w:rPr>
          <w:u w:val="single"/>
        </w:rPr>
        <w:t>Não</w:t>
      </w:r>
      <w:r>
        <w:t xml:space="preserve"> há correspondência necessária entre os fundos cadastrados no SRC e as partes que constam das boletas.</w:t>
      </w:r>
    </w:p>
    <w:p w:rsidR="00334169" w:rsidRDefault="00334169" w:rsidP="00334169">
      <w:r>
        <w:t xml:space="preserve">O SRC </w:t>
      </w:r>
      <w:r>
        <w:rPr>
          <w:u w:val="single"/>
        </w:rPr>
        <w:t>não</w:t>
      </w:r>
      <w:r>
        <w:t xml:space="preserve"> verifica a consistência entre as carteiras e as movimentações (boletas).</w:t>
      </w:r>
    </w:p>
    <w:p w:rsidR="00334169" w:rsidRPr="00F03FC3" w:rsidRDefault="00334169" w:rsidP="00334169">
      <w:r>
        <w:t xml:space="preserve">A importação ou re-importação e reporte </w:t>
      </w:r>
      <w:r w:rsidR="00F03FC3">
        <w:t xml:space="preserve">ou re-reporte </w:t>
      </w:r>
      <w:r>
        <w:t>de AML (e de Rateio&amp;Alocação)</w:t>
      </w:r>
      <w:r w:rsidR="00F03FC3">
        <w:t xml:space="preserve"> </w:t>
      </w:r>
      <w:r w:rsidR="00F03FC3">
        <w:rPr>
          <w:u w:val="single"/>
        </w:rPr>
        <w:t>não</w:t>
      </w:r>
      <w:r w:rsidR="00F03FC3">
        <w:t xml:space="preserve"> afeta as carteiras nem os resultados de risco e compliance.</w:t>
      </w:r>
    </w:p>
    <w:p w:rsidR="00334169" w:rsidRPr="00334169" w:rsidRDefault="00334169" w:rsidP="00334169"/>
    <w:p w:rsidR="00504273" w:rsidRDefault="00504273" w:rsidP="00504273">
      <w:pPr>
        <w:pStyle w:val="Heading1"/>
      </w:pPr>
      <w:bookmarkStart w:id="97" w:name="_Ref458667286"/>
      <w:bookmarkStart w:id="98" w:name="_Toc475092520"/>
      <w:r>
        <w:lastRenderedPageBreak/>
        <w:t>SIMULAÇÃO</w:t>
      </w:r>
      <w:bookmarkEnd w:id="97"/>
      <w:bookmarkEnd w:id="98"/>
    </w:p>
    <w:p w:rsidR="00504273" w:rsidRDefault="00504273" w:rsidP="00497CF1">
      <w:pPr>
        <w:pStyle w:val="Heading2"/>
      </w:pPr>
      <w:bookmarkStart w:id="99" w:name="_Toc475092521"/>
      <w:r w:rsidRPr="00362736">
        <w:t>GERAL</w:t>
      </w:r>
      <w:bookmarkEnd w:id="99"/>
    </w:p>
    <w:p w:rsidR="00362736" w:rsidRDefault="00362736" w:rsidP="00362736">
      <w:r>
        <w:t>O SRC permite a execução em “Modo Simula</w:t>
      </w:r>
      <w:r w:rsidR="0000514C">
        <w:t>ção</w:t>
      </w:r>
      <w:r>
        <w:t xml:space="preserve">”, no qual o usuário pode alterar livremente os parâmetros do sistema </w:t>
      </w:r>
      <w:r w:rsidR="0000514C">
        <w:t xml:space="preserve">e verificar os impactos das alterações, </w:t>
      </w:r>
      <w:r>
        <w:t xml:space="preserve">sem afetar o que está gravado na base de dados, e restaurar os dados </w:t>
      </w:r>
      <w:r w:rsidR="0000514C">
        <w:t xml:space="preserve">originais </w:t>
      </w:r>
      <w:r>
        <w:t>quando desejar.</w:t>
      </w:r>
    </w:p>
    <w:p w:rsidR="00362736" w:rsidRDefault="00362736" w:rsidP="00CA6E5C">
      <w:pPr>
        <w:pStyle w:val="ListParagraph"/>
        <w:numPr>
          <w:ilvl w:val="0"/>
          <w:numId w:val="26"/>
        </w:numPr>
      </w:pPr>
      <w:r>
        <w:t>Simulação</w:t>
      </w:r>
      <w:r>
        <w:sym w:font="Wingdings" w:char="F0E0"/>
      </w:r>
      <w:r w:rsidR="0000514C">
        <w:t>Simula: entra no Modo Simulação;</w:t>
      </w:r>
    </w:p>
    <w:p w:rsidR="0000514C" w:rsidRDefault="0000514C" w:rsidP="00CA6E5C">
      <w:pPr>
        <w:pStyle w:val="ListParagraph"/>
        <w:numPr>
          <w:ilvl w:val="0"/>
          <w:numId w:val="26"/>
        </w:numPr>
      </w:pPr>
      <w:r>
        <w:t>Simulação</w:t>
      </w:r>
      <w:r>
        <w:sym w:font="Wingdings" w:char="F0E0"/>
      </w:r>
      <w:r>
        <w:t>Restaura: sai do Modo Simulação e restaura os dados originais.</w:t>
      </w:r>
    </w:p>
    <w:p w:rsidR="00362736" w:rsidRDefault="00362736" w:rsidP="00362736">
      <w:r>
        <w:t>No mod</w:t>
      </w:r>
      <w:r w:rsidR="0000514C">
        <w:t>o de Simulação, a</w:t>
      </w:r>
      <w:r w:rsidR="00882B72">
        <w:t xml:space="preserve"> barra de status mostra “SIMULAD</w:t>
      </w:r>
      <w:r w:rsidR="0000514C">
        <w:t>O”</w:t>
      </w:r>
    </w:p>
    <w:p w:rsidR="0000514C" w:rsidRDefault="00882B72" w:rsidP="00882B72">
      <w:r>
        <w:rPr>
          <w:noProof/>
          <w:lang w:eastAsia="pt-BR"/>
        </w:rPr>
        <w:drawing>
          <wp:inline distT="0" distB="0" distL="0" distR="0">
            <wp:extent cx="6400800" cy="240030"/>
            <wp:effectExtent l="19050" t="0" r="0" b="0"/>
            <wp:docPr id="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14C" w:rsidRDefault="0000514C" w:rsidP="00362736">
      <w:r w:rsidRPr="0000514C">
        <w:rPr>
          <w:u w:val="single"/>
        </w:rPr>
        <w:t>Podem</w:t>
      </w:r>
      <w:r>
        <w:t xml:space="preserve"> ser </w:t>
      </w:r>
      <w:r w:rsidR="00173D8B">
        <w:t>simuladas</w:t>
      </w:r>
      <w:r>
        <w:t xml:space="preserve"> durante o modo simulação</w:t>
      </w:r>
      <w:r w:rsidR="00173D8B">
        <w:t xml:space="preserve"> alterações em</w:t>
      </w:r>
      <w:r>
        <w:t>:</w:t>
      </w:r>
    </w:p>
    <w:p w:rsidR="0000514C" w:rsidRDefault="00173D8B" w:rsidP="00CA6E5C">
      <w:pPr>
        <w:pStyle w:val="ListParagraph"/>
        <w:numPr>
          <w:ilvl w:val="0"/>
          <w:numId w:val="27"/>
        </w:numPr>
      </w:pPr>
      <w:r>
        <w:t>R</w:t>
      </w:r>
      <w:r w:rsidR="0000514C">
        <w:t>regras;</w:t>
      </w:r>
    </w:p>
    <w:p w:rsidR="0000514C" w:rsidRDefault="00173D8B" w:rsidP="00CA6E5C">
      <w:pPr>
        <w:pStyle w:val="ListParagraph"/>
        <w:numPr>
          <w:ilvl w:val="0"/>
          <w:numId w:val="27"/>
        </w:numPr>
      </w:pPr>
      <w:r>
        <w:t>P</w:t>
      </w:r>
      <w:r w:rsidR="0000514C">
        <w:t>ropriedades dos títulos;</w:t>
      </w:r>
    </w:p>
    <w:p w:rsidR="0000514C" w:rsidRDefault="00173D8B" w:rsidP="00CA6E5C">
      <w:pPr>
        <w:pStyle w:val="ListParagraph"/>
        <w:numPr>
          <w:ilvl w:val="0"/>
          <w:numId w:val="27"/>
        </w:numPr>
      </w:pPr>
      <w:r>
        <w:t>C</w:t>
      </w:r>
      <w:r w:rsidR="0000514C">
        <w:t>adastros dos fundos;</w:t>
      </w:r>
    </w:p>
    <w:p w:rsidR="00DC7293" w:rsidRDefault="00173D8B" w:rsidP="00CA6E5C">
      <w:pPr>
        <w:pStyle w:val="ListParagraph"/>
        <w:numPr>
          <w:ilvl w:val="0"/>
          <w:numId w:val="27"/>
        </w:numPr>
      </w:pPr>
      <w:r>
        <w:t>C</w:t>
      </w:r>
      <w:r w:rsidR="00DC7293">
        <w:t xml:space="preserve">arteiras, mediante a simulação de transações (ver </w:t>
      </w:r>
      <w:r w:rsidR="000B1A93">
        <w:fldChar w:fldCharType="begin"/>
      </w:r>
      <w:r w:rsidR="00DC7293">
        <w:instrText xml:space="preserve"> REF _Ref458692734 \r \h </w:instrText>
      </w:r>
      <w:r w:rsidR="000B1A93">
        <w:fldChar w:fldCharType="separate"/>
      </w:r>
      <w:r w:rsidR="00DC7293">
        <w:t>X-2</w:t>
      </w:r>
      <w:r w:rsidR="000B1A93">
        <w:fldChar w:fldCharType="end"/>
      </w:r>
      <w:r w:rsidR="00DC7293">
        <w:t xml:space="preserve"> abaixo);</w:t>
      </w:r>
    </w:p>
    <w:p w:rsidR="00DC7293" w:rsidRDefault="00DC7293" w:rsidP="00CA6E5C">
      <w:pPr>
        <w:pStyle w:val="ListParagraph"/>
        <w:numPr>
          <w:ilvl w:val="0"/>
          <w:numId w:val="27"/>
        </w:numPr>
      </w:pPr>
      <w:r>
        <w:t xml:space="preserve">Algumas características do fluxo de caixa dos fundos e do comportamento do passivo, mediante a simulação de liquidez (ver </w:t>
      </w:r>
      <w:r w:rsidR="000B1A93">
        <w:fldChar w:fldCharType="begin"/>
      </w:r>
      <w:r>
        <w:instrText xml:space="preserve"> REF _Ref458699538 \r \h </w:instrText>
      </w:r>
      <w:r w:rsidR="000B1A93">
        <w:fldChar w:fldCharType="separate"/>
      </w:r>
      <w:r>
        <w:t>X-3</w:t>
      </w:r>
      <w:r w:rsidR="000B1A93">
        <w:fldChar w:fldCharType="end"/>
      </w:r>
      <w:r>
        <w:t xml:space="preserve"> abaixo).</w:t>
      </w:r>
    </w:p>
    <w:p w:rsidR="00173D8B" w:rsidRDefault="00173D8B" w:rsidP="00173D8B">
      <w:r>
        <w:t>As alterações feitas em modo de simulação não são salvas definitivamente na base de dados.</w:t>
      </w:r>
    </w:p>
    <w:p w:rsidR="0000514C" w:rsidRPr="0000514C" w:rsidRDefault="0000514C" w:rsidP="00362736">
      <w:r w:rsidRPr="0000514C">
        <w:rPr>
          <w:u w:val="single"/>
        </w:rPr>
        <w:t>Não podem</w:t>
      </w:r>
      <w:r>
        <w:t xml:space="preserve"> ser alterados durante o modo simulação:</w:t>
      </w:r>
    </w:p>
    <w:p w:rsidR="00362736" w:rsidRDefault="0000514C" w:rsidP="00CA6E5C">
      <w:pPr>
        <w:pStyle w:val="ListParagraph"/>
        <w:numPr>
          <w:ilvl w:val="0"/>
          <w:numId w:val="28"/>
        </w:numPr>
        <w:jc w:val="left"/>
      </w:pPr>
      <w:r>
        <w:t>As séries históricas;</w:t>
      </w:r>
    </w:p>
    <w:p w:rsidR="0000514C" w:rsidRDefault="0000514C" w:rsidP="00CA6E5C">
      <w:pPr>
        <w:pStyle w:val="ListParagraph"/>
        <w:numPr>
          <w:ilvl w:val="0"/>
          <w:numId w:val="28"/>
        </w:numPr>
        <w:jc w:val="left"/>
      </w:pPr>
      <w:r>
        <w:t>Os preços de fechamento;</w:t>
      </w:r>
    </w:p>
    <w:p w:rsidR="0000514C" w:rsidRDefault="0000514C" w:rsidP="00CA6E5C">
      <w:pPr>
        <w:pStyle w:val="ListParagraph"/>
        <w:numPr>
          <w:ilvl w:val="0"/>
          <w:numId w:val="28"/>
        </w:numPr>
        <w:jc w:val="left"/>
      </w:pPr>
      <w:r>
        <w:t>Os registros de trades para AML.</w:t>
      </w:r>
    </w:p>
    <w:p w:rsidR="00362736" w:rsidRPr="00362736" w:rsidRDefault="00362736" w:rsidP="00497CF1">
      <w:pPr>
        <w:pStyle w:val="Heading2"/>
      </w:pPr>
      <w:bookmarkStart w:id="100" w:name="_Ref458692734"/>
      <w:bookmarkStart w:id="101" w:name="_Toc475092522"/>
      <w:r>
        <w:t>SIMULAÇÃO DE TRANSAÇÕES</w:t>
      </w:r>
      <w:bookmarkEnd w:id="100"/>
      <w:bookmarkEnd w:id="101"/>
    </w:p>
    <w:p w:rsidR="00504273" w:rsidRDefault="00504273" w:rsidP="00504273">
      <w:r>
        <w:t xml:space="preserve">O SRC permite </w:t>
      </w:r>
      <w:r w:rsidRPr="00362736">
        <w:t>simular</w:t>
      </w:r>
      <w:r w:rsidR="00AB082B">
        <w:t xml:space="preserve"> os efeitos </w:t>
      </w:r>
      <w:r>
        <w:t>de uma compra e venda antes de realizá-la.</w:t>
      </w:r>
    </w:p>
    <w:p w:rsidR="00504273" w:rsidRDefault="00504273" w:rsidP="00504273">
      <w:r>
        <w:lastRenderedPageBreak/>
        <w:t xml:space="preserve">O SRC </w:t>
      </w:r>
      <w:r>
        <w:rPr>
          <w:u w:val="single"/>
        </w:rPr>
        <w:t>não</w:t>
      </w:r>
      <w:r>
        <w:t xml:space="preserve"> pode bloquear a execução de uma compra e venda que esteja fora de compliance</w:t>
      </w:r>
      <w:r w:rsidR="00AB082B">
        <w:t xml:space="preserve"> ou ultrapasse limites</w:t>
      </w:r>
      <w:r>
        <w:t xml:space="preserve"> (vá ocasionar desenquadramento da carteira) porque o SRC não é conectado aos sistemas de transmissão de ordens. Todo processo de verificar a adequação dos negócios pré-trade é </w:t>
      </w:r>
      <w:r>
        <w:rPr>
          <w:u w:val="single"/>
        </w:rPr>
        <w:t>manual</w:t>
      </w:r>
      <w:r>
        <w:t>.</w:t>
      </w:r>
    </w:p>
    <w:p w:rsidR="00504273" w:rsidRDefault="00504273" w:rsidP="00504273">
      <w:r>
        <w:t xml:space="preserve">Escolhendo </w:t>
      </w:r>
      <w:r w:rsidR="00AB082B">
        <w:t>Simulação</w:t>
      </w:r>
      <w:r>
        <w:sym w:font="Wingdings" w:char="F0E0"/>
      </w:r>
      <w:r>
        <w:t xml:space="preserve">Simula C/V mostra o Formulário de Simulação de </w:t>
      </w:r>
      <w:r w:rsidR="0000514C">
        <w:t>Operação</w:t>
      </w:r>
      <w:r>
        <w:t>:</w:t>
      </w:r>
    </w:p>
    <w:p w:rsidR="00504273" w:rsidRDefault="00504273" w:rsidP="00504273">
      <w:r>
        <w:rPr>
          <w:noProof/>
          <w:lang w:eastAsia="pt-BR"/>
        </w:rPr>
        <w:drawing>
          <wp:inline distT="0" distB="0" distL="0" distR="0">
            <wp:extent cx="3495675" cy="2257425"/>
            <wp:effectExtent l="19050" t="0" r="952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273" w:rsidRDefault="00504273" w:rsidP="00CA6E5C">
      <w:pPr>
        <w:pStyle w:val="ListParagraph"/>
        <w:numPr>
          <w:ilvl w:val="0"/>
          <w:numId w:val="24"/>
        </w:numPr>
      </w:pPr>
      <w:r>
        <w:t>“</w:t>
      </w:r>
      <w:r w:rsidRPr="0006739A">
        <w:rPr>
          <w:u w:val="single"/>
        </w:rPr>
        <w:t>Comprador</w:t>
      </w:r>
      <w:r>
        <w:t>” é o fundo comprado, ou “=MERCADO=” caso o fundo vendedor vá vender para o mercado.</w:t>
      </w:r>
    </w:p>
    <w:p w:rsidR="00504273" w:rsidRDefault="00504273" w:rsidP="00CA6E5C">
      <w:pPr>
        <w:pStyle w:val="ListParagraph"/>
        <w:numPr>
          <w:ilvl w:val="0"/>
          <w:numId w:val="24"/>
        </w:numPr>
      </w:pPr>
      <w:r>
        <w:t>“</w:t>
      </w:r>
      <w:r w:rsidRPr="0006739A">
        <w:rPr>
          <w:u w:val="single"/>
        </w:rPr>
        <w:t>Vendedor</w:t>
      </w:r>
      <w:r>
        <w:t>” é o fundo vendedor, ou “=MERCADO=” caso o fundo comprador vá comprar do mercado.</w:t>
      </w:r>
    </w:p>
    <w:p w:rsidR="00504273" w:rsidRDefault="00504273" w:rsidP="00CA6E5C">
      <w:pPr>
        <w:pStyle w:val="ListParagraph"/>
        <w:numPr>
          <w:ilvl w:val="0"/>
          <w:numId w:val="24"/>
        </w:numPr>
      </w:pPr>
      <w:r>
        <w:t>“</w:t>
      </w:r>
      <w:r w:rsidRPr="0006739A">
        <w:rPr>
          <w:u w:val="single"/>
        </w:rPr>
        <w:t>Papel Compra</w:t>
      </w:r>
      <w:r>
        <w:t xml:space="preserve">” é o título a ser adquirido. </w:t>
      </w:r>
    </w:p>
    <w:p w:rsidR="00504273" w:rsidRDefault="00504273" w:rsidP="00504273">
      <w:pPr>
        <w:pStyle w:val="ListParagraph"/>
        <w:numPr>
          <w:ilvl w:val="0"/>
          <w:numId w:val="0"/>
        </w:numPr>
        <w:ind w:left="1440"/>
      </w:pPr>
      <w:r w:rsidRPr="0006739A">
        <w:rPr>
          <w:u w:val="single"/>
        </w:rPr>
        <w:t xml:space="preserve">O título </w:t>
      </w:r>
      <w:r>
        <w:rPr>
          <w:u w:val="single"/>
        </w:rPr>
        <w:t xml:space="preserve">a ser adquirido </w:t>
      </w:r>
      <w:r w:rsidRPr="0006739A">
        <w:rPr>
          <w:u w:val="single"/>
        </w:rPr>
        <w:t>já tem que estar cadastrado para sua aquisição ser simulada</w:t>
      </w:r>
      <w:r>
        <w:t>.</w:t>
      </w:r>
    </w:p>
    <w:p w:rsidR="00504273" w:rsidRDefault="00504273" w:rsidP="00CA6E5C">
      <w:pPr>
        <w:pStyle w:val="ListParagraph"/>
        <w:numPr>
          <w:ilvl w:val="0"/>
          <w:numId w:val="24"/>
        </w:numPr>
      </w:pPr>
      <w:r>
        <w:t>“</w:t>
      </w:r>
      <w:r w:rsidRPr="0006739A">
        <w:rPr>
          <w:u w:val="single"/>
        </w:rPr>
        <w:t>Papel Cash</w:t>
      </w:r>
      <w:r>
        <w:t>” é o título que será usado para gerar caixa para liquidar a compra. Geralmente será um dos fundos de liquidez, ou títulos públicos, compromissadas, etc.</w:t>
      </w:r>
    </w:p>
    <w:p w:rsidR="00504273" w:rsidRDefault="00504273" w:rsidP="00CA6E5C">
      <w:pPr>
        <w:pStyle w:val="ListParagraph"/>
        <w:numPr>
          <w:ilvl w:val="0"/>
          <w:numId w:val="24"/>
        </w:numPr>
      </w:pPr>
      <w:r>
        <w:t>“</w:t>
      </w:r>
      <w:r w:rsidRPr="0006739A">
        <w:rPr>
          <w:u w:val="single"/>
        </w:rPr>
        <w:t>Valor</w:t>
      </w:r>
      <w:r>
        <w:t>” é o valor monetário da transação.</w:t>
      </w:r>
    </w:p>
    <w:p w:rsidR="00504273" w:rsidRDefault="00504273" w:rsidP="00504273">
      <w:r>
        <w:t>Ao teclar “SIMULAR”, o SRC irá:</w:t>
      </w:r>
    </w:p>
    <w:p w:rsidR="00504273" w:rsidRDefault="00504273" w:rsidP="00CA6E5C">
      <w:pPr>
        <w:pStyle w:val="ListParagraph"/>
        <w:numPr>
          <w:ilvl w:val="0"/>
          <w:numId w:val="25"/>
        </w:numPr>
      </w:pPr>
      <w:r>
        <w:t>Identificar os fundos comprador e vendedor;</w:t>
      </w:r>
    </w:p>
    <w:p w:rsidR="00504273" w:rsidRDefault="00504273" w:rsidP="00CA6E5C">
      <w:pPr>
        <w:pStyle w:val="ListParagraph"/>
        <w:numPr>
          <w:ilvl w:val="0"/>
          <w:numId w:val="25"/>
        </w:numPr>
      </w:pPr>
      <w:r>
        <w:t>Se o Vendedor for um fundo, verificar se ele possui o “Papel Compra”;</w:t>
      </w:r>
    </w:p>
    <w:p w:rsidR="00504273" w:rsidRDefault="00504273" w:rsidP="00CA6E5C">
      <w:pPr>
        <w:pStyle w:val="ListParagraph"/>
        <w:numPr>
          <w:ilvl w:val="0"/>
          <w:numId w:val="25"/>
        </w:numPr>
      </w:pPr>
      <w:r>
        <w:t>Se o Comprador for um fundo, verificar se ele possui o “Papel Cash”;</w:t>
      </w:r>
    </w:p>
    <w:p w:rsidR="00504273" w:rsidRDefault="00504273" w:rsidP="00CA6E5C">
      <w:pPr>
        <w:pStyle w:val="ListParagraph"/>
        <w:numPr>
          <w:ilvl w:val="0"/>
          <w:numId w:val="25"/>
        </w:numPr>
      </w:pPr>
      <w:r>
        <w:t>Verificar se a ordem pode ser executada com os estoques de cada fundo e reduzí-la se necessário. Por exemplo: se o usuário mandar adquirir R$ 10 MM, mas só tiver R$ 3 MM de “Papel Cash”, a transação será limitada a R$ 3MM;</w:t>
      </w:r>
    </w:p>
    <w:p w:rsidR="00504273" w:rsidRDefault="00504273" w:rsidP="00CA6E5C">
      <w:pPr>
        <w:pStyle w:val="ListParagraph"/>
        <w:numPr>
          <w:ilvl w:val="0"/>
          <w:numId w:val="25"/>
        </w:numPr>
      </w:pPr>
      <w:r>
        <w:lastRenderedPageBreak/>
        <w:t>Pede para o usuário confirmar a operação (já ajustada conforme acima);</w:t>
      </w:r>
    </w:p>
    <w:p w:rsidR="00504273" w:rsidRDefault="00504273" w:rsidP="00CA6E5C">
      <w:pPr>
        <w:pStyle w:val="ListParagraph"/>
        <w:numPr>
          <w:ilvl w:val="0"/>
          <w:numId w:val="25"/>
        </w:numPr>
      </w:pPr>
      <w:r>
        <w:t xml:space="preserve">Após o aceite do usuário, o SRC entrará em </w:t>
      </w:r>
      <w:r w:rsidRPr="00366E96">
        <w:rPr>
          <w:u w:val="single"/>
        </w:rPr>
        <w:t>modo simulado</w:t>
      </w:r>
      <w:r>
        <w:t>. A carteira será ajustada pelo negócio simulada e recalculada. Todas as telas do SRC mostrarão o estado da carteira após o trade simulado.</w:t>
      </w:r>
    </w:p>
    <w:p w:rsidR="00504273" w:rsidRDefault="00504273" w:rsidP="00504273">
      <w:r>
        <w:t xml:space="preserve">Para abandonar a simulação e retornar à carteira real, o usuário aciona </w:t>
      </w:r>
      <w:r w:rsidR="00AB082B">
        <w:t>Simulação</w:t>
      </w:r>
      <w:r>
        <w:sym w:font="Wingdings" w:char="F0E0"/>
      </w:r>
      <w:r>
        <w:t>Restaura.</w:t>
      </w:r>
    </w:p>
    <w:p w:rsidR="00897CEC" w:rsidRPr="0006739A" w:rsidRDefault="00897CEC" w:rsidP="00897CEC">
      <w:pPr>
        <w:pStyle w:val="Heading2"/>
      </w:pPr>
      <w:bookmarkStart w:id="102" w:name="_Ref458699538"/>
      <w:bookmarkStart w:id="103" w:name="_Toc475092523"/>
      <w:r>
        <w:t>SIMULAÇÃO DE LIQUIDEZ</w:t>
      </w:r>
      <w:bookmarkEnd w:id="102"/>
      <w:bookmarkEnd w:id="103"/>
    </w:p>
    <w:p w:rsidR="00AB082B" w:rsidRDefault="00DC7293" w:rsidP="00504273">
      <w:r>
        <w:t>O SRC permite simular a liquidez dos fundos em cenários diferentes.</w:t>
      </w:r>
    </w:p>
    <w:p w:rsidR="00DC7293" w:rsidRDefault="00DC7293" w:rsidP="00504273">
      <w:r>
        <w:t>Escolhendo Simulação</w:t>
      </w:r>
      <w:r>
        <w:sym w:font="Wingdings" w:char="F0E0"/>
      </w:r>
      <w:r>
        <w:t>Simula Liquidez ou Liquidez</w:t>
      </w:r>
      <w:r>
        <w:sym w:font="Wingdings" w:char="F0E0"/>
      </w:r>
      <w:r>
        <w:t>Simula Liquidez, surge o Formulário de Simulação de Liquidez.</w:t>
      </w:r>
    </w:p>
    <w:p w:rsidR="00DC7293" w:rsidRDefault="00DC7293" w:rsidP="00504273">
      <w:r>
        <w:rPr>
          <w:noProof/>
          <w:lang w:eastAsia="pt-BR"/>
        </w:rPr>
        <w:drawing>
          <wp:inline distT="0" distB="0" distL="0" distR="0">
            <wp:extent cx="3438525" cy="3362325"/>
            <wp:effectExtent l="19050" t="0" r="9525" b="0"/>
            <wp:docPr id="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293" w:rsidRDefault="00DC7293" w:rsidP="00CA6E5C">
      <w:pPr>
        <w:pStyle w:val="ListParagraph"/>
        <w:numPr>
          <w:ilvl w:val="0"/>
          <w:numId w:val="35"/>
        </w:numPr>
      </w:pPr>
      <w:r>
        <w:t>Se o 1º box (“Multiplicar a volatilidade...”) estiver marcad</w:t>
      </w:r>
      <w:r w:rsidR="00E16973">
        <w:t>o, a volatilidade de resgates de todos os</w:t>
      </w:r>
      <w:r>
        <w:t xml:space="preserve"> fundo</w:t>
      </w:r>
      <w:r w:rsidR="00E16973">
        <w:t>s</w:t>
      </w:r>
      <w:r>
        <w:t xml:space="preserve"> será multiplicada pelo fator informado.</w:t>
      </w:r>
    </w:p>
    <w:p w:rsidR="00DC7293" w:rsidRDefault="00DC7293" w:rsidP="00CA6E5C">
      <w:pPr>
        <w:pStyle w:val="ListParagraph"/>
        <w:numPr>
          <w:ilvl w:val="0"/>
          <w:numId w:val="35"/>
        </w:numPr>
      </w:pPr>
      <w:r>
        <w:t>Se o 2º box (“Afetar a liquidez...”) estiver marcado, a liquidez dos títulos elencados será alterada conforme a opção abaixo:</w:t>
      </w:r>
    </w:p>
    <w:p w:rsidR="00DC7293" w:rsidRDefault="00DC7293" w:rsidP="00CA6E5C">
      <w:pPr>
        <w:pStyle w:val="ListParagraph"/>
        <w:numPr>
          <w:ilvl w:val="1"/>
          <w:numId w:val="35"/>
        </w:numPr>
      </w:pPr>
      <w:r>
        <w:t>Zerar todos os fluxos de caixa nos próximos “x” meses definidos pelo usuário</w:t>
      </w:r>
    </w:p>
    <w:p w:rsidR="00DC7293" w:rsidRDefault="00DC7293" w:rsidP="00CA6E5C">
      <w:pPr>
        <w:pStyle w:val="ListParagraph"/>
        <w:numPr>
          <w:ilvl w:val="1"/>
          <w:numId w:val="35"/>
        </w:numPr>
      </w:pPr>
      <w:r>
        <w:t>Liquidar todos os títulos, ou seja, trocá-los por caixa.</w:t>
      </w:r>
    </w:p>
    <w:p w:rsidR="00E16973" w:rsidRPr="00E16973" w:rsidRDefault="00E16973" w:rsidP="00216D07">
      <w:r>
        <w:lastRenderedPageBreak/>
        <w:t xml:space="preserve">A simulação de liquidez afeta </w:t>
      </w:r>
      <w:r>
        <w:rPr>
          <w:u w:val="single"/>
        </w:rPr>
        <w:t>todos</w:t>
      </w:r>
      <w:r>
        <w:t xml:space="preserve"> os fundos. Não é possível modificar a liquidez para apenas alguns fundos.</w:t>
      </w:r>
    </w:p>
    <w:p w:rsidR="00216D07" w:rsidRDefault="00216D07" w:rsidP="00216D07">
      <w:r>
        <w:t xml:space="preserve">Qualquer que seja a simulação, o SRC entrará em </w:t>
      </w:r>
      <w:r w:rsidR="001F7430">
        <w:rPr>
          <w:u w:val="single"/>
        </w:rPr>
        <w:t>modo simulado</w:t>
      </w:r>
      <w:r w:rsidR="001F7430">
        <w:t>.</w:t>
      </w:r>
    </w:p>
    <w:p w:rsidR="001F7430" w:rsidRDefault="001F7430" w:rsidP="001F7430">
      <w:r>
        <w:t>Para abandonar a simulação e retornar ás condições reais, o usuário aciona Simulação</w:t>
      </w:r>
      <w:r>
        <w:sym w:font="Wingdings" w:char="F0E0"/>
      </w:r>
      <w:r>
        <w:t>Restaura.</w:t>
      </w:r>
    </w:p>
    <w:p w:rsidR="001F7430" w:rsidRPr="001F7430" w:rsidRDefault="001F7430" w:rsidP="00216D07"/>
    <w:p w:rsidR="00504273" w:rsidRDefault="00504273" w:rsidP="00504273">
      <w:pPr>
        <w:pStyle w:val="Heading1"/>
      </w:pPr>
      <w:bookmarkStart w:id="104" w:name="_Toc475092524"/>
      <w:r>
        <w:lastRenderedPageBreak/>
        <w:t>HISTÓRICOS</w:t>
      </w:r>
      <w:bookmarkEnd w:id="104"/>
    </w:p>
    <w:p w:rsidR="00F1252C" w:rsidRDefault="00F1252C" w:rsidP="00086DD1">
      <w:pPr>
        <w:pStyle w:val="Heading2"/>
      </w:pPr>
      <w:bookmarkStart w:id="105" w:name="_Toc475092525"/>
      <w:r>
        <w:t>GERAL</w:t>
      </w:r>
      <w:bookmarkEnd w:id="105"/>
    </w:p>
    <w:p w:rsidR="00F1252C" w:rsidRDefault="00F1252C" w:rsidP="00F1252C">
      <w:r>
        <w:t>O SCR permite a consulta aos históricos armazenados na base de dados através do menu “Históricos”: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Compliance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breaches de compliance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resultados de risco de mercado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concentração (apenas das propriedades configuradas para o Relatório Diário)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risco de liquidez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Cash Report histórico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compliance de AML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pedidos de resgate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pedidos de transferência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maiores cotistas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Séries históricas de mercado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ADTV de títulos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PL de fundos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Carteira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Trades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compliance de alocação de ordens</w:t>
      </w:r>
    </w:p>
    <w:p w:rsidR="00086DD1" w:rsidRDefault="00086DD1" w:rsidP="00086DD1">
      <w:pPr>
        <w:pStyle w:val="ListParagraph"/>
        <w:numPr>
          <w:ilvl w:val="0"/>
          <w:numId w:val="47"/>
        </w:numPr>
      </w:pPr>
      <w:r>
        <w:t>Histórico de fontes de dados das posições</w:t>
      </w:r>
      <w:r w:rsidR="00C94F81">
        <w:t>.</w:t>
      </w:r>
    </w:p>
    <w:p w:rsidR="00C94F81" w:rsidRDefault="00C94F81" w:rsidP="00C94F81">
      <w:r>
        <w:t xml:space="preserve">O histórico de </w:t>
      </w:r>
      <w:r w:rsidR="00972E0B" w:rsidRPr="00972E0B">
        <w:rPr>
          <w:u w:val="single"/>
        </w:rPr>
        <w:t>Carteira</w:t>
      </w:r>
      <w:r>
        <w:t xml:space="preserve"> é apresentado de forma diferente de todos os demais. Todos os outros são apresentados com o conteúdo completo da base de dados e possibilidade de filtragem por data e por conteúdo.</w:t>
      </w:r>
    </w:p>
    <w:p w:rsidR="00C94F81" w:rsidRDefault="00C94F81" w:rsidP="00086DD1">
      <w:pPr>
        <w:pStyle w:val="Heading2"/>
      </w:pPr>
      <w:bookmarkStart w:id="106" w:name="_Toc475092526"/>
      <w:r>
        <w:lastRenderedPageBreak/>
        <w:t xml:space="preserve">HISTÓRICO DE </w:t>
      </w:r>
      <w:r w:rsidR="00972E0B">
        <w:t>CARTEIRA</w:t>
      </w:r>
      <w:bookmarkEnd w:id="106"/>
    </w:p>
    <w:p w:rsidR="00972E0B" w:rsidRDefault="00972E0B" w:rsidP="00972E0B">
      <w:r>
        <w:t xml:space="preserve">O Histórico de Carteira </w:t>
      </w:r>
      <w:r w:rsidRPr="00972E0B">
        <w:rPr>
          <w:u w:val="single"/>
        </w:rPr>
        <w:t>requer</w:t>
      </w:r>
      <w:r>
        <w:t xml:space="preserve"> que se informe o fundo </w:t>
      </w:r>
      <w:r>
        <w:rPr>
          <w:u w:val="single"/>
        </w:rPr>
        <w:t>e</w:t>
      </w:r>
      <w:r>
        <w:t xml:space="preserve"> o título.</w:t>
      </w:r>
    </w:p>
    <w:p w:rsidR="00972E0B" w:rsidRPr="00972E0B" w:rsidRDefault="00972E0B" w:rsidP="00972E0B">
      <w:r>
        <w:rPr>
          <w:noProof/>
          <w:lang w:eastAsia="pt-BR"/>
        </w:rPr>
        <w:drawing>
          <wp:inline distT="0" distB="0" distL="0" distR="0">
            <wp:extent cx="5010150" cy="2990850"/>
            <wp:effectExtent l="19050" t="0" r="0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DD1" w:rsidRDefault="00C94F81" w:rsidP="00086DD1">
      <w:pPr>
        <w:pStyle w:val="Heading2"/>
      </w:pPr>
      <w:bookmarkStart w:id="107" w:name="_Toc475092527"/>
      <w:r>
        <w:t>FILTRO DE DATA</w:t>
      </w:r>
      <w:bookmarkEnd w:id="107"/>
    </w:p>
    <w:p w:rsidR="00086DD1" w:rsidRDefault="00C94F81" w:rsidP="00F1252C">
      <w:r>
        <w:t>Pela barra de tabs verticais pode-se escolher o filtro de datas:</w:t>
      </w:r>
    </w:p>
    <w:p w:rsidR="00C94F81" w:rsidRDefault="00C94F81" w:rsidP="00C94F81">
      <w:pPr>
        <w:pStyle w:val="ListParagraph"/>
        <w:numPr>
          <w:ilvl w:val="0"/>
          <w:numId w:val="48"/>
        </w:numPr>
      </w:pPr>
      <w:r>
        <w:t>Hoje (a Data Base)</w:t>
      </w:r>
    </w:p>
    <w:p w:rsidR="00C94F81" w:rsidRDefault="00C94F81" w:rsidP="00C94F81">
      <w:pPr>
        <w:pStyle w:val="ListParagraph"/>
        <w:numPr>
          <w:ilvl w:val="0"/>
          <w:numId w:val="48"/>
        </w:numPr>
      </w:pPr>
      <w:r>
        <w:t>Últimos 30 dias</w:t>
      </w:r>
    </w:p>
    <w:p w:rsidR="00C94F81" w:rsidRDefault="00C94F81" w:rsidP="00C94F81">
      <w:pPr>
        <w:pStyle w:val="ListParagraph"/>
        <w:numPr>
          <w:ilvl w:val="0"/>
          <w:numId w:val="48"/>
        </w:numPr>
      </w:pPr>
      <w:r>
        <w:t>Últimos 12 meses</w:t>
      </w:r>
    </w:p>
    <w:p w:rsidR="00F1252C" w:rsidRDefault="00F1252C" w:rsidP="00086DD1">
      <w:pPr>
        <w:pStyle w:val="Heading2"/>
      </w:pPr>
      <w:bookmarkStart w:id="108" w:name="_Toc475092528"/>
      <w:r>
        <w:t>FILTRO</w:t>
      </w:r>
      <w:r w:rsidR="00C94F81">
        <w:t xml:space="preserve"> DE CONTEÚDO</w:t>
      </w:r>
      <w:bookmarkEnd w:id="108"/>
    </w:p>
    <w:p w:rsidR="00F1252C" w:rsidRDefault="00F1252C" w:rsidP="00F1252C">
      <w:r>
        <w:t>Ao acionar o botão “Filtro”, o sistema filtrará os resultados conforme a chave informada no campo de texto</w:t>
      </w:r>
      <w:r w:rsidR="00972E0B">
        <w:t xml:space="preserve"> à esquerda do botão</w:t>
      </w:r>
      <w:r>
        <w:t>. As seguintes regras se aplicam ao filtro:</w:t>
      </w:r>
    </w:p>
    <w:p w:rsidR="00F1252C" w:rsidRDefault="00F1252C" w:rsidP="00F1252C">
      <w:pPr>
        <w:pStyle w:val="ListParagraph"/>
        <w:numPr>
          <w:ilvl w:val="0"/>
          <w:numId w:val="46"/>
        </w:numPr>
      </w:pPr>
      <w:r>
        <w:t>O SCR filtrará pela primeira, e em alguns casos pela primeira ou pela segunda colunas do relatório.</w:t>
      </w:r>
    </w:p>
    <w:p w:rsidR="00F1252C" w:rsidRDefault="00F1252C" w:rsidP="00F1252C">
      <w:pPr>
        <w:pStyle w:val="ListParagraph"/>
        <w:numPr>
          <w:ilvl w:val="0"/>
          <w:numId w:val="46"/>
        </w:numPr>
      </w:pPr>
      <w:r>
        <w:t>O filtro não é sensível a caixa alta ou baixa.</w:t>
      </w:r>
    </w:p>
    <w:p w:rsidR="00F1252C" w:rsidRDefault="00F1252C" w:rsidP="00F1252C">
      <w:pPr>
        <w:pStyle w:val="ListParagraph"/>
        <w:numPr>
          <w:ilvl w:val="0"/>
          <w:numId w:val="46"/>
        </w:numPr>
      </w:pPr>
      <w:r>
        <w:t>Qualquer parte da coluna que case com a chave buscada é selecionada para apresentação. Por exemplo: filtrar “MULT” retorna todos os casos que contenham “MULT” no nome:</w:t>
      </w:r>
    </w:p>
    <w:p w:rsidR="00F1252C" w:rsidRDefault="00F1252C" w:rsidP="00F1252C">
      <w:pPr>
        <w:pStyle w:val="ListParagraph"/>
        <w:numPr>
          <w:ilvl w:val="0"/>
          <w:numId w:val="0"/>
        </w:numPr>
        <w:ind w:left="1080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2819400"/>
            <wp:effectExtent l="19050" t="0" r="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1252C" w:rsidRDefault="00F1252C" w:rsidP="00F1252C">
      <w:pPr>
        <w:pStyle w:val="ListParagraph"/>
        <w:numPr>
          <w:ilvl w:val="0"/>
          <w:numId w:val="46"/>
        </w:numPr>
      </w:pPr>
      <w:r>
        <w:t xml:space="preserve">Caso a chave tenha o caractere “+”, o SCR filtrará pela primeira e pela segunda coluna simultaneamente, buscando </w:t>
      </w:r>
      <w:r w:rsidR="00086DD1">
        <w:t>as duas chaves que estão antes e após o sinal de “+”:</w:t>
      </w:r>
    </w:p>
    <w:p w:rsidR="00086DD1" w:rsidRDefault="00086DD1" w:rsidP="00086DD1">
      <w:pPr>
        <w:pStyle w:val="ListParagraph"/>
        <w:numPr>
          <w:ilvl w:val="0"/>
          <w:numId w:val="0"/>
        </w:numPr>
        <w:ind w:left="1080"/>
      </w:pPr>
      <w:r>
        <w:rPr>
          <w:noProof/>
          <w:lang w:eastAsia="pt-BR"/>
        </w:rPr>
        <w:drawing>
          <wp:inline distT="0" distB="0" distL="0" distR="0">
            <wp:extent cx="5715000" cy="3200400"/>
            <wp:effectExtent l="1905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DD1" w:rsidRDefault="00086DD1" w:rsidP="00086DD1">
      <w:pPr>
        <w:pStyle w:val="ListParagraph"/>
        <w:numPr>
          <w:ilvl w:val="0"/>
          <w:numId w:val="0"/>
        </w:numPr>
        <w:ind w:left="1080"/>
      </w:pPr>
    </w:p>
    <w:p w:rsidR="00F1252C" w:rsidRDefault="00972E0B" w:rsidP="00972E0B">
      <w:pPr>
        <w:pStyle w:val="Heading2"/>
      </w:pPr>
      <w:bookmarkStart w:id="109" w:name="_Toc475092529"/>
      <w:r>
        <w:lastRenderedPageBreak/>
        <w:t>OBSERVAÇÕES</w:t>
      </w:r>
      <w:bookmarkEnd w:id="109"/>
    </w:p>
    <w:p w:rsidR="00F36B29" w:rsidRDefault="00F36B29" w:rsidP="00F1252C">
      <w:r>
        <w:t xml:space="preserve">Os históricos que </w:t>
      </w:r>
      <w:r w:rsidRPr="00F36B29">
        <w:rPr>
          <w:u w:val="single"/>
        </w:rPr>
        <w:t>não</w:t>
      </w:r>
      <w:r>
        <w:t xml:space="preserve"> forem de resultados de cálculos do SRC (Risco, Compliance, AML, Alocação, Liquidez, Concentração) podem não ser consistentes.</w:t>
      </w:r>
    </w:p>
    <w:p w:rsidR="00972E0B" w:rsidRPr="00972E0B" w:rsidRDefault="00972E0B" w:rsidP="00F1252C">
      <w:r>
        <w:t xml:space="preserve">Os históricos são provenientes da Base de Dados e todo histórico que não for de um resultado é proveniente dos dados </w:t>
      </w:r>
      <w:r>
        <w:rPr>
          <w:u w:val="single"/>
        </w:rPr>
        <w:t>brutos</w:t>
      </w:r>
      <w:r>
        <w:t xml:space="preserve"> anteriores à inteligência do SRC. Em particular, são anteriores ao</w:t>
      </w:r>
      <w:r w:rsidR="00231778">
        <w:t>s</w:t>
      </w:r>
      <w:r>
        <w:t xml:space="preserve"> processo</w:t>
      </w:r>
      <w:r w:rsidR="00231778">
        <w:t>s de consolidação de carteira e</w:t>
      </w:r>
      <w:r>
        <w:t xml:space="preserve"> de identificação do título por </w:t>
      </w:r>
      <w:r w:rsidR="00F36B29">
        <w:t xml:space="preserve">múltiplas </w:t>
      </w:r>
      <w:r>
        <w:t xml:space="preserve">chaves </w:t>
      </w:r>
      <w:r w:rsidR="00F36B29">
        <w:t xml:space="preserve">e por chaves </w:t>
      </w:r>
      <w:r>
        <w:t xml:space="preserve">alternativas (“Alias”). </w:t>
      </w:r>
      <w:r w:rsidR="00231778">
        <w:t xml:space="preserve">Os históricos não considerarão a carteira consolidada. </w:t>
      </w:r>
      <w:r w:rsidR="00F36B29">
        <w:t xml:space="preserve"> Caso o identificador de um título em um fundo tenha sido alterado durante o período histórico, ainda que tal alteração tenha sido realizada consistentemente no SCR na época, o histórico poderá falhar ao localizar o título pelo identificador atual. </w:t>
      </w:r>
    </w:p>
    <w:p w:rsidR="003368AD" w:rsidRDefault="003368AD" w:rsidP="003368AD">
      <w:pPr>
        <w:pStyle w:val="Heading1"/>
      </w:pPr>
      <w:bookmarkStart w:id="110" w:name="_Toc475092530"/>
      <w:r>
        <w:lastRenderedPageBreak/>
        <w:t>GRÁFICOS</w:t>
      </w:r>
      <w:bookmarkEnd w:id="110"/>
    </w:p>
    <w:p w:rsidR="00F36B29" w:rsidRDefault="00F36B29" w:rsidP="00F36B29">
      <w:pPr>
        <w:pStyle w:val="Heading2"/>
      </w:pPr>
      <w:bookmarkStart w:id="111" w:name="_Toc475092531"/>
      <w:r>
        <w:t>GERAL</w:t>
      </w:r>
      <w:bookmarkEnd w:id="111"/>
    </w:p>
    <w:p w:rsidR="00F36B29" w:rsidRDefault="00F36B29" w:rsidP="00F36B29">
      <w:pPr>
        <w:pStyle w:val="Heading2"/>
      </w:pPr>
      <w:bookmarkStart w:id="112" w:name="_Toc475092532"/>
      <w:r>
        <w:t>OBSERVAÇÕES</w:t>
      </w:r>
      <w:bookmarkEnd w:id="112"/>
    </w:p>
    <w:p w:rsidR="00F36B29" w:rsidRDefault="00F36B29" w:rsidP="00F36B29">
      <w:r>
        <w:t xml:space="preserve">Assim como os históricos, os gráficos que </w:t>
      </w:r>
      <w:r w:rsidRPr="00F36B29">
        <w:rPr>
          <w:u w:val="single"/>
        </w:rPr>
        <w:t>não</w:t>
      </w:r>
      <w:r>
        <w:t xml:space="preserve"> forem de resultados de cálculos do SRC (Risco, Compliance, AML, Alocação, Liquidez, Concentração) podem não ser consistentes.</w:t>
      </w:r>
    </w:p>
    <w:p w:rsidR="00F36B29" w:rsidRPr="00972E0B" w:rsidRDefault="00F36B29" w:rsidP="00F36B29">
      <w:r>
        <w:t xml:space="preserve">Os dados plotados nos gráficos são provenientes da Base de Dados e são dados </w:t>
      </w:r>
      <w:r>
        <w:rPr>
          <w:u w:val="single"/>
        </w:rPr>
        <w:t>brutos</w:t>
      </w:r>
      <w:r>
        <w:t xml:space="preserve"> anteriores à inteligência do SRC. </w:t>
      </w:r>
      <w:r w:rsidR="00231778">
        <w:t>Em particular, são anteriores aos processos de consolidação de carteira e de identificação do título por múltiplas chaves e por chaves alternativas (“Alias”). Os históricos não considerarão a carteira consolidada.  Caso o identificador de um título em um fundo tenha sido alterado durante o período histórico, ainda que tal alteração tenha sido realizada consistentemente no SCR na época, o histórico poderá falhar ao localizar o título pelo identificador atual.</w:t>
      </w:r>
    </w:p>
    <w:p w:rsidR="00F36B29" w:rsidRPr="00F36B29" w:rsidRDefault="00F36B29" w:rsidP="00F36B29"/>
    <w:p w:rsidR="003368AD" w:rsidRPr="003368AD" w:rsidRDefault="003368AD" w:rsidP="003368AD">
      <w:pPr>
        <w:pStyle w:val="Heading1"/>
      </w:pPr>
      <w:bookmarkStart w:id="113" w:name="_Toc475092533"/>
      <w:r>
        <w:lastRenderedPageBreak/>
        <w:t>MANUTENÇÃO</w:t>
      </w:r>
      <w:bookmarkEnd w:id="113"/>
    </w:p>
    <w:p w:rsidR="00BB1EE7" w:rsidRDefault="00BB1EE7" w:rsidP="00BB1EE7">
      <w:pPr>
        <w:pStyle w:val="Heading2"/>
      </w:pPr>
      <w:bookmarkStart w:id="114" w:name="_Toc475092534"/>
      <w:r>
        <w:t>GAPS NO PROCESSAMENTO</w:t>
      </w:r>
      <w:bookmarkEnd w:id="114"/>
    </w:p>
    <w:p w:rsidR="00BB1EE7" w:rsidRDefault="00BB1EE7" w:rsidP="00BB1EE7">
      <w:r>
        <w:t>O SCR processa todos os cálculos para a Data Base, que é a data mais recente em que o sistema pode ser aberto. Ele grava os resultados relativos à Data Base.</w:t>
      </w:r>
    </w:p>
    <w:p w:rsidR="00BB1EE7" w:rsidRDefault="00BB1EE7" w:rsidP="00BB1EE7">
      <w:r>
        <w:t xml:space="preserve">O SCR </w:t>
      </w:r>
      <w:r>
        <w:rPr>
          <w:u w:val="single"/>
        </w:rPr>
        <w:t>não requer</w:t>
      </w:r>
      <w:r>
        <w:t xml:space="preserve"> que o dia anterior à Data Base seja processado. Nem requer que as datas sejam processadas sequencialmente.</w:t>
      </w:r>
    </w:p>
    <w:p w:rsidR="00BB1EE7" w:rsidRDefault="00BB1EE7" w:rsidP="00BB1EE7">
      <w:r>
        <w:t>Se houver um “gap” de tempo entre execuções sucessivas do SCR, poderá haver um “gap” de resultados reportados. Ex: se o SCR for rodado em 30/6 e depois só em 5/7, só haverá resultados gravados de 30/6 e de 5/7, e nenhum resultado intermediário.</w:t>
      </w:r>
    </w:p>
    <w:p w:rsidR="00BB1EE7" w:rsidRDefault="00BB1EE7" w:rsidP="00BB1EE7">
      <w:r>
        <w:t xml:space="preserve">Esse risco é minimizado com o </w:t>
      </w:r>
      <w:r w:rsidRPr="00614A20">
        <w:rPr>
          <w:u w:val="single"/>
        </w:rPr>
        <w:t>agendamento</w:t>
      </w:r>
      <w:r>
        <w:t xml:space="preserve"> para execução diária </w:t>
      </w:r>
      <w:r w:rsidRPr="00614A20">
        <w:rPr>
          <w:u w:val="single"/>
        </w:rPr>
        <w:t>automática</w:t>
      </w:r>
      <w:r>
        <w:t xml:space="preserve"> em “</w:t>
      </w:r>
      <w:r w:rsidRPr="00614A20">
        <w:rPr>
          <w:u w:val="single"/>
        </w:rPr>
        <w:t>batch</w:t>
      </w:r>
      <w:r>
        <w:t>”.</w:t>
      </w:r>
    </w:p>
    <w:p w:rsidR="00BB1EE7" w:rsidRDefault="00BB1EE7" w:rsidP="00BB1EE7">
      <w:r>
        <w:t>Ainda assim, há o risco de, por falha no suprimento de dados, o SCR “marcar passo” na mesma Data Base. Por exemplo: se ele rodar dia 30/6 e dias 1, 2, 3, 4 e 5/7, mas só houver carteiras importadas das datas 30/6 e 4/7, o SCR rodará dias 30/6, 1, 2 e 3/7 com a Data Base de 30/6, rodará dias 4 e 5/7 com a Data Base 4/7; e só haverá registro de resultados das datas 30/6 e 4/7.</w:t>
      </w:r>
    </w:p>
    <w:p w:rsidR="00BB1EE7" w:rsidRDefault="00BB1EE7" w:rsidP="00BB1EE7">
      <w:r>
        <w:t xml:space="preserve">Um usuário </w:t>
      </w:r>
      <w:r w:rsidRPr="00614A20">
        <w:rPr>
          <w:u w:val="single"/>
        </w:rPr>
        <w:t>administrador</w:t>
      </w:r>
      <w:r>
        <w:t xml:space="preserve"> deve ser encarregado de verificar os gaps de execução e se for o caso </w:t>
      </w:r>
      <w:r w:rsidRPr="00F2791F">
        <w:rPr>
          <w:u w:val="single"/>
        </w:rPr>
        <w:t>abrir o SCR em data retroativa</w:t>
      </w:r>
      <w:r>
        <w:t xml:space="preserve"> </w:t>
      </w:r>
      <w:r w:rsidR="00F2791F">
        <w:t xml:space="preserve">(ver </w:t>
      </w:r>
      <w:r w:rsidR="000B1A93">
        <w:fldChar w:fldCharType="begin"/>
      </w:r>
      <w:r w:rsidR="00F2791F">
        <w:instrText xml:space="preserve"> REF _Ref459020802 \r \h </w:instrText>
      </w:r>
      <w:r w:rsidR="000B1A93">
        <w:fldChar w:fldCharType="separate"/>
      </w:r>
      <w:r w:rsidR="00F2791F">
        <w:t>XIII-3</w:t>
      </w:r>
      <w:r w:rsidR="000B1A93">
        <w:fldChar w:fldCharType="end"/>
      </w:r>
      <w:r w:rsidR="00F2791F">
        <w:t xml:space="preserve">) </w:t>
      </w:r>
      <w:r>
        <w:t>para completar o histórico de reporte.</w:t>
      </w:r>
    </w:p>
    <w:p w:rsidR="00BB1EE7" w:rsidRDefault="00BB1EE7" w:rsidP="00BB1EE7">
      <w:r>
        <w:t xml:space="preserve">Obs: ao contrário da execução de cálculo, a </w:t>
      </w:r>
      <w:r>
        <w:rPr>
          <w:u w:val="single"/>
        </w:rPr>
        <w:t>importação</w:t>
      </w:r>
      <w:r>
        <w:t xml:space="preserve"> sempre tenta adquirir todos os dados desde a última data de atualização até a </w:t>
      </w:r>
      <w:r>
        <w:rPr>
          <w:u w:val="single"/>
        </w:rPr>
        <w:t>data em que é realizada</w:t>
      </w:r>
      <w:r>
        <w:t xml:space="preserve">. Se a última </w:t>
      </w:r>
      <w:r>
        <w:rPr>
          <w:u w:val="single"/>
        </w:rPr>
        <w:t>importação</w:t>
      </w:r>
      <w:r>
        <w:t xml:space="preserve"> foi em 30/6 e uma nova importação é comandada em 5/7, ela buscará todos os dados dos dias entre 30/6 e 5/7.</w:t>
      </w:r>
    </w:p>
    <w:p w:rsidR="00BB1EE7" w:rsidRDefault="00BB1EE7" w:rsidP="00BB1EE7">
      <w:pPr>
        <w:pStyle w:val="Heading2"/>
      </w:pPr>
      <w:r>
        <w:t xml:space="preserve"> </w:t>
      </w:r>
      <w:bookmarkStart w:id="115" w:name="_Toc475092535"/>
      <w:r>
        <w:t>DADOS INCOMPLETOS</w:t>
      </w:r>
      <w:bookmarkEnd w:id="115"/>
    </w:p>
    <w:p w:rsidR="00BB1EE7" w:rsidRDefault="00BB1EE7" w:rsidP="00BB1EE7">
      <w:r>
        <w:t xml:space="preserve">A Data Base é a data mais recente em que </w:t>
      </w:r>
      <w:r>
        <w:rPr>
          <w:u w:val="single"/>
        </w:rPr>
        <w:t>pelo menos um</w:t>
      </w:r>
      <w:r>
        <w:t xml:space="preserve"> fundo tenha carteira importada.</w:t>
      </w:r>
    </w:p>
    <w:p w:rsidR="00BB1EE7" w:rsidRDefault="00BB1EE7" w:rsidP="00BB1EE7">
      <w:r>
        <w:t>O SCR pode rodar para uma Data Base em que um ou mais fundos não tenham carteira. Esses fundos serão marcados como “</w:t>
      </w:r>
      <w:r w:rsidRPr="00614A20">
        <w:rPr>
          <w:u w:val="single"/>
        </w:rPr>
        <w:t>inválidos</w:t>
      </w:r>
      <w:r>
        <w:t>” na tela e nos relatórios, inclusive no reporte de resultados de risco e compliance.</w:t>
      </w:r>
    </w:p>
    <w:p w:rsidR="00BB1EE7" w:rsidRDefault="00BB1EE7" w:rsidP="00BB1EE7">
      <w:r>
        <w:t>Além de fundos inválidos, os demais dados (resgates, trades, séries de mercado) poderão não estar atualizados até a Data Base. O usuário pode consultar a última data de atualização de cada dado, a qual também estará nos reportes de risco e compliance.</w:t>
      </w:r>
    </w:p>
    <w:p w:rsidR="00BB1EE7" w:rsidRDefault="00BB1EE7" w:rsidP="00BB1EE7">
      <w:r>
        <w:t xml:space="preserve">Deve caber ao usuário </w:t>
      </w:r>
      <w:r w:rsidRPr="00614A20">
        <w:rPr>
          <w:u w:val="single"/>
        </w:rPr>
        <w:t>administador</w:t>
      </w:r>
      <w:r>
        <w:t xml:space="preserve"> conferir se os dados estão atualizados o máximo possível e haja o mínimo possível de fundos inválidos, o que pode envolver </w:t>
      </w:r>
      <w:r w:rsidRPr="00F2791F">
        <w:rPr>
          <w:u w:val="single"/>
        </w:rPr>
        <w:t>reprocessar a carteira em data retroativa</w:t>
      </w:r>
      <w:r>
        <w:t xml:space="preserve"> </w:t>
      </w:r>
      <w:r w:rsidR="00F2791F">
        <w:t xml:space="preserve">(ver </w:t>
      </w:r>
      <w:r w:rsidR="000B1A93">
        <w:fldChar w:fldCharType="begin"/>
      </w:r>
      <w:r w:rsidR="00F2791F">
        <w:instrText xml:space="preserve"> REF _Ref459020802 \r \h </w:instrText>
      </w:r>
      <w:r w:rsidR="000B1A93">
        <w:fldChar w:fldCharType="separate"/>
      </w:r>
      <w:r w:rsidR="00F2791F">
        <w:t>XIII-3</w:t>
      </w:r>
      <w:r w:rsidR="000B1A93">
        <w:fldChar w:fldCharType="end"/>
      </w:r>
      <w:r w:rsidR="00F2791F">
        <w:t xml:space="preserve">) </w:t>
      </w:r>
      <w:r>
        <w:t>e comandar importações até que os dados estejam alinhados.</w:t>
      </w:r>
    </w:p>
    <w:p w:rsidR="00C128DB" w:rsidRDefault="00BB1EE7" w:rsidP="003A7BB4">
      <w:pPr>
        <w:pStyle w:val="Heading2"/>
      </w:pPr>
      <w:bookmarkStart w:id="116" w:name="_Ref459020802"/>
      <w:bookmarkStart w:id="117" w:name="_Toc475092536"/>
      <w:r>
        <w:lastRenderedPageBreak/>
        <w:t>ABRIR</w:t>
      </w:r>
      <w:r w:rsidR="00C128DB">
        <w:t xml:space="preserve"> DATA RETROATIVA</w:t>
      </w:r>
      <w:bookmarkEnd w:id="116"/>
      <w:bookmarkEnd w:id="117"/>
    </w:p>
    <w:p w:rsidR="00C128DB" w:rsidRDefault="00C128DB" w:rsidP="00C128DB">
      <w:r>
        <w:t xml:space="preserve">O SCR </w:t>
      </w:r>
      <w:r>
        <w:rPr>
          <w:u w:val="single"/>
        </w:rPr>
        <w:t>sempre</w:t>
      </w:r>
      <w:r>
        <w:t xml:space="preserve"> iniciará na Data-Base</w:t>
      </w:r>
      <w:r w:rsidR="00BB1EE7">
        <w:t>, que é a última data em que houver pelo menos um fundo com carteira</w:t>
      </w:r>
      <w:r>
        <w:t>.</w:t>
      </w:r>
    </w:p>
    <w:p w:rsidR="00BB1EE7" w:rsidRPr="00BB1EE7" w:rsidRDefault="00BB1EE7" w:rsidP="00C128DB">
      <w:r>
        <w:t xml:space="preserve">Mesmo com agendamento diário, podem acontecer </w:t>
      </w:r>
      <w:r>
        <w:rPr>
          <w:u w:val="single"/>
        </w:rPr>
        <w:t>gaps</w:t>
      </w:r>
      <w:r>
        <w:t xml:space="preserve"> de datas de processamento.</w:t>
      </w:r>
      <w:r w:rsidR="00F2791F">
        <w:t xml:space="preserve"> Para eliminar esses gaps, o usuário deverá abrir o SCR em data retroativa.</w:t>
      </w:r>
    </w:p>
    <w:p w:rsidR="00C128DB" w:rsidRDefault="00C128DB" w:rsidP="00C128DB">
      <w:r>
        <w:t xml:space="preserve">Após iniciado, o usuário pode </w:t>
      </w:r>
      <w:r>
        <w:rPr>
          <w:u w:val="single"/>
        </w:rPr>
        <w:t>trocar a data</w:t>
      </w:r>
      <w:r>
        <w:t xml:space="preserve"> em Home</w:t>
      </w:r>
      <w:r>
        <w:sym w:font="Wingdings" w:char="F0E0"/>
      </w:r>
      <w:r>
        <w:t>Muda Data. O SCR pedirá a nova data e duas situações podem ocorrer:</w:t>
      </w:r>
    </w:p>
    <w:p w:rsidR="00C128DB" w:rsidRDefault="00C128DB" w:rsidP="00CA6E5C">
      <w:pPr>
        <w:pStyle w:val="ListParagraph"/>
        <w:numPr>
          <w:ilvl w:val="0"/>
          <w:numId w:val="39"/>
        </w:numPr>
      </w:pPr>
      <w:r>
        <w:t>Já existe carteira importada na base de dados: o SCR abrirá normalmente a data.</w:t>
      </w:r>
    </w:p>
    <w:p w:rsidR="00C128DB" w:rsidRDefault="00C128DB" w:rsidP="00CA6E5C">
      <w:pPr>
        <w:pStyle w:val="ListParagraph"/>
        <w:numPr>
          <w:ilvl w:val="0"/>
          <w:numId w:val="39"/>
        </w:numPr>
      </w:pPr>
      <w:r>
        <w:t>Não existe carteira importada na base de dados: o SCR informará ao usuário que não há carteira para a data e perguntará se ele deseja importar.</w:t>
      </w:r>
    </w:p>
    <w:p w:rsidR="00C128DB" w:rsidRDefault="00C128DB" w:rsidP="00C128DB">
      <w:pPr>
        <w:ind w:left="1440"/>
      </w:pPr>
      <w:r>
        <w:rPr>
          <w:noProof/>
          <w:lang w:eastAsia="pt-BR"/>
        </w:rPr>
        <w:drawing>
          <wp:inline distT="0" distB="0" distL="0" distR="0">
            <wp:extent cx="2209800" cy="23241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8DB" w:rsidRDefault="00C128DB" w:rsidP="003A7BB4">
      <w:pPr>
        <w:ind w:left="1440"/>
      </w:pPr>
      <w:r>
        <w:t xml:space="preserve">Caso o usuário escolha “Tentar importar TXT” ou “Tentar importar XML ANBIMA”, o SRC procurará </w:t>
      </w:r>
      <w:r w:rsidR="003A7BB4">
        <w:t>os arquivos para importação de carteira. Se não os encontrar, retornará um erro e não mudará a data.</w:t>
      </w:r>
    </w:p>
    <w:p w:rsidR="003A7BB4" w:rsidRDefault="003A7BB4" w:rsidP="00C128DB">
      <w:r>
        <w:t>Ao abrir em data retroativa:</w:t>
      </w:r>
    </w:p>
    <w:p w:rsidR="00C128DB" w:rsidRDefault="003A7BB4" w:rsidP="00CA6E5C">
      <w:pPr>
        <w:pStyle w:val="ListParagraph"/>
        <w:numPr>
          <w:ilvl w:val="0"/>
          <w:numId w:val="40"/>
        </w:numPr>
      </w:pPr>
      <w:r>
        <w:t>A</w:t>
      </w:r>
      <w:r w:rsidR="00C128DB">
        <w:t>s regras e propriedades dos papéis sã</w:t>
      </w:r>
      <w:r>
        <w:t>o restauradas como eram na data;</w:t>
      </w:r>
    </w:p>
    <w:p w:rsidR="003A7BB4" w:rsidRDefault="003A7BB4" w:rsidP="00CA6E5C">
      <w:pPr>
        <w:pStyle w:val="ListParagraph"/>
        <w:numPr>
          <w:ilvl w:val="0"/>
          <w:numId w:val="40"/>
        </w:numPr>
      </w:pPr>
      <w:r>
        <w:t>Todo o resultado de risco e compliance é recalculado. Se o usuário tiver permissão de “</w:t>
      </w:r>
      <w:r w:rsidRPr="003A7BB4">
        <w:rPr>
          <w:u w:val="single"/>
        </w:rPr>
        <w:t>Reportar</w:t>
      </w:r>
      <w:r>
        <w:t xml:space="preserve">”, o novo resultado será gravado </w:t>
      </w:r>
      <w:r w:rsidRPr="003A7BB4">
        <w:rPr>
          <w:u w:val="single"/>
        </w:rPr>
        <w:t>substituindo o anterior</w:t>
      </w:r>
      <w:r>
        <w:t>.</w:t>
      </w:r>
    </w:p>
    <w:p w:rsidR="00F2791F" w:rsidRDefault="00F2791F" w:rsidP="003A7BB4">
      <w:pPr>
        <w:pStyle w:val="Heading2"/>
      </w:pPr>
      <w:bookmarkStart w:id="118" w:name="_Toc475092537"/>
      <w:r>
        <w:t>ABRIR DATA PROSPECTIVA</w:t>
      </w:r>
      <w:bookmarkEnd w:id="118"/>
    </w:p>
    <w:p w:rsidR="00F2791F" w:rsidRPr="00F2791F" w:rsidRDefault="00F2791F" w:rsidP="00F2791F">
      <w:r>
        <w:t>O mesmo procedimento de Home</w:t>
      </w:r>
      <w:r>
        <w:sym w:font="Wingdings" w:char="F0E0"/>
      </w:r>
      <w:r>
        <w:t xml:space="preserve">Mudar Data se aplica para abrir o SCR em data </w:t>
      </w:r>
      <w:r>
        <w:rPr>
          <w:u w:val="single"/>
        </w:rPr>
        <w:t>posterior</w:t>
      </w:r>
      <w:r>
        <w:t xml:space="preserve"> à Data-Base (quando a </w:t>
      </w:r>
      <w:r w:rsidRPr="00F2791F">
        <w:rPr>
          <w:u w:val="single"/>
        </w:rPr>
        <w:t>Data-Base está atrasada</w:t>
      </w:r>
      <w:r>
        <w:t>), desde que existam arquivos para importação na nova data.</w:t>
      </w:r>
    </w:p>
    <w:p w:rsidR="003A7BB4" w:rsidRDefault="00BB1EE7" w:rsidP="003A7BB4">
      <w:pPr>
        <w:pStyle w:val="Heading2"/>
      </w:pPr>
      <w:bookmarkStart w:id="119" w:name="_Ref459022985"/>
      <w:bookmarkStart w:id="120" w:name="_Toc475092538"/>
      <w:r>
        <w:lastRenderedPageBreak/>
        <w:t>REIMPORTAR</w:t>
      </w:r>
      <w:bookmarkEnd w:id="119"/>
      <w:bookmarkEnd w:id="120"/>
    </w:p>
    <w:p w:rsidR="003A7BB4" w:rsidRDefault="00F2791F" w:rsidP="003A7BB4">
      <w:r>
        <w:t>Abrir em data retroativa não elimina todos os problemas de dados incompletos. Se uma data foi processada com um número incompleto de fundos, abrir novamente a mesma data não gerará automaticamente re-importação, pois já existem dados de carteira na base.</w:t>
      </w:r>
    </w:p>
    <w:p w:rsidR="00F2791F" w:rsidRDefault="00F2791F" w:rsidP="003A7BB4">
      <w:r>
        <w:t>Para refazer todo o processo de importação em uma data qualquer, o usuário deve ir para essa data e comandar</w:t>
      </w:r>
    </w:p>
    <w:p w:rsidR="00F2791F" w:rsidRDefault="00F2791F" w:rsidP="003A7BB4">
      <w:r>
        <w:t>Home</w:t>
      </w:r>
      <w:r>
        <w:sym w:font="Wingdings" w:char="F0E0"/>
      </w:r>
      <w:r>
        <w:t>Reimporta TXT ou Home</w:t>
      </w:r>
      <w:r>
        <w:sym w:font="Wingdings" w:char="F0E0"/>
      </w:r>
      <w:r>
        <w:t>Reimporta XML.</w:t>
      </w:r>
    </w:p>
    <w:p w:rsidR="00F2791F" w:rsidRDefault="00F2791F" w:rsidP="00F2791F">
      <w:pPr>
        <w:pStyle w:val="Heading2"/>
      </w:pPr>
      <w:bookmarkStart w:id="121" w:name="_Toc475092539"/>
      <w:r>
        <w:t>VIRAR D+1</w:t>
      </w:r>
      <w:bookmarkEnd w:id="121"/>
    </w:p>
    <w:p w:rsidR="00F2791F" w:rsidRDefault="00F2791F" w:rsidP="003A7BB4">
      <w:r>
        <w:t>Home</w:t>
      </w:r>
      <w:r>
        <w:sym w:font="Wingdings" w:char="F0E0"/>
      </w:r>
      <w:r>
        <w:t xml:space="preserve">Virar D+1 </w:t>
      </w:r>
      <w:r>
        <w:rPr>
          <w:u w:val="single"/>
        </w:rPr>
        <w:t>não</w:t>
      </w:r>
      <w:r>
        <w:t xml:space="preserve"> importa novos dados, apenas </w:t>
      </w:r>
      <w:r>
        <w:rPr>
          <w:u w:val="single"/>
        </w:rPr>
        <w:t>copia</w:t>
      </w:r>
      <w:r>
        <w:t xml:space="preserve"> as carteiras atuais para D+1, permitindo o processamento de uma data com a carteira da data anterior.</w:t>
      </w:r>
    </w:p>
    <w:p w:rsidR="00ED47CA" w:rsidRDefault="00ED47CA" w:rsidP="00ED47CA">
      <w:pPr>
        <w:pStyle w:val="Heading2"/>
        <w:ind w:left="990" w:hanging="630"/>
      </w:pPr>
      <w:r>
        <w:t>Menu de Manutenção</w:t>
      </w:r>
    </w:p>
    <w:p w:rsidR="00ED47CA" w:rsidRDefault="00ED47CA" w:rsidP="003A7BB4">
      <w:r>
        <w:t>O menu de Manutenção permite:</w:t>
      </w:r>
    </w:p>
    <w:p w:rsidR="00ED47CA" w:rsidRDefault="00ED47CA" w:rsidP="00ED47CA">
      <w:pPr>
        <w:pStyle w:val="ListParagraph"/>
        <w:numPr>
          <w:ilvl w:val="0"/>
          <w:numId w:val="50"/>
        </w:numPr>
      </w:pPr>
      <w:r>
        <w:t>Verificar a última data de atualização das bases de dados de carteiras, mercados, resgates</w:t>
      </w:r>
      <w:r w:rsidR="0028726A">
        <w:t>, trades, transferências, maiores cotistas e a última data em que foram atualizadas propriedades de papéis e cadastros de contrapartes – na opção “</w:t>
      </w:r>
      <w:r w:rsidR="0028726A" w:rsidRPr="0028726A">
        <w:rPr>
          <w:u w:val="single"/>
        </w:rPr>
        <w:t>Data das Atualiações</w:t>
      </w:r>
      <w:r w:rsidR="0028726A">
        <w:t>”</w:t>
      </w:r>
    </w:p>
    <w:p w:rsidR="0028726A" w:rsidRDefault="0028726A" w:rsidP="00ED47CA">
      <w:pPr>
        <w:pStyle w:val="ListParagraph"/>
        <w:numPr>
          <w:ilvl w:val="0"/>
          <w:numId w:val="50"/>
        </w:numPr>
      </w:pPr>
      <w:r>
        <w:t>Verificar a consistência dos encadeamentos de registros do banco de dados, detectando registros “órfãos” (desencadeados). Verifica se os registros de cashflow, propriedades e posições estão encadeados com os respectivos títulos. Opções “Cashflows--&gt;Papel”, “Propriedades--&gt;Papel”, “Posições--&gt;Papel”. Os registros que não possuem encadeamento, e portanto estão “perdidos” no banco de dados, são mostrados como “(órfãos)”.</w:t>
      </w:r>
    </w:p>
    <w:p w:rsidR="0028726A" w:rsidRDefault="0028726A" w:rsidP="00ED47CA">
      <w:pPr>
        <w:pStyle w:val="ListParagraph"/>
        <w:numPr>
          <w:ilvl w:val="0"/>
          <w:numId w:val="50"/>
        </w:numPr>
      </w:pPr>
      <w:r>
        <w:t>Identificar quais papéis não estão referenciados a nenhuma posição, na opção “</w:t>
      </w:r>
      <w:r w:rsidRPr="0028726A">
        <w:rPr>
          <w:u w:val="single"/>
        </w:rPr>
        <w:t>Papel--&gt;Posição</w:t>
      </w:r>
      <w:r>
        <w:t>”. O relatório mostra a primeira e última data em que um título esteve referenciado em alguma posição. Os títulos que nunca estiveram referenciados em nenhuma posição aparecem como “(órfão)”.</w:t>
      </w:r>
    </w:p>
    <w:p w:rsidR="0028726A" w:rsidRDefault="0028726A" w:rsidP="00ED47CA">
      <w:pPr>
        <w:pStyle w:val="ListParagraph"/>
        <w:numPr>
          <w:ilvl w:val="0"/>
          <w:numId w:val="50"/>
        </w:numPr>
      </w:pPr>
      <w:r>
        <w:t>Listar a fonte de importação das posições, por fundo. Opção “</w:t>
      </w:r>
      <w:r w:rsidRPr="0028726A">
        <w:rPr>
          <w:u w:val="single"/>
        </w:rPr>
        <w:t>Fonte das Posições</w:t>
      </w:r>
      <w:r>
        <w:t>”.</w:t>
      </w:r>
    </w:p>
    <w:p w:rsidR="0028726A" w:rsidRDefault="0028726A" w:rsidP="00ED47CA">
      <w:pPr>
        <w:pStyle w:val="ListParagraph"/>
        <w:numPr>
          <w:ilvl w:val="0"/>
          <w:numId w:val="50"/>
        </w:numPr>
      </w:pPr>
      <w:r>
        <w:t>Buscar as propriedades de um título no banco de ISIN.</w:t>
      </w:r>
    </w:p>
    <w:p w:rsidR="0028726A" w:rsidRDefault="0028726A" w:rsidP="00ED47CA">
      <w:pPr>
        <w:pStyle w:val="ListParagraph"/>
        <w:numPr>
          <w:ilvl w:val="0"/>
          <w:numId w:val="50"/>
        </w:numPr>
      </w:pPr>
      <w:r>
        <w:t>Reimportar trades e realizar testes de AML e alocação dos útimos 60 dias.</w:t>
      </w:r>
    </w:p>
    <w:p w:rsidR="0028726A" w:rsidRDefault="0028726A" w:rsidP="00ED47CA">
      <w:pPr>
        <w:pStyle w:val="ListParagraph"/>
        <w:numPr>
          <w:ilvl w:val="0"/>
          <w:numId w:val="50"/>
        </w:numPr>
      </w:pPr>
      <w:r w:rsidRPr="0028726A">
        <w:rPr>
          <w:u w:val="single"/>
        </w:rPr>
        <w:t>Criticar posição</w:t>
      </w:r>
      <w:r>
        <w:t xml:space="preserve">: </w:t>
      </w:r>
      <w:r w:rsidR="00053A41">
        <w:t xml:space="preserve">a opção “Critica Posição” </w:t>
      </w:r>
      <w:r>
        <w:t>verific</w:t>
      </w:r>
      <w:r w:rsidR="00053A41">
        <w:t>a os títulos não-identificado</w:t>
      </w:r>
      <w:r>
        <w:t xml:space="preserve">s nas carteiras atuais e </w:t>
      </w:r>
      <w:r w:rsidR="00053A41">
        <w:t xml:space="preserve">sugere um identificador baseando-se na posição da mesma carteira no dia anterior. Essa funcionalidade procura a carteira do dia anterior por saldos que estejam entre 90% e 110% do saldo do título não-identificado e </w:t>
      </w:r>
      <w:r w:rsidR="00053A41">
        <w:lastRenderedPageBreak/>
        <w:t>mostra as sugestões ao usuário. Caso o usuário responda afirmativamente à identificação, a funcionalidade altera o registro do título não identificado na carteira atual para o registro do título na carteira anterior.</w:t>
      </w:r>
    </w:p>
    <w:p w:rsidR="00ED47CA" w:rsidRDefault="00ED47CA" w:rsidP="003A7BB4"/>
    <w:p w:rsidR="00F2791F" w:rsidRDefault="00F2791F" w:rsidP="003A7BB4"/>
    <w:p w:rsidR="00F2791F" w:rsidRPr="00F2791F" w:rsidRDefault="00F2791F" w:rsidP="003A7BB4"/>
    <w:p w:rsidR="00C128DB" w:rsidRPr="00C128DB" w:rsidRDefault="00C128DB" w:rsidP="00C128DB"/>
    <w:p w:rsidR="003B3FDC" w:rsidRDefault="003B3FDC" w:rsidP="00C676D2"/>
    <w:p w:rsidR="00AB1CEC" w:rsidRDefault="00AB1CEC" w:rsidP="00AB1CEC">
      <w:pPr>
        <w:pStyle w:val="Heading1"/>
      </w:pPr>
      <w:bookmarkStart w:id="122" w:name="_Ref458526637"/>
      <w:bookmarkStart w:id="123" w:name="_Toc475092540"/>
      <w:r>
        <w:lastRenderedPageBreak/>
        <w:t>CONFIGURAÇÃO</w:t>
      </w:r>
      <w:bookmarkEnd w:id="122"/>
      <w:bookmarkEnd w:id="123"/>
    </w:p>
    <w:p w:rsidR="00AB1CEC" w:rsidRDefault="00AB1CEC" w:rsidP="00C676D2"/>
    <w:p w:rsidR="003B3FDC" w:rsidRDefault="00AB1CEC" w:rsidP="00497CF1">
      <w:pPr>
        <w:pStyle w:val="Heading2"/>
      </w:pPr>
      <w:bookmarkStart w:id="124" w:name="_Toc475092541"/>
      <w:r>
        <w:t>GERAL</w:t>
      </w:r>
      <w:bookmarkEnd w:id="124"/>
    </w:p>
    <w:p w:rsidR="00851A24" w:rsidRDefault="00851A24" w:rsidP="00C676D2">
      <w:r>
        <w:t>A configuração do SRC só pode ser feita diretamente na base de dados. Não há interface para alteração da configuração</w:t>
      </w:r>
    </w:p>
    <w:p w:rsidR="00AB1CEC" w:rsidRPr="00497CF1" w:rsidRDefault="00851A24" w:rsidP="00497CF1">
      <w:pPr>
        <w:pStyle w:val="Heading2"/>
      </w:pPr>
      <w:bookmarkStart w:id="125" w:name="_Toc475092542"/>
      <w:r w:rsidRPr="00497CF1">
        <w:t>TELA DE CONFIGURAÇÃO</w:t>
      </w:r>
      <w:bookmarkEnd w:id="125"/>
    </w:p>
    <w:p w:rsidR="00851A24" w:rsidRDefault="00851A24" w:rsidP="00C676D2">
      <w:r>
        <w:t>Clicando em Home</w:t>
      </w:r>
      <w:r>
        <w:sym w:font="Wingdings" w:char="F0E0"/>
      </w:r>
      <w:r>
        <w:t>Configuração, aparece a Tela de Configuração, que é “</w:t>
      </w:r>
      <w:r w:rsidRPr="007926AC">
        <w:rPr>
          <w:u w:val="single"/>
        </w:rPr>
        <w:t>read-only</w:t>
      </w:r>
      <w:r>
        <w:t>” e possui 9 áreas:</w:t>
      </w:r>
    </w:p>
    <w:p w:rsidR="00851A24" w:rsidRDefault="00D42C2E" w:rsidP="00C676D2">
      <w:r>
        <w:t>❶</w:t>
      </w:r>
      <w:r w:rsidR="007926AC">
        <w:t xml:space="preserve"> Prefixo dos arquivos para a importação .TXT</w:t>
      </w:r>
    </w:p>
    <w:p w:rsidR="00D42C2E" w:rsidRDefault="00D42C2E" w:rsidP="00C676D2">
      <w:r>
        <w:t>❷</w:t>
      </w:r>
      <w:r w:rsidR="007926AC">
        <w:t xml:space="preserve"> Configuração da importação de Excel de resgates e transferências</w:t>
      </w:r>
    </w:p>
    <w:p w:rsidR="007926AC" w:rsidRDefault="00D42C2E" w:rsidP="007926AC">
      <w:r>
        <w:t>❸</w:t>
      </w:r>
      <w:r w:rsidR="007926AC">
        <w:t xml:space="preserve"> Configuração da importação de Excel de posição dos cotistas</w:t>
      </w:r>
    </w:p>
    <w:p w:rsidR="00D42C2E" w:rsidRDefault="00D42C2E" w:rsidP="00C676D2">
      <w:r>
        <w:t>❹</w:t>
      </w:r>
      <w:r w:rsidR="007926AC">
        <w:t xml:space="preserve"> Configurações de risco de mercado: importação das séries históricas e parâmetros de cálculo de risco de mercado.</w:t>
      </w:r>
    </w:p>
    <w:p w:rsidR="00D42C2E" w:rsidRDefault="00D42C2E" w:rsidP="00C676D2">
      <w:r>
        <w:t>❺</w:t>
      </w:r>
      <w:r w:rsidR="007926AC">
        <w:t xml:space="preserve"> Configurações do reporte diário de concentração</w:t>
      </w:r>
    </w:p>
    <w:p w:rsidR="00D42C2E" w:rsidRDefault="00D42C2E" w:rsidP="00C676D2">
      <w:r>
        <w:t>❻</w:t>
      </w:r>
      <w:r w:rsidR="007926AC">
        <w:t xml:space="preserve"> Configurações do risco de crédito: parâmetros de taxa de default esperada, perda dad</w:t>
      </w:r>
      <w:r w:rsidR="00C52375">
        <w:t>o default e correlação de perda; e identificadores das propriedades descritivas que têm os ratings externo e interno.</w:t>
      </w:r>
    </w:p>
    <w:p w:rsidR="00D42C2E" w:rsidRDefault="00D42C2E" w:rsidP="00C676D2">
      <w:r>
        <w:t>❼</w:t>
      </w:r>
      <w:r w:rsidR="007926AC">
        <w:t xml:space="preserve"> Política de limites de risco por tipo de fundo</w:t>
      </w:r>
    </w:p>
    <w:p w:rsidR="00D42C2E" w:rsidRDefault="00D42C2E" w:rsidP="00C676D2">
      <w:r>
        <w:t>❽</w:t>
      </w:r>
      <w:r w:rsidR="007926AC">
        <w:t xml:space="preserve"> Configuração de importação de boletas para AML</w:t>
      </w:r>
    </w:p>
    <w:p w:rsidR="00D42C2E" w:rsidRDefault="00D42C2E" w:rsidP="00C676D2">
      <w:r>
        <w:t>❾</w:t>
      </w:r>
      <w:r w:rsidR="007926AC">
        <w:t xml:space="preserve"> Configuração de importação XML ANBIMA</w:t>
      </w:r>
    </w:p>
    <w:p w:rsidR="00851A24" w:rsidRDefault="000B1A93" w:rsidP="00851A24">
      <w:pPr>
        <w:ind w:left="0"/>
      </w:pPr>
      <w:r>
        <w:rPr>
          <w:noProof/>
          <w:lang w:eastAsia="pt-BR"/>
        </w:rPr>
        <w:pict>
          <v:shape id="_x0000_s1100" type="#_x0000_t202" style="position:absolute;left:0;text-align:left;margin-left:510.75pt;margin-top:403.85pt;width:26.25pt;height:20.25pt;z-index:251727872" filled="f" stroked="f">
            <v:textbox style="mso-next-textbox:#_x0000_s1100">
              <w:txbxContent>
                <w:p w:rsidR="003C1A56" w:rsidRPr="00D42C2E" w:rsidRDefault="003C1A56" w:rsidP="00D42C2E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❾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99" type="#_x0000_t202" style="position:absolute;left:0;text-align:left;margin-left:510.75pt;margin-top:233.6pt;width:26.25pt;height:20.25pt;z-index:251726848" filled="f" stroked="f">
            <v:textbox style="mso-next-textbox:#_x0000_s1099">
              <w:txbxContent>
                <w:p w:rsidR="003C1A56" w:rsidRPr="00D42C2E" w:rsidRDefault="003C1A56" w:rsidP="00D42C2E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❽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96" type="#_x0000_t202" style="position:absolute;left:0;text-align:left;margin-left:243.75pt;margin-top:440.6pt;width:26.25pt;height:20.25pt;z-index:251723776" filled="f" stroked="f">
            <v:textbox style="mso-next-textbox:#_x0000_s1096">
              <w:txbxContent>
                <w:p w:rsidR="003C1A56" w:rsidRPr="00D42C2E" w:rsidRDefault="003C1A56" w:rsidP="00D42C2E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❺</w:t>
                  </w:r>
                </w:p>
              </w:txbxContent>
            </v:textbox>
          </v:shape>
        </w:pict>
      </w:r>
    </w:p>
    <w:p w:rsidR="00513248" w:rsidRDefault="000B1A93">
      <w:pPr>
        <w:ind w:left="0"/>
        <w:jc w:val="left"/>
      </w:pPr>
      <w:r>
        <w:rPr>
          <w:noProof/>
          <w:lang w:eastAsia="pt-BR"/>
        </w:rPr>
        <w:lastRenderedPageBreak/>
        <w:pict>
          <v:rect id="_x0000_s1113" style="position:absolute;margin-left:279.75pt;margin-top:14.6pt;width:256.5pt;height:120.75pt;z-index:251740160" filled="f" strokecolor="red" strokeweight="1.5pt"/>
        </w:pict>
      </w:r>
      <w:r>
        <w:rPr>
          <w:noProof/>
          <w:lang w:eastAsia="pt-BR"/>
        </w:rPr>
        <w:pict>
          <v:shape id="_x0000_s1122" type="#_x0000_t202" style="position:absolute;margin-left:513pt;margin-top:15.35pt;width:26.25pt;height:20.25pt;z-index:251749376" filled="f" stroked="f">
            <v:textbox style="mso-next-textbox:#_x0000_s1122">
              <w:txbxContent>
                <w:p w:rsidR="003C1A56" w:rsidRPr="00D42C2E" w:rsidRDefault="003C1A56" w:rsidP="00F80C08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❻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25" type="#_x0000_t202" style="position:absolute;margin-left:513.75pt;margin-top:418.1pt;width:26.25pt;height:20.25pt;z-index:251752448" filled="f" stroked="f">
            <v:textbox style="mso-next-textbox:#_x0000_s1125">
              <w:txbxContent>
                <w:p w:rsidR="003C1A56" w:rsidRPr="00D42C2E" w:rsidRDefault="003C1A56" w:rsidP="00F80C08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❾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24" type="#_x0000_t202" style="position:absolute;margin-left:513.75pt;margin-top:247.85pt;width:26.25pt;height:20.25pt;z-index:251751424" filled="f" stroked="f">
            <v:textbox style="mso-next-textbox:#_x0000_s1124">
              <w:txbxContent>
                <w:p w:rsidR="003C1A56" w:rsidRPr="00D42C2E" w:rsidRDefault="003C1A56" w:rsidP="00F80C08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❽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23" type="#_x0000_t202" style="position:absolute;margin-left:513.75pt;margin-top:143.6pt;width:26.25pt;height:20.25pt;z-index:251750400" filled="f" stroked="f">
            <v:textbox style="mso-next-textbox:#_x0000_s1123">
              <w:txbxContent>
                <w:p w:rsidR="003C1A56" w:rsidRPr="00D42C2E" w:rsidRDefault="003C1A56" w:rsidP="00F80C08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❼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19" type="#_x0000_t202" style="position:absolute;margin-left:246.75pt;margin-top:148.1pt;width:26.25pt;height:20.25pt;z-index:251746304" filled="f" stroked="f">
            <v:textbox style="mso-next-textbox:#_x0000_s1119">
              <w:txbxContent>
                <w:p w:rsidR="003C1A56" w:rsidRPr="00D42C2E" w:rsidRDefault="003C1A56" w:rsidP="00F80C08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❸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18" type="#_x0000_t202" style="position:absolute;margin-left:246.75pt;margin-top:59.6pt;width:26.25pt;height:20.25pt;z-index:251745280" filled="f" stroked="f">
            <v:textbox style="mso-next-textbox:#_x0000_s1118">
              <w:txbxContent>
                <w:p w:rsidR="003C1A56" w:rsidRPr="00D42C2E" w:rsidRDefault="003C1A56" w:rsidP="00F80C08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❷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17" type="#_x0000_t202" style="position:absolute;margin-left:247.5pt;margin-top:17.6pt;width:25.5pt;height:20.25pt;z-index:251744256" filled="f" stroked="f">
            <v:textbox style="mso-next-textbox:#_x0000_s1117">
              <w:txbxContent>
                <w:p w:rsidR="003C1A56" w:rsidRPr="00431641" w:rsidRDefault="003C1A56" w:rsidP="00F80C08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❶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21" type="#_x0000_t202" style="position:absolute;margin-left:246.75pt;margin-top:441.35pt;width:26.25pt;height:20.25pt;z-index:251748352" filled="f" stroked="f">
            <v:textbox style="mso-next-textbox:#_x0000_s1121">
              <w:txbxContent>
                <w:p w:rsidR="003C1A56" w:rsidRPr="00D42C2E" w:rsidRDefault="003C1A56" w:rsidP="00F80C08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❺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120" type="#_x0000_t202" style="position:absolute;margin-left:246.75pt;margin-top:216.35pt;width:26.25pt;height:20.25pt;z-index:251747328" filled="f" stroked="f">
            <v:textbox style="mso-next-textbox:#_x0000_s1120">
              <w:txbxContent>
                <w:p w:rsidR="003C1A56" w:rsidRPr="00D42C2E" w:rsidRDefault="003C1A56" w:rsidP="00F80C08">
                  <w:pPr>
                    <w:ind w:left="0"/>
                  </w:pPr>
                  <w:r>
                    <w:rPr>
                      <w:b/>
                      <w:color w:val="FF0000"/>
                    </w:rPr>
                    <w:t>❹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rect id="_x0000_s1114" style="position:absolute;margin-left:280.5pt;margin-top:142.1pt;width:256.5pt;height:100.5pt;z-index:251741184" filled="f" strokecolor="red" strokeweight="1.5pt"/>
        </w:pict>
      </w:r>
      <w:r>
        <w:rPr>
          <w:noProof/>
          <w:lang w:eastAsia="pt-BR"/>
        </w:rPr>
        <w:pict>
          <v:rect id="_x0000_s1115" style="position:absolute;margin-left:280.5pt;margin-top:248.6pt;width:256.5pt;height:164.25pt;z-index:251742208" filled="f" strokecolor="red" strokeweight="1.5pt"/>
        </w:pict>
      </w:r>
      <w:r>
        <w:rPr>
          <w:noProof/>
          <w:lang w:eastAsia="pt-BR"/>
        </w:rPr>
        <w:pict>
          <v:rect id="_x0000_s1116" style="position:absolute;margin-left:280.5pt;margin-top:419.6pt;width:256.5pt;height:81pt;z-index:251743232" filled="f" strokecolor="red" strokeweight="1.5pt"/>
        </w:pict>
      </w:r>
      <w:r>
        <w:rPr>
          <w:noProof/>
          <w:lang w:eastAsia="pt-BR"/>
        </w:rPr>
        <w:pict>
          <v:rect id="_x0000_s1112" style="position:absolute;margin-left:4.5pt;margin-top:441.35pt;width:265.5pt;height:78pt;z-index:251739136" filled="f" strokecolor="red" strokeweight="1.5pt"/>
        </w:pict>
      </w:r>
      <w:r>
        <w:rPr>
          <w:noProof/>
          <w:lang w:eastAsia="pt-BR"/>
        </w:rPr>
        <w:pict>
          <v:rect id="_x0000_s1111" style="position:absolute;margin-left:4.5pt;margin-top:216.35pt;width:265.5pt;height:221.25pt;z-index:251738112" filled="f" strokecolor="red" strokeweight="1.5pt"/>
        </w:pict>
      </w:r>
      <w:r>
        <w:rPr>
          <w:noProof/>
          <w:lang w:eastAsia="pt-BR"/>
        </w:rPr>
        <w:pict>
          <v:rect id="_x0000_s1110" style="position:absolute;margin-left:4.5pt;margin-top:148.1pt;width:265.5pt;height:62.25pt;z-index:251737088" filled="f" strokecolor="red" strokeweight="1.5pt"/>
        </w:pict>
      </w:r>
      <w:r>
        <w:rPr>
          <w:noProof/>
          <w:lang w:eastAsia="pt-BR"/>
        </w:rPr>
        <w:pict>
          <v:rect id="_x0000_s1109" style="position:absolute;margin-left:4.5pt;margin-top:59.6pt;width:265.5pt;height:84.75pt;z-index:251736064" filled="f" strokecolor="red" strokeweight="1.5pt"/>
        </w:pict>
      </w:r>
      <w:r>
        <w:rPr>
          <w:noProof/>
          <w:lang w:eastAsia="pt-BR"/>
        </w:rPr>
        <w:pict>
          <v:rect id="_x0000_s1108" style="position:absolute;margin-left:4.5pt;margin-top:13.1pt;width:265.5pt;height:41.25pt;z-index:251735040" filled="f" strokecolor="red" strokeweight="1.5pt"/>
        </w:pict>
      </w:r>
      <w:r w:rsidR="00F80C08">
        <w:rPr>
          <w:noProof/>
          <w:lang w:eastAsia="pt-BR"/>
        </w:rPr>
        <w:drawing>
          <wp:inline distT="0" distB="0" distL="0" distR="0">
            <wp:extent cx="6858000" cy="6624888"/>
            <wp:effectExtent l="19050" t="0" r="0" b="0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2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6AC" w:rsidRDefault="007926AC" w:rsidP="00497CF1">
      <w:pPr>
        <w:pStyle w:val="Heading2"/>
      </w:pPr>
      <w:bookmarkStart w:id="126" w:name="_Toc475092543"/>
      <w:r>
        <w:t>CONFIGURAÇÃO DE MAILING LIST</w:t>
      </w:r>
      <w:bookmarkEnd w:id="126"/>
    </w:p>
    <w:p w:rsidR="007926AC" w:rsidRPr="007926AC" w:rsidRDefault="007926AC" w:rsidP="007926AC">
      <w:r>
        <w:t>A configuração de mailing list só pode ser feita na base de dados do GRC.</w:t>
      </w:r>
    </w:p>
    <w:p w:rsidR="007926AC" w:rsidRDefault="007926AC" w:rsidP="00497CF1">
      <w:pPr>
        <w:pStyle w:val="Heading2"/>
      </w:pPr>
      <w:bookmarkStart w:id="127" w:name="_Toc475092544"/>
      <w:r>
        <w:lastRenderedPageBreak/>
        <w:t>CONFIGURAÇÃO DE USUÁRIOS</w:t>
      </w:r>
      <w:bookmarkEnd w:id="127"/>
    </w:p>
    <w:p w:rsidR="007926AC" w:rsidRPr="007926AC" w:rsidRDefault="007926AC" w:rsidP="007926AC">
      <w:r>
        <w:t>A configuração de mailing list só pode ser feita na base de dados do GRC.</w:t>
      </w:r>
    </w:p>
    <w:p w:rsidR="007926AC" w:rsidRPr="007926AC" w:rsidRDefault="007926AC" w:rsidP="007926AC"/>
    <w:p w:rsidR="007926AC" w:rsidRDefault="007926AC">
      <w:pPr>
        <w:ind w:left="0"/>
        <w:jc w:val="left"/>
      </w:pPr>
      <w:r>
        <w:br w:type="page"/>
      </w:r>
    </w:p>
    <w:p w:rsidR="00297B7C" w:rsidRDefault="003F375A" w:rsidP="00E61886">
      <w:r>
        <w:lastRenderedPageBreak/>
        <w:t>ANEXO I – Lista de Classes de Liquidez</w:t>
      </w:r>
    </w:p>
    <w:p w:rsidR="003F375A" w:rsidRDefault="003F375A" w:rsidP="00E61886"/>
    <w:tbl>
      <w:tblPr>
        <w:tblStyle w:val="HeaderChar"/>
        <w:tblW w:w="0" w:type="auto"/>
        <w:tblInd w:w="720" w:type="dxa"/>
        <w:tblLook w:val="04A0"/>
      </w:tblPr>
      <w:tblGrid>
        <w:gridCol w:w="2448"/>
        <w:gridCol w:w="6743"/>
      </w:tblGrid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Código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>Descrição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CASH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caixa em tesouraria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CDBS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CDB-S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TITPUB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Títulos públicos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OVER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</w:t>
            </w:r>
            <w:r>
              <w:t>Over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EUROBOND</w:t>
            </w:r>
          </w:p>
        </w:tc>
        <w:tc>
          <w:tcPr>
            <w:tcW w:w="6743" w:type="dxa"/>
          </w:tcPr>
          <w:p w:rsidR="003F375A" w:rsidRPr="003F375A" w:rsidRDefault="001D301F" w:rsidP="00E61886">
            <w:r>
              <w:t xml:space="preserve"> E</w:t>
            </w:r>
            <w:r w:rsidR="003F375A" w:rsidRPr="003F375A">
              <w:t>urobonds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CDBN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CDB-N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CDBM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CDB-M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LF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letra </w:t>
            </w:r>
            <w:r w:rsidR="001D301F">
              <w:t>F</w:t>
            </w:r>
            <w:r w:rsidRPr="003F375A">
              <w:t>inanceira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DEB400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Debêntura ICVM400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CDBSUB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CDB Subordinado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LFSUB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</w:t>
            </w:r>
            <w:r w:rsidR="001D301F">
              <w:t>Letra Financeira</w:t>
            </w:r>
            <w:r w:rsidRPr="003F375A">
              <w:t xml:space="preserve"> Subordinada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NOTAP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Nota promissória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FIILIST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Fundo imobiliário listado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DEB400CALL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debênture ICVM400 com call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DEB 476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debenture ICVM476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DEB476CALL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debenture ICVM476 com call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 w:rsidRPr="003F375A">
              <w:t>DPGE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 xml:space="preserve"> DPGE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>
              <w:t>FIDC</w:t>
            </w:r>
          </w:p>
        </w:tc>
        <w:tc>
          <w:tcPr>
            <w:tcW w:w="6743" w:type="dxa"/>
          </w:tcPr>
          <w:p w:rsidR="003F375A" w:rsidRPr="003F375A" w:rsidRDefault="003F375A" w:rsidP="00E61886">
            <w:r>
              <w:t>FIDC fechado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>
              <w:t>CCB</w:t>
            </w:r>
          </w:p>
        </w:tc>
        <w:tc>
          <w:tcPr>
            <w:tcW w:w="6743" w:type="dxa"/>
          </w:tcPr>
          <w:p w:rsidR="003F375A" w:rsidRPr="003F375A" w:rsidRDefault="003F375A" w:rsidP="00E61886">
            <w:r>
              <w:t>CCB ou CCCB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>
              <w:t>CRI</w:t>
            </w:r>
          </w:p>
        </w:tc>
        <w:tc>
          <w:tcPr>
            <w:tcW w:w="6743" w:type="dxa"/>
          </w:tcPr>
          <w:p w:rsidR="003F375A" w:rsidRPr="003F375A" w:rsidRDefault="003F375A" w:rsidP="00E61886">
            <w:r>
              <w:t>Certificado de Recebível Imobiliário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>
              <w:t>CRA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>Certificado de Recebível do A</w:t>
            </w:r>
            <w:r>
              <w:t>gronegócio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>
              <w:lastRenderedPageBreak/>
              <w:t>CDCA</w:t>
            </w:r>
          </w:p>
        </w:tc>
        <w:tc>
          <w:tcPr>
            <w:tcW w:w="6743" w:type="dxa"/>
          </w:tcPr>
          <w:p w:rsidR="003F375A" w:rsidRPr="003F375A" w:rsidRDefault="003F375A" w:rsidP="00E61886">
            <w:r w:rsidRPr="003F375A">
              <w:t>Certificado de Direitos Creditórios d</w:t>
            </w:r>
            <w:r>
              <w:t>o Agronegócio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>
              <w:t>CCI</w:t>
            </w:r>
          </w:p>
        </w:tc>
        <w:tc>
          <w:tcPr>
            <w:tcW w:w="6743" w:type="dxa"/>
          </w:tcPr>
          <w:p w:rsidR="003F375A" w:rsidRPr="003F375A" w:rsidRDefault="003F375A" w:rsidP="00E61886">
            <w:r>
              <w:t>Cédula de Crédito Imobiliário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>
              <w:t>CPR</w:t>
            </w:r>
          </w:p>
        </w:tc>
        <w:tc>
          <w:tcPr>
            <w:tcW w:w="6743" w:type="dxa"/>
          </w:tcPr>
          <w:p w:rsidR="003F375A" w:rsidRPr="003F375A" w:rsidRDefault="003F375A" w:rsidP="00E61886">
            <w:r>
              <w:t>Cédula de Produto Rural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>
              <w:t>LETRACR</w:t>
            </w:r>
          </w:p>
        </w:tc>
        <w:tc>
          <w:tcPr>
            <w:tcW w:w="6743" w:type="dxa"/>
          </w:tcPr>
          <w:p w:rsidR="003F375A" w:rsidRPr="003F375A" w:rsidRDefault="003F375A" w:rsidP="00E61886">
            <w:r>
              <w:t>Letra de Crédito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>
              <w:t>COMPRO</w:t>
            </w:r>
          </w:p>
        </w:tc>
        <w:tc>
          <w:tcPr>
            <w:tcW w:w="6743" w:type="dxa"/>
          </w:tcPr>
          <w:p w:rsidR="003F375A" w:rsidRPr="003F375A" w:rsidRDefault="003F375A" w:rsidP="00E61886">
            <w:r>
              <w:t>Operação compromissada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>
              <w:t>FIINLIST</w:t>
            </w:r>
          </w:p>
        </w:tc>
        <w:tc>
          <w:tcPr>
            <w:tcW w:w="6743" w:type="dxa"/>
          </w:tcPr>
          <w:p w:rsidR="003F375A" w:rsidRPr="003F375A" w:rsidRDefault="003F375A" w:rsidP="00E61886">
            <w:r>
              <w:t>Fundo Imobiliário não listado</w:t>
            </w:r>
          </w:p>
        </w:tc>
      </w:tr>
      <w:tr w:rsidR="003F375A" w:rsidRPr="003F375A" w:rsidTr="00E61886">
        <w:tc>
          <w:tcPr>
            <w:tcW w:w="2448" w:type="dxa"/>
          </w:tcPr>
          <w:p w:rsidR="003F375A" w:rsidRPr="003F375A" w:rsidRDefault="003F375A" w:rsidP="00E61886">
            <w:r>
              <w:t>COE</w:t>
            </w:r>
          </w:p>
        </w:tc>
        <w:tc>
          <w:tcPr>
            <w:tcW w:w="6743" w:type="dxa"/>
          </w:tcPr>
          <w:p w:rsidR="003F375A" w:rsidRPr="003F375A" w:rsidRDefault="003F375A" w:rsidP="00E61886">
            <w:r>
              <w:t>Certificado de Operações Estruturadas</w:t>
            </w:r>
          </w:p>
        </w:tc>
      </w:tr>
    </w:tbl>
    <w:p w:rsidR="003F375A" w:rsidRDefault="003F375A" w:rsidP="00E61886"/>
    <w:p w:rsidR="003F375A" w:rsidRDefault="003F375A" w:rsidP="00E61886"/>
    <w:p w:rsidR="003F375A" w:rsidRDefault="003F375A" w:rsidP="00E61886">
      <w:r>
        <w:br w:type="page"/>
      </w:r>
    </w:p>
    <w:p w:rsidR="003F375A" w:rsidRDefault="003F375A" w:rsidP="00E61886">
      <w:r>
        <w:lastRenderedPageBreak/>
        <w:t>ANEXO II – Lista de Classes de Schedule</w:t>
      </w:r>
    </w:p>
    <w:p w:rsidR="001D301F" w:rsidRPr="009A79B9" w:rsidRDefault="001D301F" w:rsidP="00E61886">
      <w:r>
        <w:tab/>
      </w:r>
    </w:p>
    <w:tbl>
      <w:tblPr>
        <w:tblStyle w:val="HeaderChar"/>
        <w:tblW w:w="0" w:type="auto"/>
        <w:tblInd w:w="738" w:type="dxa"/>
        <w:tblLook w:val="04A0"/>
      </w:tblPr>
      <w:tblGrid>
        <w:gridCol w:w="2430"/>
        <w:gridCol w:w="6512"/>
      </w:tblGrid>
      <w:tr w:rsidR="001D301F" w:rsidRPr="001D301F" w:rsidTr="00E61886">
        <w:tc>
          <w:tcPr>
            <w:tcW w:w="2430" w:type="dxa"/>
          </w:tcPr>
          <w:p w:rsidR="001D301F" w:rsidRPr="001D301F" w:rsidRDefault="001D301F" w:rsidP="00E61886">
            <w:r w:rsidRPr="001D301F">
              <w:t>OVER</w:t>
            </w:r>
          </w:p>
        </w:tc>
        <w:tc>
          <w:tcPr>
            <w:tcW w:w="6512" w:type="dxa"/>
          </w:tcPr>
          <w:p w:rsidR="001D301F" w:rsidRDefault="001D301F" w:rsidP="00E61886">
            <w:r w:rsidRPr="001D301F">
              <w:t xml:space="preserve"> paga juros e principal no dia seguinte;</w:t>
            </w:r>
          </w:p>
          <w:p w:rsidR="00E61886" w:rsidRPr="001D301F" w:rsidRDefault="00E61886" w:rsidP="00E61886"/>
        </w:tc>
      </w:tr>
      <w:tr w:rsidR="001D301F" w:rsidRPr="001D301F" w:rsidTr="00E61886">
        <w:tc>
          <w:tcPr>
            <w:tcW w:w="2430" w:type="dxa"/>
          </w:tcPr>
          <w:p w:rsidR="001D301F" w:rsidRPr="001D301F" w:rsidRDefault="001D301F" w:rsidP="00E61886">
            <w:r w:rsidRPr="001D301F">
              <w:t>ZERO</w:t>
            </w:r>
          </w:p>
        </w:tc>
        <w:tc>
          <w:tcPr>
            <w:tcW w:w="6512" w:type="dxa"/>
          </w:tcPr>
          <w:p w:rsidR="001D301F" w:rsidRDefault="001D301F" w:rsidP="00E61886">
            <w:r w:rsidRPr="001D301F">
              <w:t xml:space="preserve"> paga juros e principal no vencimento;</w:t>
            </w:r>
          </w:p>
          <w:p w:rsidR="00E61886" w:rsidRPr="001D301F" w:rsidRDefault="00E61886" w:rsidP="00E61886"/>
        </w:tc>
      </w:tr>
      <w:tr w:rsidR="001D301F" w:rsidRPr="001D301F" w:rsidTr="00E61886">
        <w:tc>
          <w:tcPr>
            <w:tcW w:w="2430" w:type="dxa"/>
          </w:tcPr>
          <w:p w:rsidR="001D301F" w:rsidRPr="001D301F" w:rsidRDefault="001D301F" w:rsidP="00E61886">
            <w:r w:rsidRPr="001D301F">
              <w:t>MATURITY</w:t>
            </w:r>
          </w:p>
        </w:tc>
        <w:tc>
          <w:tcPr>
            <w:tcW w:w="6512" w:type="dxa"/>
          </w:tcPr>
          <w:p w:rsidR="001D301F" w:rsidRDefault="001D301F" w:rsidP="00E61886">
            <w:r w:rsidRPr="001D301F">
              <w:t xml:space="preserve"> paga principal no vencimento e juros periódicos;</w:t>
            </w:r>
          </w:p>
          <w:p w:rsidR="00E61886" w:rsidRPr="001D301F" w:rsidRDefault="00E61886" w:rsidP="00E61886"/>
        </w:tc>
      </w:tr>
      <w:tr w:rsidR="001D301F" w:rsidRPr="001D301F" w:rsidTr="00E61886">
        <w:tc>
          <w:tcPr>
            <w:tcW w:w="2430" w:type="dxa"/>
          </w:tcPr>
          <w:p w:rsidR="001D301F" w:rsidRPr="001D301F" w:rsidRDefault="001D301F" w:rsidP="00E61886">
            <w:r w:rsidRPr="001D301F">
              <w:t>PERP</w:t>
            </w:r>
          </w:p>
        </w:tc>
        <w:tc>
          <w:tcPr>
            <w:tcW w:w="6512" w:type="dxa"/>
          </w:tcPr>
          <w:p w:rsidR="001D301F" w:rsidRDefault="001D301F" w:rsidP="00E61886">
            <w:r w:rsidRPr="001D301F">
              <w:t xml:space="preserve"> paga juros periódicos e não paga principal.</w:t>
            </w:r>
          </w:p>
          <w:p w:rsidR="00E61886" w:rsidRPr="001D301F" w:rsidRDefault="00E61886" w:rsidP="00E61886"/>
        </w:tc>
      </w:tr>
    </w:tbl>
    <w:p w:rsidR="003F375A" w:rsidRDefault="003F375A" w:rsidP="00E61886"/>
    <w:p w:rsidR="00E61886" w:rsidRDefault="00E61886">
      <w:pPr>
        <w:ind w:left="0"/>
        <w:jc w:val="left"/>
      </w:pPr>
      <w:r>
        <w:br w:type="page"/>
      </w:r>
    </w:p>
    <w:p w:rsidR="00E61886" w:rsidRDefault="00E61886" w:rsidP="00E61886">
      <w:r>
        <w:lastRenderedPageBreak/>
        <w:t>ANEXO III – Lista de Tipos de Fundo</w:t>
      </w:r>
    </w:p>
    <w:p w:rsidR="00E61886" w:rsidRPr="009A79B9" w:rsidRDefault="00E61886" w:rsidP="00E61886">
      <w:r>
        <w:tab/>
      </w:r>
    </w:p>
    <w:tbl>
      <w:tblPr>
        <w:tblStyle w:val="HeaderChar"/>
        <w:tblW w:w="0" w:type="auto"/>
        <w:tblInd w:w="738" w:type="dxa"/>
        <w:tblLook w:val="04A0"/>
      </w:tblPr>
      <w:tblGrid>
        <w:gridCol w:w="2430"/>
        <w:gridCol w:w="6512"/>
      </w:tblGrid>
      <w:tr w:rsidR="00E61886" w:rsidRPr="001D301F" w:rsidTr="004911F0">
        <w:tc>
          <w:tcPr>
            <w:tcW w:w="2430" w:type="dxa"/>
          </w:tcPr>
          <w:p w:rsidR="00E61886" w:rsidRPr="001D301F" w:rsidRDefault="00E61886" w:rsidP="004911F0">
            <w:r>
              <w:t>OPEN</w:t>
            </w:r>
          </w:p>
        </w:tc>
        <w:tc>
          <w:tcPr>
            <w:tcW w:w="6512" w:type="dxa"/>
          </w:tcPr>
          <w:p w:rsidR="00E61886" w:rsidRDefault="00E61886" w:rsidP="004911F0">
            <w:r>
              <w:t>Fundo aberto a receber investimentos de cotistas, sem restrições, e que não pertence a uma estrutura Master-Feeder.</w:t>
            </w:r>
          </w:p>
          <w:p w:rsidR="00E61886" w:rsidRPr="001D301F" w:rsidRDefault="00E61886" w:rsidP="004911F0"/>
        </w:tc>
      </w:tr>
      <w:tr w:rsidR="00E61886" w:rsidRPr="001D301F" w:rsidTr="004911F0">
        <w:tc>
          <w:tcPr>
            <w:tcW w:w="2430" w:type="dxa"/>
          </w:tcPr>
          <w:p w:rsidR="00E61886" w:rsidRPr="001D301F" w:rsidRDefault="00E61886" w:rsidP="004911F0">
            <w:r>
              <w:t>CLOSED</w:t>
            </w:r>
          </w:p>
        </w:tc>
        <w:tc>
          <w:tcPr>
            <w:tcW w:w="6512" w:type="dxa"/>
          </w:tcPr>
          <w:p w:rsidR="00E61886" w:rsidRDefault="00E61886" w:rsidP="004911F0">
            <w:r>
              <w:t>Fundo em condomínio fechado; não pode receber aplicações nem efetuar resgates.</w:t>
            </w:r>
          </w:p>
          <w:p w:rsidR="00E61886" w:rsidRPr="001D301F" w:rsidRDefault="00E61886" w:rsidP="004911F0"/>
        </w:tc>
      </w:tr>
      <w:tr w:rsidR="00E61886" w:rsidRPr="001D301F" w:rsidTr="004911F0">
        <w:tc>
          <w:tcPr>
            <w:tcW w:w="2430" w:type="dxa"/>
          </w:tcPr>
          <w:p w:rsidR="00E61886" w:rsidRDefault="00E61886" w:rsidP="004911F0">
            <w:r>
              <w:t>EXCLUSIVO</w:t>
            </w:r>
          </w:p>
        </w:tc>
        <w:tc>
          <w:tcPr>
            <w:tcW w:w="6512" w:type="dxa"/>
          </w:tcPr>
          <w:p w:rsidR="00E61886" w:rsidRDefault="00E61886" w:rsidP="004911F0">
            <w:r>
              <w:t>Fundo aberto exclusivo de um cotista.</w:t>
            </w:r>
          </w:p>
          <w:p w:rsidR="00E61886" w:rsidRPr="001D301F" w:rsidRDefault="00E61886" w:rsidP="004911F0"/>
        </w:tc>
      </w:tr>
      <w:tr w:rsidR="00E61886" w:rsidRPr="001D301F" w:rsidTr="004911F0">
        <w:tc>
          <w:tcPr>
            <w:tcW w:w="2430" w:type="dxa"/>
          </w:tcPr>
          <w:p w:rsidR="00E61886" w:rsidRPr="001D301F" w:rsidRDefault="00E61886" w:rsidP="004911F0">
            <w:r>
              <w:t>MASTER</w:t>
            </w:r>
          </w:p>
        </w:tc>
        <w:tc>
          <w:tcPr>
            <w:tcW w:w="6512" w:type="dxa"/>
          </w:tcPr>
          <w:p w:rsidR="00E61886" w:rsidRDefault="00E61886" w:rsidP="004911F0">
            <w:r>
              <w:t>Fundo aberto que recebe investimentos de outros fundos, sem ser ele próprio um fundo exclusivo.</w:t>
            </w:r>
          </w:p>
          <w:p w:rsidR="00E61886" w:rsidRPr="001D301F" w:rsidRDefault="00E61886" w:rsidP="004911F0"/>
        </w:tc>
      </w:tr>
      <w:tr w:rsidR="00E61886" w:rsidRPr="001D301F" w:rsidTr="004911F0">
        <w:tc>
          <w:tcPr>
            <w:tcW w:w="2430" w:type="dxa"/>
          </w:tcPr>
          <w:p w:rsidR="00E61886" w:rsidRPr="001D301F" w:rsidRDefault="00E61886" w:rsidP="004911F0">
            <w:r>
              <w:t>FEEDER</w:t>
            </w:r>
          </w:p>
        </w:tc>
        <w:tc>
          <w:tcPr>
            <w:tcW w:w="6512" w:type="dxa"/>
          </w:tcPr>
          <w:p w:rsidR="00E61886" w:rsidRDefault="00E61886" w:rsidP="004911F0">
            <w:r>
              <w:t>Fundo aberto que recebe investimentos de cotistas e aplica em quotas de outros fundos (FICs)</w:t>
            </w:r>
          </w:p>
          <w:p w:rsidR="00E61886" w:rsidRPr="001D301F" w:rsidRDefault="00E61886" w:rsidP="004911F0"/>
        </w:tc>
      </w:tr>
    </w:tbl>
    <w:p w:rsidR="00E61886" w:rsidRDefault="00E61886" w:rsidP="00E61886"/>
    <w:p w:rsidR="00E61886" w:rsidRDefault="00E61886" w:rsidP="00E61886"/>
    <w:p w:rsidR="00513248" w:rsidRDefault="00513248">
      <w:pPr>
        <w:ind w:left="0"/>
        <w:jc w:val="left"/>
      </w:pPr>
      <w:r>
        <w:br w:type="page"/>
      </w:r>
    </w:p>
    <w:p w:rsidR="00513248" w:rsidRDefault="00513248" w:rsidP="00513248">
      <w:r>
        <w:lastRenderedPageBreak/>
        <w:t>ANEXO IV – Lista de Status do Título</w:t>
      </w:r>
    </w:p>
    <w:p w:rsidR="00513248" w:rsidRPr="009A79B9" w:rsidRDefault="00513248" w:rsidP="00513248">
      <w:r>
        <w:tab/>
      </w:r>
    </w:p>
    <w:tbl>
      <w:tblPr>
        <w:tblStyle w:val="HeaderChar"/>
        <w:tblW w:w="0" w:type="auto"/>
        <w:tblInd w:w="738" w:type="dxa"/>
        <w:tblLook w:val="04A0"/>
      </w:tblPr>
      <w:tblGrid>
        <w:gridCol w:w="2430"/>
        <w:gridCol w:w="6512"/>
      </w:tblGrid>
      <w:tr w:rsidR="00513248" w:rsidRPr="001D301F" w:rsidTr="00513248">
        <w:tc>
          <w:tcPr>
            <w:tcW w:w="2430" w:type="dxa"/>
          </w:tcPr>
          <w:p w:rsidR="00513248" w:rsidRPr="001D301F" w:rsidRDefault="00513248" w:rsidP="00513248">
            <w:r>
              <w:t>CRIADO</w:t>
            </w:r>
          </w:p>
        </w:tc>
        <w:tc>
          <w:tcPr>
            <w:tcW w:w="6512" w:type="dxa"/>
          </w:tcPr>
          <w:p w:rsidR="00513248" w:rsidRDefault="00513248" w:rsidP="00513248">
            <w:r>
              <w:t xml:space="preserve">Criado por comando do usuário Menu Títulos </w:t>
            </w:r>
            <w:r>
              <w:sym w:font="Wingdings" w:char="F0E0"/>
            </w:r>
            <w:r>
              <w:t xml:space="preserve"> Cria e não preeenchido</w:t>
            </w:r>
          </w:p>
          <w:p w:rsidR="00513248" w:rsidRPr="001D301F" w:rsidRDefault="00513248" w:rsidP="00513248"/>
        </w:tc>
      </w:tr>
      <w:tr w:rsidR="00513248" w:rsidRPr="001D301F" w:rsidTr="00513248">
        <w:tc>
          <w:tcPr>
            <w:tcW w:w="2430" w:type="dxa"/>
          </w:tcPr>
          <w:p w:rsidR="00513248" w:rsidRPr="001D301F" w:rsidRDefault="00513248" w:rsidP="00513248">
            <w:r>
              <w:t>AUTO_TIPO_1</w:t>
            </w:r>
          </w:p>
        </w:tc>
        <w:tc>
          <w:tcPr>
            <w:tcW w:w="6512" w:type="dxa"/>
          </w:tcPr>
          <w:p w:rsidR="00513248" w:rsidRDefault="00513248" w:rsidP="00513248">
            <w:r>
              <w:t>Criado automaticamente de uma importação de carteira TXT</w:t>
            </w:r>
          </w:p>
          <w:p w:rsidR="00513248" w:rsidRPr="001D301F" w:rsidRDefault="00513248" w:rsidP="00513248"/>
        </w:tc>
      </w:tr>
      <w:tr w:rsidR="00513248" w:rsidRPr="001D301F" w:rsidTr="00513248">
        <w:tc>
          <w:tcPr>
            <w:tcW w:w="2430" w:type="dxa"/>
          </w:tcPr>
          <w:p w:rsidR="00513248" w:rsidRDefault="00513248" w:rsidP="00513248">
            <w:r>
              <w:t>AUTO_TIPO_2</w:t>
            </w:r>
          </w:p>
        </w:tc>
        <w:tc>
          <w:tcPr>
            <w:tcW w:w="6512" w:type="dxa"/>
          </w:tcPr>
          <w:p w:rsidR="00513248" w:rsidRDefault="00513248" w:rsidP="00513248">
            <w:r>
              <w:t>Criado automaticamente de uma importação de carteira XML ANBIMA</w:t>
            </w:r>
          </w:p>
          <w:p w:rsidR="00513248" w:rsidRPr="001D301F" w:rsidRDefault="00513248" w:rsidP="00513248"/>
        </w:tc>
      </w:tr>
      <w:tr w:rsidR="00513248" w:rsidRPr="001D301F" w:rsidTr="00513248">
        <w:tc>
          <w:tcPr>
            <w:tcW w:w="2430" w:type="dxa"/>
          </w:tcPr>
          <w:p w:rsidR="00513248" w:rsidRPr="001D301F" w:rsidRDefault="00513248" w:rsidP="00513248">
            <w:r>
              <w:t>EDITADO</w:t>
            </w:r>
          </w:p>
        </w:tc>
        <w:tc>
          <w:tcPr>
            <w:tcW w:w="6512" w:type="dxa"/>
          </w:tcPr>
          <w:p w:rsidR="00513248" w:rsidRDefault="00513248" w:rsidP="00513248">
            <w:r>
              <w:t>Editado pelo usuário, mas sem a liberação (usuário escolhe “OK” ao invés de “OK e Libera”)</w:t>
            </w:r>
          </w:p>
          <w:p w:rsidR="00513248" w:rsidRPr="001D301F" w:rsidRDefault="00513248" w:rsidP="00513248"/>
        </w:tc>
      </w:tr>
      <w:tr w:rsidR="00513248" w:rsidRPr="001D301F" w:rsidTr="00513248">
        <w:tc>
          <w:tcPr>
            <w:tcW w:w="2430" w:type="dxa"/>
          </w:tcPr>
          <w:p w:rsidR="00513248" w:rsidRPr="001D301F" w:rsidRDefault="00513248" w:rsidP="00513248">
            <w:r>
              <w:t>LIBERADO</w:t>
            </w:r>
          </w:p>
        </w:tc>
        <w:tc>
          <w:tcPr>
            <w:tcW w:w="6512" w:type="dxa"/>
          </w:tcPr>
          <w:p w:rsidR="00513248" w:rsidRDefault="00513248" w:rsidP="00513248">
            <w:r>
              <w:t>Liberado pelo usuário (usuário escolhe “OK e Libera”)</w:t>
            </w:r>
          </w:p>
          <w:p w:rsidR="00513248" w:rsidRPr="001D301F" w:rsidRDefault="00513248" w:rsidP="00513248"/>
        </w:tc>
      </w:tr>
    </w:tbl>
    <w:p w:rsidR="00513248" w:rsidRDefault="00513248" w:rsidP="00513248"/>
    <w:p w:rsidR="00391AA8" w:rsidRDefault="00391AA8">
      <w:pPr>
        <w:ind w:left="0"/>
        <w:jc w:val="left"/>
      </w:pPr>
      <w:r>
        <w:br w:type="page"/>
      </w:r>
    </w:p>
    <w:p w:rsidR="00391AA8" w:rsidRDefault="00391AA8" w:rsidP="00391AA8">
      <w:r>
        <w:lastRenderedPageBreak/>
        <w:t>ANEXO V – Metodologias de Liquidez</w:t>
      </w:r>
    </w:p>
    <w:p w:rsidR="00391AA8" w:rsidRPr="009A79B9" w:rsidRDefault="00391AA8" w:rsidP="00391AA8">
      <w:r>
        <w:tab/>
      </w:r>
    </w:p>
    <w:tbl>
      <w:tblPr>
        <w:tblStyle w:val="HeaderChar"/>
        <w:tblW w:w="0" w:type="auto"/>
        <w:tblInd w:w="738" w:type="dxa"/>
        <w:tblLook w:val="04A0"/>
      </w:tblPr>
      <w:tblGrid>
        <w:gridCol w:w="2430"/>
        <w:gridCol w:w="6512"/>
      </w:tblGrid>
      <w:tr w:rsidR="00391AA8" w:rsidRPr="001D301F" w:rsidTr="00391AA8">
        <w:tc>
          <w:tcPr>
            <w:tcW w:w="2430" w:type="dxa"/>
          </w:tcPr>
          <w:p w:rsidR="00391AA8" w:rsidRPr="001D301F" w:rsidRDefault="00391AA8" w:rsidP="00391AA8">
            <w:r>
              <w:t>CFLOW</w:t>
            </w:r>
          </w:p>
        </w:tc>
        <w:tc>
          <w:tcPr>
            <w:tcW w:w="6512" w:type="dxa"/>
          </w:tcPr>
          <w:p w:rsidR="00391AA8" w:rsidRDefault="00391AA8" w:rsidP="00391AA8">
            <w:r>
              <w:t>Apenas a geração de fluxo de caixa é considerada.</w:t>
            </w:r>
          </w:p>
          <w:p w:rsidR="00391AA8" w:rsidRPr="001D301F" w:rsidRDefault="00391AA8" w:rsidP="00391AA8"/>
        </w:tc>
      </w:tr>
      <w:tr w:rsidR="00391AA8" w:rsidRPr="001D301F" w:rsidTr="00391AA8">
        <w:tc>
          <w:tcPr>
            <w:tcW w:w="2430" w:type="dxa"/>
          </w:tcPr>
          <w:p w:rsidR="00391AA8" w:rsidRPr="001D301F" w:rsidRDefault="00391AA8" w:rsidP="00391AA8">
            <w:r>
              <w:t>ANBIMA</w:t>
            </w:r>
          </w:p>
        </w:tc>
        <w:tc>
          <w:tcPr>
            <w:tcW w:w="6512" w:type="dxa"/>
          </w:tcPr>
          <w:p w:rsidR="00391AA8" w:rsidRDefault="00391AA8" w:rsidP="00391AA8">
            <w:r>
              <w:t>A geração de fluxo de caixa é considerada, sendo o prazo de cada fluxo ajustado conforme o tipo do título segundo a tabela da Metodologia ANBIMA de Liquidez para Crédito Privado.</w:t>
            </w:r>
          </w:p>
          <w:p w:rsidR="00391AA8" w:rsidRPr="001D301F" w:rsidRDefault="00391AA8" w:rsidP="00391AA8"/>
        </w:tc>
      </w:tr>
      <w:tr w:rsidR="00391AA8" w:rsidRPr="001D301F" w:rsidTr="00391AA8">
        <w:tc>
          <w:tcPr>
            <w:tcW w:w="2430" w:type="dxa"/>
          </w:tcPr>
          <w:p w:rsidR="00391AA8" w:rsidRDefault="00391AA8" w:rsidP="00391AA8">
            <w:r>
              <w:t>ADTV</w:t>
            </w:r>
          </w:p>
        </w:tc>
        <w:tc>
          <w:tcPr>
            <w:tcW w:w="6512" w:type="dxa"/>
          </w:tcPr>
          <w:p w:rsidR="00391AA8" w:rsidRDefault="00391AA8" w:rsidP="00391AA8">
            <w:r>
              <w:t>A geração de fluxo de caixa é considerada, mais 20% da média de volume diário (ADTV)</w:t>
            </w:r>
          </w:p>
          <w:p w:rsidR="00391AA8" w:rsidRPr="001D301F" w:rsidRDefault="00391AA8" w:rsidP="00391AA8"/>
        </w:tc>
      </w:tr>
    </w:tbl>
    <w:p w:rsidR="00391AA8" w:rsidRDefault="00391AA8" w:rsidP="00391AA8"/>
    <w:p w:rsidR="00391AA8" w:rsidRDefault="00391AA8" w:rsidP="00391AA8"/>
    <w:p w:rsidR="00513248" w:rsidRDefault="00513248" w:rsidP="00513248"/>
    <w:p w:rsidR="00E61886" w:rsidRPr="003F375A" w:rsidRDefault="00E61886" w:rsidP="00E61886"/>
    <w:sectPr w:rsidR="00E61886" w:rsidRPr="003F375A" w:rsidSect="00C676D2">
      <w:headerReference w:type="default" r:id="rId47"/>
      <w:footerReference w:type="default" r:id="rId4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1A56" w:rsidRDefault="003C1A56" w:rsidP="00C676D2">
      <w:r>
        <w:separator/>
      </w:r>
    </w:p>
  </w:endnote>
  <w:endnote w:type="continuationSeparator" w:id="0">
    <w:p w:rsidR="003C1A56" w:rsidRDefault="003C1A56" w:rsidP="00C676D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304155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3C1A56" w:rsidRDefault="003C1A56" w:rsidP="00C676D2">
            <w:pPr>
              <w:pStyle w:val="Footer"/>
            </w:pPr>
          </w:p>
          <w:p w:rsidR="003C1A56" w:rsidRDefault="003C1A56" w:rsidP="00560E75">
            <w:pPr>
              <w:pStyle w:val="Footer"/>
              <w:jc w:val="center"/>
            </w:pPr>
            <w:r>
              <w:t xml:space="preserve">Pg </w:t>
            </w:r>
            <w:fldSimple w:instr=" PAGE ">
              <w:r w:rsidR="000065AB">
                <w:rPr>
                  <w:noProof/>
                </w:rPr>
                <w:t>84</w:t>
              </w:r>
            </w:fldSimple>
            <w:r>
              <w:t xml:space="preserve"> de </w:t>
            </w:r>
            <w:fldSimple w:instr=" NUMPAGES  ">
              <w:r w:rsidR="000065AB">
                <w:rPr>
                  <w:noProof/>
                </w:rPr>
                <w:t>93</w:t>
              </w:r>
            </w:fldSimple>
          </w:p>
        </w:sdtContent>
      </w:sdt>
    </w:sdtContent>
  </w:sdt>
  <w:p w:rsidR="003C1A56" w:rsidRDefault="003C1A56" w:rsidP="00C676D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1A56" w:rsidRDefault="003C1A56" w:rsidP="00C676D2">
      <w:r>
        <w:separator/>
      </w:r>
    </w:p>
  </w:footnote>
  <w:footnote w:type="continuationSeparator" w:id="0">
    <w:p w:rsidR="003C1A56" w:rsidRDefault="003C1A56" w:rsidP="00C676D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1A56" w:rsidRDefault="003C1A56" w:rsidP="004C78B5">
    <w:pPr>
      <w:pStyle w:val="Header"/>
      <w:tabs>
        <w:tab w:val="clear" w:pos="4513"/>
        <w:tab w:val="center" w:pos="5310"/>
      </w:tabs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-381000</wp:posOffset>
          </wp:positionH>
          <wp:positionV relativeFrom="paragraph">
            <wp:posOffset>-247650</wp:posOffset>
          </wp:positionV>
          <wp:extent cx="1504950" cy="447675"/>
          <wp:effectExtent l="19050" t="0" r="0" b="0"/>
          <wp:wrapThrough wrapText="bothSides">
            <wp:wrapPolygon edited="0">
              <wp:start x="-273" y="0"/>
              <wp:lineTo x="-273" y="21140"/>
              <wp:lineTo x="21600" y="21140"/>
              <wp:lineTo x="21600" y="0"/>
              <wp:lineTo x="-273" y="0"/>
            </wp:wrapPolygon>
          </wp:wrapThrough>
          <wp:docPr id="5" name="Picture 4" descr="capitania-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pitania-logo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50495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tab w:relativeTo="margin" w:alignment="center" w:leader="none"/>
    </w:r>
    <w:r>
      <w:t>SRC</w:t>
    </w:r>
    <w:r>
      <w:ptab w:relativeTo="margin" w:alignment="right" w:leader="none"/>
    </w:r>
    <w:r>
      <w:t>versão 1.112</w:t>
    </w:r>
  </w:p>
  <w:p w:rsidR="003C1A56" w:rsidRDefault="003C1A56" w:rsidP="004C78B5">
    <w:pPr>
      <w:pStyle w:val="Header"/>
      <w:tabs>
        <w:tab w:val="clear" w:pos="4513"/>
        <w:tab w:val="center" w:pos="5400"/>
      </w:tabs>
    </w:pPr>
    <w:r>
      <w:tab/>
      <w:t>Sistema de Risco e Compliance</w:t>
    </w:r>
  </w:p>
  <w:p w:rsidR="003C1A56" w:rsidRDefault="003C1A56" w:rsidP="00A52952">
    <w:pPr>
      <w:pStyle w:val="Header"/>
      <w:tabs>
        <w:tab w:val="clear" w:pos="4513"/>
        <w:tab w:val="center" w:pos="5400"/>
      </w:tabs>
      <w:ind w:left="0"/>
      <w:jc w:val="center"/>
    </w:pPr>
    <w:fldSimple w:instr=" STYLEREF  &quot;Heading 1&quot;  \* MERGEFORMAT ">
      <w:r w:rsidR="000065AB">
        <w:rPr>
          <w:noProof/>
        </w:rPr>
        <w:t>MANUTENÇÃO</w:t>
      </w:r>
    </w:fldSimple>
  </w:p>
  <w:p w:rsidR="003C1A56" w:rsidRDefault="003C1A56" w:rsidP="00C676D2">
    <w:pPr>
      <w:pStyle w:val="Header"/>
    </w:pPr>
  </w:p>
  <w:p w:rsidR="003C1A56" w:rsidRDefault="003C1A56" w:rsidP="00C676D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12A8E"/>
    <w:multiLevelType w:val="hybridMultilevel"/>
    <w:tmpl w:val="7C2890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A83069"/>
    <w:multiLevelType w:val="hybridMultilevel"/>
    <w:tmpl w:val="D5C8E52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6DC5B0E"/>
    <w:multiLevelType w:val="hybridMultilevel"/>
    <w:tmpl w:val="CB2AA75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C83B99"/>
    <w:multiLevelType w:val="hybridMultilevel"/>
    <w:tmpl w:val="50DC99F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E2C6A4D"/>
    <w:multiLevelType w:val="hybridMultilevel"/>
    <w:tmpl w:val="B2281AD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F6C48B7"/>
    <w:multiLevelType w:val="hybridMultilevel"/>
    <w:tmpl w:val="C87E016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0A94913"/>
    <w:multiLevelType w:val="hybridMultilevel"/>
    <w:tmpl w:val="2C90EB9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2F56401"/>
    <w:multiLevelType w:val="hybridMultilevel"/>
    <w:tmpl w:val="A92A1F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6BB4ABA"/>
    <w:multiLevelType w:val="hybridMultilevel"/>
    <w:tmpl w:val="0598DDA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B7A597E"/>
    <w:multiLevelType w:val="hybridMultilevel"/>
    <w:tmpl w:val="ED64B3D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2F54821"/>
    <w:multiLevelType w:val="hybridMultilevel"/>
    <w:tmpl w:val="C57238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5C813B8"/>
    <w:multiLevelType w:val="hybridMultilevel"/>
    <w:tmpl w:val="6A34B20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7FD3D47"/>
    <w:multiLevelType w:val="hybridMultilevel"/>
    <w:tmpl w:val="3758A34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AC455EA"/>
    <w:multiLevelType w:val="hybridMultilevel"/>
    <w:tmpl w:val="77AA3C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B406D40"/>
    <w:multiLevelType w:val="hybridMultilevel"/>
    <w:tmpl w:val="EF089C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BAB77A1"/>
    <w:multiLevelType w:val="hybridMultilevel"/>
    <w:tmpl w:val="5E0449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2EC7349F"/>
    <w:multiLevelType w:val="hybridMultilevel"/>
    <w:tmpl w:val="CD5E4CC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787048E"/>
    <w:multiLevelType w:val="hybridMultilevel"/>
    <w:tmpl w:val="C26EB24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37E3481D"/>
    <w:multiLevelType w:val="hybridMultilevel"/>
    <w:tmpl w:val="7BCA6F9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EA5762A"/>
    <w:multiLevelType w:val="hybridMultilevel"/>
    <w:tmpl w:val="FF889D6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05A061A"/>
    <w:multiLevelType w:val="hybridMultilevel"/>
    <w:tmpl w:val="F5E61802"/>
    <w:lvl w:ilvl="0" w:tplc="4AD07C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1760AB6"/>
    <w:multiLevelType w:val="hybridMultilevel"/>
    <w:tmpl w:val="4E4C2EE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43A29E3"/>
    <w:multiLevelType w:val="hybridMultilevel"/>
    <w:tmpl w:val="6DACCF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4B91F23"/>
    <w:multiLevelType w:val="hybridMultilevel"/>
    <w:tmpl w:val="3E104C50"/>
    <w:lvl w:ilvl="0" w:tplc="8A4E5164">
      <w:start w:val="1"/>
      <w:numFmt w:val="bullet"/>
      <w:pStyle w:val="ListParagraph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48D56716"/>
    <w:multiLevelType w:val="hybridMultilevel"/>
    <w:tmpl w:val="F6001EE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49F50D43"/>
    <w:multiLevelType w:val="hybridMultilevel"/>
    <w:tmpl w:val="C7A802F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4CDB263F"/>
    <w:multiLevelType w:val="hybridMultilevel"/>
    <w:tmpl w:val="FD401CD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CE416AA"/>
    <w:multiLevelType w:val="hybridMultilevel"/>
    <w:tmpl w:val="34EE09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EF30236"/>
    <w:multiLevelType w:val="hybridMultilevel"/>
    <w:tmpl w:val="1DEEB73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4EFB27F1"/>
    <w:multiLevelType w:val="hybridMultilevel"/>
    <w:tmpl w:val="000E7A0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52DA2C7F"/>
    <w:multiLevelType w:val="hybridMultilevel"/>
    <w:tmpl w:val="8F98346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535C46A2"/>
    <w:multiLevelType w:val="hybridMultilevel"/>
    <w:tmpl w:val="FDE01D9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>
    <w:nsid w:val="54057915"/>
    <w:multiLevelType w:val="hybridMultilevel"/>
    <w:tmpl w:val="53BA62CC"/>
    <w:lvl w:ilvl="0" w:tplc="DFD0D0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9072C6B"/>
    <w:multiLevelType w:val="multilevel"/>
    <w:tmpl w:val="18CA7FF0"/>
    <w:lvl w:ilvl="0">
      <w:start w:val="1"/>
      <w:numFmt w:val="upperRoman"/>
      <w:pStyle w:val="Heading1"/>
      <w:lvlText w:val="%1-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Heading2"/>
      <w:lvlText w:val="%1-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>
    <w:nsid w:val="5AFB0672"/>
    <w:multiLevelType w:val="hybridMultilevel"/>
    <w:tmpl w:val="FF52A7B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0EE4DAF"/>
    <w:multiLevelType w:val="hybridMultilevel"/>
    <w:tmpl w:val="F07A2F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38E0D13"/>
    <w:multiLevelType w:val="hybridMultilevel"/>
    <w:tmpl w:val="79A4E47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6A191FAB"/>
    <w:multiLevelType w:val="hybridMultilevel"/>
    <w:tmpl w:val="6554DB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C52592A"/>
    <w:multiLevelType w:val="hybridMultilevel"/>
    <w:tmpl w:val="B80E75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6EF870EC"/>
    <w:multiLevelType w:val="hybridMultilevel"/>
    <w:tmpl w:val="B8900D5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6F195856"/>
    <w:multiLevelType w:val="hybridMultilevel"/>
    <w:tmpl w:val="9E76941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71E8167F"/>
    <w:multiLevelType w:val="hybridMultilevel"/>
    <w:tmpl w:val="5C06DFF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7220068F"/>
    <w:multiLevelType w:val="hybridMultilevel"/>
    <w:tmpl w:val="A1ACF22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725039E8"/>
    <w:multiLevelType w:val="hybridMultilevel"/>
    <w:tmpl w:val="8CAE5CB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>
    <w:nsid w:val="7675398D"/>
    <w:multiLevelType w:val="hybridMultilevel"/>
    <w:tmpl w:val="0694C47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>
    <w:nsid w:val="78D60801"/>
    <w:multiLevelType w:val="hybridMultilevel"/>
    <w:tmpl w:val="763C78C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A166964"/>
    <w:multiLevelType w:val="hybridMultilevel"/>
    <w:tmpl w:val="FB1C29E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>
    <w:nsid w:val="7B802A27"/>
    <w:multiLevelType w:val="hybridMultilevel"/>
    <w:tmpl w:val="A38CBF6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>
    <w:nsid w:val="7E194D15"/>
    <w:multiLevelType w:val="hybridMultilevel"/>
    <w:tmpl w:val="B4B0593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3"/>
  </w:num>
  <w:num w:numId="3">
    <w:abstractNumId w:val="2"/>
  </w:num>
  <w:num w:numId="4">
    <w:abstractNumId w:val="36"/>
  </w:num>
  <w:num w:numId="5">
    <w:abstractNumId w:val="30"/>
  </w:num>
  <w:num w:numId="6">
    <w:abstractNumId w:val="47"/>
  </w:num>
  <w:num w:numId="7">
    <w:abstractNumId w:val="24"/>
  </w:num>
  <w:num w:numId="8">
    <w:abstractNumId w:val="31"/>
  </w:num>
  <w:num w:numId="9">
    <w:abstractNumId w:val="9"/>
  </w:num>
  <w:num w:numId="10">
    <w:abstractNumId w:val="0"/>
  </w:num>
  <w:num w:numId="11">
    <w:abstractNumId w:val="25"/>
  </w:num>
  <w:num w:numId="12">
    <w:abstractNumId w:val="38"/>
  </w:num>
  <w:num w:numId="13">
    <w:abstractNumId w:val="48"/>
  </w:num>
  <w:num w:numId="14">
    <w:abstractNumId w:val="6"/>
  </w:num>
  <w:num w:numId="15">
    <w:abstractNumId w:val="43"/>
  </w:num>
  <w:num w:numId="16">
    <w:abstractNumId w:val="46"/>
  </w:num>
  <w:num w:numId="17">
    <w:abstractNumId w:val="42"/>
  </w:num>
  <w:num w:numId="18">
    <w:abstractNumId w:val="7"/>
  </w:num>
  <w:num w:numId="19">
    <w:abstractNumId w:val="27"/>
  </w:num>
  <w:num w:numId="20">
    <w:abstractNumId w:val="22"/>
  </w:num>
  <w:num w:numId="21">
    <w:abstractNumId w:val="16"/>
  </w:num>
  <w:num w:numId="22">
    <w:abstractNumId w:val="3"/>
  </w:num>
  <w:num w:numId="23">
    <w:abstractNumId w:val="45"/>
  </w:num>
  <w:num w:numId="24">
    <w:abstractNumId w:val="12"/>
  </w:num>
  <w:num w:numId="25">
    <w:abstractNumId w:val="41"/>
  </w:num>
  <w:num w:numId="26">
    <w:abstractNumId w:val="1"/>
  </w:num>
  <w:num w:numId="27">
    <w:abstractNumId w:val="15"/>
  </w:num>
  <w:num w:numId="28">
    <w:abstractNumId w:val="19"/>
  </w:num>
  <w:num w:numId="29">
    <w:abstractNumId w:val="34"/>
  </w:num>
  <w:num w:numId="30">
    <w:abstractNumId w:val="10"/>
  </w:num>
  <w:num w:numId="31">
    <w:abstractNumId w:val="35"/>
  </w:num>
  <w:num w:numId="32">
    <w:abstractNumId w:val="4"/>
  </w:num>
  <w:num w:numId="33">
    <w:abstractNumId w:val="21"/>
  </w:num>
  <w:num w:numId="34">
    <w:abstractNumId w:val="29"/>
  </w:num>
  <w:num w:numId="35">
    <w:abstractNumId w:val="37"/>
  </w:num>
  <w:num w:numId="36">
    <w:abstractNumId w:val="28"/>
  </w:num>
  <w:num w:numId="37">
    <w:abstractNumId w:val="11"/>
  </w:num>
  <w:num w:numId="38">
    <w:abstractNumId w:val="14"/>
  </w:num>
  <w:num w:numId="39">
    <w:abstractNumId w:val="13"/>
  </w:num>
  <w:num w:numId="40">
    <w:abstractNumId w:val="44"/>
  </w:num>
  <w:num w:numId="41">
    <w:abstractNumId w:val="39"/>
  </w:num>
  <w:num w:numId="42">
    <w:abstractNumId w:val="26"/>
  </w:num>
  <w:num w:numId="43">
    <w:abstractNumId w:val="8"/>
  </w:num>
  <w:num w:numId="44">
    <w:abstractNumId w:val="40"/>
  </w:num>
  <w:num w:numId="45">
    <w:abstractNumId w:val="18"/>
  </w:num>
  <w:num w:numId="46">
    <w:abstractNumId w:val="20"/>
  </w:num>
  <w:num w:numId="47">
    <w:abstractNumId w:val="5"/>
  </w:num>
  <w:num w:numId="48">
    <w:abstractNumId w:val="17"/>
  </w:num>
  <w:num w:numId="49">
    <w:abstractNumId w:val="33"/>
  </w:num>
  <w:num w:numId="50">
    <w:abstractNumId w:val="32"/>
  </w:num>
  <w:numIdMacAtCleanup w:val="4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6625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/>
  <w:rsids>
    <w:rsidRoot w:val="0047154F"/>
    <w:rsid w:val="0000514C"/>
    <w:rsid w:val="000065AB"/>
    <w:rsid w:val="00016FE1"/>
    <w:rsid w:val="00017DD2"/>
    <w:rsid w:val="00030CF5"/>
    <w:rsid w:val="00053A41"/>
    <w:rsid w:val="0006739A"/>
    <w:rsid w:val="00075A98"/>
    <w:rsid w:val="00076CAD"/>
    <w:rsid w:val="00086DD1"/>
    <w:rsid w:val="000878EC"/>
    <w:rsid w:val="000A50AF"/>
    <w:rsid w:val="000B1A93"/>
    <w:rsid w:val="000B3D67"/>
    <w:rsid w:val="000B598F"/>
    <w:rsid w:val="000C735F"/>
    <w:rsid w:val="001038F6"/>
    <w:rsid w:val="00115373"/>
    <w:rsid w:val="0012121E"/>
    <w:rsid w:val="00173D8B"/>
    <w:rsid w:val="001A3155"/>
    <w:rsid w:val="001B09DA"/>
    <w:rsid w:val="001C20C5"/>
    <w:rsid w:val="001C7455"/>
    <w:rsid w:val="001D27C8"/>
    <w:rsid w:val="001D301F"/>
    <w:rsid w:val="001E7182"/>
    <w:rsid w:val="001F557B"/>
    <w:rsid w:val="001F7430"/>
    <w:rsid w:val="00213B13"/>
    <w:rsid w:val="00216D07"/>
    <w:rsid w:val="00223BD8"/>
    <w:rsid w:val="00223C8B"/>
    <w:rsid w:val="0022529B"/>
    <w:rsid w:val="00231778"/>
    <w:rsid w:val="0023501F"/>
    <w:rsid w:val="00235288"/>
    <w:rsid w:val="00265B3B"/>
    <w:rsid w:val="00266B40"/>
    <w:rsid w:val="002713A7"/>
    <w:rsid w:val="0028096A"/>
    <w:rsid w:val="00285215"/>
    <w:rsid w:val="0028726A"/>
    <w:rsid w:val="00290AC0"/>
    <w:rsid w:val="002947C2"/>
    <w:rsid w:val="00297B7C"/>
    <w:rsid w:val="002A05B7"/>
    <w:rsid w:val="002A0683"/>
    <w:rsid w:val="002B00E7"/>
    <w:rsid w:val="002B239C"/>
    <w:rsid w:val="002D71D7"/>
    <w:rsid w:val="002E19E0"/>
    <w:rsid w:val="002E3960"/>
    <w:rsid w:val="00313D9E"/>
    <w:rsid w:val="00334169"/>
    <w:rsid w:val="003368AD"/>
    <w:rsid w:val="00342C93"/>
    <w:rsid w:val="00347A63"/>
    <w:rsid w:val="00353899"/>
    <w:rsid w:val="003546AA"/>
    <w:rsid w:val="0036001B"/>
    <w:rsid w:val="00360197"/>
    <w:rsid w:val="00362736"/>
    <w:rsid w:val="00366E96"/>
    <w:rsid w:val="00374679"/>
    <w:rsid w:val="003821A3"/>
    <w:rsid w:val="00390EF6"/>
    <w:rsid w:val="00391AA8"/>
    <w:rsid w:val="003A117A"/>
    <w:rsid w:val="003A7BB4"/>
    <w:rsid w:val="003B3FDC"/>
    <w:rsid w:val="003B7D14"/>
    <w:rsid w:val="003C09EF"/>
    <w:rsid w:val="003C1A56"/>
    <w:rsid w:val="003E1EE5"/>
    <w:rsid w:val="003F375A"/>
    <w:rsid w:val="00400057"/>
    <w:rsid w:val="00416448"/>
    <w:rsid w:val="00431641"/>
    <w:rsid w:val="00446A0B"/>
    <w:rsid w:val="0047154F"/>
    <w:rsid w:val="004911F0"/>
    <w:rsid w:val="00497CF1"/>
    <w:rsid w:val="004B5C32"/>
    <w:rsid w:val="004C4CEC"/>
    <w:rsid w:val="004C78B5"/>
    <w:rsid w:val="00504273"/>
    <w:rsid w:val="00513248"/>
    <w:rsid w:val="00560E75"/>
    <w:rsid w:val="005B1E60"/>
    <w:rsid w:val="005B1F03"/>
    <w:rsid w:val="005C6A46"/>
    <w:rsid w:val="005D4C8E"/>
    <w:rsid w:val="005E6350"/>
    <w:rsid w:val="00604239"/>
    <w:rsid w:val="00610042"/>
    <w:rsid w:val="006114FE"/>
    <w:rsid w:val="00614A20"/>
    <w:rsid w:val="00632DB4"/>
    <w:rsid w:val="00645C8A"/>
    <w:rsid w:val="006658F5"/>
    <w:rsid w:val="00665F1D"/>
    <w:rsid w:val="006A1E8F"/>
    <w:rsid w:val="006A28C2"/>
    <w:rsid w:val="006B004D"/>
    <w:rsid w:val="006C5987"/>
    <w:rsid w:val="006D4674"/>
    <w:rsid w:val="006D78CB"/>
    <w:rsid w:val="006E4D35"/>
    <w:rsid w:val="006F22F9"/>
    <w:rsid w:val="006F6FC7"/>
    <w:rsid w:val="00707EF7"/>
    <w:rsid w:val="0077655A"/>
    <w:rsid w:val="00782E03"/>
    <w:rsid w:val="007926AC"/>
    <w:rsid w:val="007A47D4"/>
    <w:rsid w:val="007A771B"/>
    <w:rsid w:val="007C2384"/>
    <w:rsid w:val="007C692A"/>
    <w:rsid w:val="007D1E19"/>
    <w:rsid w:val="007F1AF3"/>
    <w:rsid w:val="007F3670"/>
    <w:rsid w:val="00801FC9"/>
    <w:rsid w:val="008064DF"/>
    <w:rsid w:val="00815092"/>
    <w:rsid w:val="008156AE"/>
    <w:rsid w:val="00823A32"/>
    <w:rsid w:val="00851A24"/>
    <w:rsid w:val="00853472"/>
    <w:rsid w:val="00863F33"/>
    <w:rsid w:val="00882B72"/>
    <w:rsid w:val="008833C2"/>
    <w:rsid w:val="0089032B"/>
    <w:rsid w:val="00891BB4"/>
    <w:rsid w:val="00897CEC"/>
    <w:rsid w:val="008B095D"/>
    <w:rsid w:val="008B6930"/>
    <w:rsid w:val="008B7775"/>
    <w:rsid w:val="008E14AF"/>
    <w:rsid w:val="008F1329"/>
    <w:rsid w:val="009022CE"/>
    <w:rsid w:val="00906260"/>
    <w:rsid w:val="00911A4A"/>
    <w:rsid w:val="00934DBB"/>
    <w:rsid w:val="00936959"/>
    <w:rsid w:val="0093718C"/>
    <w:rsid w:val="00946973"/>
    <w:rsid w:val="00950D7D"/>
    <w:rsid w:val="00971838"/>
    <w:rsid w:val="00972E0B"/>
    <w:rsid w:val="0099160B"/>
    <w:rsid w:val="009A79B9"/>
    <w:rsid w:val="009F2014"/>
    <w:rsid w:val="009F6123"/>
    <w:rsid w:val="00A01BC8"/>
    <w:rsid w:val="00A17A1B"/>
    <w:rsid w:val="00A26DF4"/>
    <w:rsid w:val="00A34988"/>
    <w:rsid w:val="00A43073"/>
    <w:rsid w:val="00A455B3"/>
    <w:rsid w:val="00A472DB"/>
    <w:rsid w:val="00A52952"/>
    <w:rsid w:val="00A71274"/>
    <w:rsid w:val="00A83425"/>
    <w:rsid w:val="00A8785A"/>
    <w:rsid w:val="00A905EA"/>
    <w:rsid w:val="00A91B2C"/>
    <w:rsid w:val="00AA34C0"/>
    <w:rsid w:val="00AB082B"/>
    <w:rsid w:val="00AB1CEC"/>
    <w:rsid w:val="00AC18BC"/>
    <w:rsid w:val="00AD6683"/>
    <w:rsid w:val="00AE09AE"/>
    <w:rsid w:val="00AE49AA"/>
    <w:rsid w:val="00AE7FF6"/>
    <w:rsid w:val="00AF63D2"/>
    <w:rsid w:val="00B15D17"/>
    <w:rsid w:val="00B204D9"/>
    <w:rsid w:val="00B6727A"/>
    <w:rsid w:val="00B77F0C"/>
    <w:rsid w:val="00BB00F0"/>
    <w:rsid w:val="00BB1EE7"/>
    <w:rsid w:val="00BD100B"/>
    <w:rsid w:val="00BF4168"/>
    <w:rsid w:val="00C128DB"/>
    <w:rsid w:val="00C22936"/>
    <w:rsid w:val="00C35F68"/>
    <w:rsid w:val="00C360CC"/>
    <w:rsid w:val="00C52375"/>
    <w:rsid w:val="00C676D2"/>
    <w:rsid w:val="00C823B4"/>
    <w:rsid w:val="00C83153"/>
    <w:rsid w:val="00C94F81"/>
    <w:rsid w:val="00C9505D"/>
    <w:rsid w:val="00CA0D5B"/>
    <w:rsid w:val="00CA5EFC"/>
    <w:rsid w:val="00CA6E5C"/>
    <w:rsid w:val="00CB0531"/>
    <w:rsid w:val="00CC2675"/>
    <w:rsid w:val="00CD05E5"/>
    <w:rsid w:val="00CE01E3"/>
    <w:rsid w:val="00CF03B6"/>
    <w:rsid w:val="00CF6D66"/>
    <w:rsid w:val="00CF7CDB"/>
    <w:rsid w:val="00D11381"/>
    <w:rsid w:val="00D42C2E"/>
    <w:rsid w:val="00D43DC6"/>
    <w:rsid w:val="00D634C2"/>
    <w:rsid w:val="00D63709"/>
    <w:rsid w:val="00D72306"/>
    <w:rsid w:val="00D74510"/>
    <w:rsid w:val="00D77A8B"/>
    <w:rsid w:val="00D85C43"/>
    <w:rsid w:val="00D969E7"/>
    <w:rsid w:val="00DB5D1A"/>
    <w:rsid w:val="00DC7293"/>
    <w:rsid w:val="00E065C7"/>
    <w:rsid w:val="00E06C77"/>
    <w:rsid w:val="00E16973"/>
    <w:rsid w:val="00E35936"/>
    <w:rsid w:val="00E61225"/>
    <w:rsid w:val="00E613DB"/>
    <w:rsid w:val="00E61886"/>
    <w:rsid w:val="00E82180"/>
    <w:rsid w:val="00E94B2A"/>
    <w:rsid w:val="00EA0F19"/>
    <w:rsid w:val="00EB0614"/>
    <w:rsid w:val="00EB2D64"/>
    <w:rsid w:val="00ED47CA"/>
    <w:rsid w:val="00EE5943"/>
    <w:rsid w:val="00EF27D1"/>
    <w:rsid w:val="00F03FC3"/>
    <w:rsid w:val="00F04C6A"/>
    <w:rsid w:val="00F1252C"/>
    <w:rsid w:val="00F153E0"/>
    <w:rsid w:val="00F2791F"/>
    <w:rsid w:val="00F36B29"/>
    <w:rsid w:val="00F40D19"/>
    <w:rsid w:val="00F500EC"/>
    <w:rsid w:val="00F70D9A"/>
    <w:rsid w:val="00F75C51"/>
    <w:rsid w:val="00F774C8"/>
    <w:rsid w:val="00F77FA9"/>
    <w:rsid w:val="00F80C08"/>
    <w:rsid w:val="00FF45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76D2"/>
    <w:pPr>
      <w:ind w:left="720"/>
      <w:jc w:val="both"/>
    </w:pPr>
    <w:rPr>
      <w:lang w:val="pt-BR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4C78B5"/>
    <w:pPr>
      <w:pageBreakBefore/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  <w:outlineLvl w:val="0"/>
    </w:pPr>
    <w:rPr>
      <w:b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7CF1"/>
    <w:pPr>
      <w:keepNext/>
      <w:keepLines/>
      <w:numPr>
        <w:ilvl w:val="1"/>
        <w:numId w:val="1"/>
      </w:numPr>
      <w:tabs>
        <w:tab w:val="left" w:pos="540"/>
        <w:tab w:val="left" w:pos="900"/>
        <w:tab w:val="left" w:pos="2520"/>
      </w:tabs>
      <w:spacing w:before="360" w:after="240"/>
      <w:outlineLvl w:val="1"/>
    </w:pPr>
    <w:rPr>
      <w:rFonts w:eastAsiaTheme="majorEastAsia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7E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614"/>
    <w:pPr>
      <w:numPr>
        <w:numId w:val="2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4C78B5"/>
    <w:rPr>
      <w:b/>
      <w:sz w:val="24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rsid w:val="00497CF1"/>
    <w:rPr>
      <w:rFonts w:eastAsiaTheme="majorEastAsia" w:cstheme="majorBidi"/>
      <w:b/>
      <w:bCs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rsid w:val="00707EF7"/>
    <w:rPr>
      <w:rFonts w:asciiTheme="majorHAnsi" w:eastAsiaTheme="majorEastAsia" w:hAnsiTheme="majorHAnsi" w:cstheme="majorBidi"/>
      <w:b/>
      <w:bCs/>
      <w:color w:val="4F81BD" w:themeColor="accent1"/>
      <w:lang w:val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1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3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82E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E03"/>
  </w:style>
  <w:style w:type="paragraph" w:styleId="Footer">
    <w:name w:val="footer"/>
    <w:basedOn w:val="Normal"/>
    <w:link w:val="FooterChar"/>
    <w:uiPriority w:val="99"/>
    <w:unhideWhenUsed/>
    <w:rsid w:val="00782E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E03"/>
  </w:style>
  <w:style w:type="table" w:styleId="TableGrid">
    <w:name w:val="Table Grid"/>
    <w:basedOn w:val="TableNormal"/>
    <w:uiPriority w:val="59"/>
    <w:rsid w:val="003F37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235288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12121E"/>
    <w:pPr>
      <w:tabs>
        <w:tab w:val="left" w:pos="880"/>
        <w:tab w:val="right" w:leader="dot" w:pos="1079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35288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06739A"/>
    <w:pPr>
      <w:spacing w:after="0" w:line="240" w:lineRule="auto"/>
      <w:ind w:left="720"/>
      <w:jc w:val="both"/>
    </w:pPr>
    <w:rPr>
      <w:lang w:val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FD5878C-EFA7-4D4A-A421-9C6F1D1CE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5169</TotalTime>
  <Pages>93</Pages>
  <Words>14633</Words>
  <Characters>79022</Characters>
  <Application>Microsoft Office Word</Application>
  <DocSecurity>0</DocSecurity>
  <Lines>658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clauro</dc:creator>
  <cp:lastModifiedBy>clauro</cp:lastModifiedBy>
  <cp:revision>113</cp:revision>
  <dcterms:created xsi:type="dcterms:W3CDTF">2015-03-18T16:58:00Z</dcterms:created>
  <dcterms:modified xsi:type="dcterms:W3CDTF">2017-02-17T13:32:00Z</dcterms:modified>
</cp:coreProperties>
</file>