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656053"/>
      <w:bookmarkStart w:id="1" w:name="_Hlk102816609"/>
      <w:bookmarkStart w:id="2" w:name="_Hlk102821115"/>
      <w:bookmarkStart w:id="3" w:name="_Hlk102654301"/>
      <w:bookmarkStart w:id="4" w:name="_Hlk103777839"/>
      <w:bookmarkStart w:id="5" w:name="_Hlk102492715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6AFDC29C" w:rsidR="00CB25A7" w:rsidRDefault="004E7A99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65920" behindDoc="0" locked="0" layoutInCell="1" allowOverlap="1" wp14:anchorId="7FB28750" wp14:editId="5D7D123F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1646555</wp:posOffset>
                  </wp:positionV>
                  <wp:extent cx="1942944" cy="1457325"/>
                  <wp:effectExtent l="0" t="0" r="0" b="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944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55680" behindDoc="0" locked="0" layoutInCell="1" allowOverlap="1" wp14:anchorId="63F1AD87" wp14:editId="6833779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36830</wp:posOffset>
                  </wp:positionV>
                  <wp:extent cx="2082633" cy="1562100"/>
                  <wp:effectExtent l="0" t="0" r="0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2633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7777777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28A684FC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77777777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4517D32D" w:rsidR="008C42E1" w:rsidRPr="004E7A99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7A99">
              <w:rPr>
                <w:rFonts w:ascii="Arial" w:hAnsi="Arial" w:cs="Arial"/>
                <w:sz w:val="24"/>
                <w:szCs w:val="24"/>
              </w:rPr>
              <w:t>Aro Externo da vianda</w:t>
            </w:r>
          </w:p>
          <w:p w14:paraId="1170245D" w14:textId="7434AE1C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F70DA8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6B5A7D" w:rsidRPr="006B5A7D">
              <w:rPr>
                <w:rFonts w:ascii="Arial" w:hAnsi="Arial"/>
                <w:sz w:val="24"/>
                <w:szCs w:val="24"/>
              </w:rPr>
              <w:t>S/N</w:t>
            </w:r>
          </w:p>
          <w:p w14:paraId="648FEFE9" w14:textId="2A5BB126" w:rsidR="00B27387" w:rsidRPr="004E7A99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7A99">
              <w:rPr>
                <w:rFonts w:ascii="Arial" w:hAnsi="Arial" w:cs="Arial"/>
                <w:sz w:val="24"/>
                <w:szCs w:val="24"/>
              </w:rPr>
              <w:t>Dak</w:t>
            </w:r>
          </w:p>
          <w:p w14:paraId="0A350D3E" w14:textId="625E89E2" w:rsidR="0063273F" w:rsidRPr="004E7A99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7A99">
              <w:rPr>
                <w:rFonts w:ascii="Arial" w:hAnsi="Arial" w:cs="Arial"/>
                <w:sz w:val="24"/>
                <w:szCs w:val="24"/>
              </w:rPr>
              <w:t>0,235g</w:t>
            </w:r>
          </w:p>
          <w:p w14:paraId="0B9F192F" w14:textId="2F0C8FE5" w:rsidR="00754E8C" w:rsidRPr="004E7A99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7A99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2F5BF455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4E7A99" w:rsidRPr="004E7A99">
              <w:rPr>
                <w:rFonts w:ascii="Arial" w:hAnsi="Arial" w:cs="Arial"/>
                <w:sz w:val="24"/>
                <w:szCs w:val="24"/>
              </w:rPr>
              <w:t>411/1D</w:t>
            </w:r>
          </w:p>
          <w:p w14:paraId="122F6725" w14:textId="016CDDA9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4E7A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7A99" w:rsidRPr="004E7A99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3F94B2D5" w14:textId="2327F089" w:rsid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E2DA6">
              <w:rPr>
                <w:rFonts w:ascii="Arial" w:hAnsi="Arial" w:cs="Arial"/>
                <w:sz w:val="24"/>
                <w:szCs w:val="24"/>
              </w:rPr>
              <w:t>7</w:t>
            </w:r>
            <w:r w:rsidR="00DA4710">
              <w:rPr>
                <w:rFonts w:ascii="Arial" w:hAnsi="Arial" w:cs="Arial"/>
                <w:sz w:val="24"/>
                <w:szCs w:val="24"/>
              </w:rPr>
              <w:t>0 Peças/Hora</w:t>
            </w:r>
          </w:p>
          <w:p w14:paraId="154F41B0" w14:textId="44554AF9" w:rsidR="00CB25A7" w:rsidRDefault="00CB25A7" w:rsidP="00CB25A7"/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241FD6AE" w:rsidR="000363C3" w:rsidRDefault="005D12E2">
            <w:r>
              <w:rPr>
                <w:noProof/>
                <w:lang w:eastAsia="pt-BR"/>
              </w:rPr>
              <w:drawing>
                <wp:anchor distT="0" distB="0" distL="114300" distR="114300" simplePos="0" relativeHeight="251670016" behindDoc="0" locked="0" layoutInCell="1" allowOverlap="1" wp14:anchorId="132E0C8D" wp14:editId="6B96640B">
                  <wp:simplePos x="0" y="0"/>
                  <wp:positionH relativeFrom="column">
                    <wp:posOffset>304800</wp:posOffset>
                  </wp:positionH>
                  <wp:positionV relativeFrom="paragraph">
                    <wp:posOffset>233045</wp:posOffset>
                  </wp:positionV>
                  <wp:extent cx="1985903" cy="2647950"/>
                  <wp:effectExtent l="0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03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7D8E661" w14:textId="6ADE7AAB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4C545C98" w14:textId="77777777" w:rsidR="00EE2DA6" w:rsidRDefault="00EE2DA6" w:rsidP="00CB25A7">
            <w:pPr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4CDFC794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4E7A9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4E7A99" w:rsidRPr="004E7A99">
              <w:rPr>
                <w:rFonts w:ascii="Arial" w:hAnsi="Arial" w:cs="Arial"/>
                <w:sz w:val="24"/>
                <w:szCs w:val="24"/>
              </w:rPr>
              <w:t>300ton.</w:t>
            </w:r>
          </w:p>
          <w:p w14:paraId="626BF308" w14:textId="0B4DE35F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EE2DA6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5C307EE3" w14:textId="3FF858C0" w:rsidR="00F70DA8" w:rsidRDefault="00951BDE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35718B60" w14:textId="561C8AD5" w:rsidR="004E7A99" w:rsidRDefault="004E7A99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Pressão: </w:t>
            </w:r>
            <w:r w:rsidRPr="004E7A99">
              <w:rPr>
                <w:rFonts w:ascii="Arial" w:hAnsi="Arial" w:cs="Arial"/>
                <w:sz w:val="24"/>
                <w:szCs w:val="24"/>
              </w:rPr>
              <w:t>140bar ± 20bar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3FBC88FD" w14:textId="0D24D676" w:rsidR="004E7A99" w:rsidRPr="00805898" w:rsidRDefault="004E7A99" w:rsidP="00F70DA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Fechamento: </w:t>
            </w:r>
            <w:r w:rsidRPr="004E7A99">
              <w:rPr>
                <w:rFonts w:ascii="Arial" w:hAnsi="Arial" w:cs="Arial"/>
                <w:sz w:val="24"/>
                <w:szCs w:val="24"/>
              </w:rPr>
              <w:t>150to</w:t>
            </w:r>
            <w:r>
              <w:rPr>
                <w:rFonts w:ascii="Arial" w:hAnsi="Arial" w:cs="Arial"/>
                <w:sz w:val="24"/>
                <w:szCs w:val="24"/>
              </w:rPr>
              <w:t>n.</w:t>
            </w:r>
          </w:p>
          <w:p w14:paraId="5B71178C" w14:textId="77777777" w:rsidR="00EE2DA6" w:rsidRPr="00DE678B" w:rsidRDefault="00EE2DA6" w:rsidP="00EE2DA6">
            <w:pPr>
              <w:spacing w:line="276" w:lineRule="auto"/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- Ajuste de parâmetro: Conforme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necessidade da peça, o responsável é o</w:t>
            </w:r>
            <w:r w:rsidRPr="00DE678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 Líder de fundição/Injeção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 (Processo evidenciado / não documentado)</w:t>
            </w:r>
          </w:p>
          <w:p w14:paraId="06481778" w14:textId="60A482BA" w:rsidR="00F70DA8" w:rsidRPr="00AE3AB8" w:rsidRDefault="00F70DA8" w:rsidP="00AE3AB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bookmarkEnd w:id="5"/>
    </w:tbl>
    <w:p w14:paraId="2A46D657" w14:textId="77777777" w:rsidR="000363C3" w:rsidRDefault="000363C3"/>
    <w:p w14:paraId="043F8F86" w14:textId="678BD97E" w:rsidR="00754E8C" w:rsidRDefault="0000588C">
      <w:bookmarkStart w:id="6" w:name="_Hlk102653969"/>
      <w:bookmarkStart w:id="7" w:name="_Hlk102492870"/>
      <w:bookmarkEnd w:id="0"/>
      <w:r>
        <w:lastRenderedPageBreak/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EE2DA6" w14:paraId="56BCD70D" w14:textId="77777777" w:rsidTr="00173407">
        <w:trPr>
          <w:trHeight w:val="485"/>
        </w:trPr>
        <w:tc>
          <w:tcPr>
            <w:tcW w:w="5062" w:type="dxa"/>
            <w:vAlign w:val="center"/>
          </w:tcPr>
          <w:p w14:paraId="18B7FF5E" w14:textId="77777777" w:rsidR="00EE2DA6" w:rsidRPr="00182E3D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Cuidados com setup</w:t>
            </w:r>
          </w:p>
        </w:tc>
        <w:tc>
          <w:tcPr>
            <w:tcW w:w="2043" w:type="dxa"/>
            <w:vAlign w:val="center"/>
          </w:tcPr>
          <w:p w14:paraId="65CC75D7" w14:textId="77777777" w:rsidR="00EE2DA6" w:rsidRPr="00182E3D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6FD197E3" w14:textId="77777777" w:rsidR="00EE2DA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EE2DA6" w14:paraId="4723F6DE" w14:textId="77777777" w:rsidTr="00173407">
        <w:trPr>
          <w:trHeight w:val="739"/>
        </w:trPr>
        <w:tc>
          <w:tcPr>
            <w:tcW w:w="5062" w:type="dxa"/>
            <w:vAlign w:val="center"/>
          </w:tcPr>
          <w:p w14:paraId="2592E3AB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0F34D7B6" w14:textId="77777777" w:rsidR="00EE2DA6" w:rsidRPr="00AA1C7C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79442A9E" w14:textId="77777777" w:rsidR="00EE2DA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EE2DA6" w14:paraId="01013881" w14:textId="77777777" w:rsidTr="00173407">
        <w:trPr>
          <w:trHeight w:val="759"/>
        </w:trPr>
        <w:tc>
          <w:tcPr>
            <w:tcW w:w="5062" w:type="dxa"/>
            <w:vAlign w:val="center"/>
          </w:tcPr>
          <w:p w14:paraId="49C28C13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47847E2F" w14:textId="77777777" w:rsidR="00EE2DA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40E99D47" w14:textId="77777777" w:rsidR="00EE2DA6" w:rsidRPr="00AA1C7C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5D437C37" w14:textId="77777777" w:rsidR="00EE2DA6" w:rsidRPr="00AA1C7C" w:rsidRDefault="00EE2DA6" w:rsidP="00173407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EE2DA6" w14:paraId="220D7923" w14:textId="77777777" w:rsidTr="00173407">
        <w:trPr>
          <w:trHeight w:val="292"/>
        </w:trPr>
        <w:tc>
          <w:tcPr>
            <w:tcW w:w="5062" w:type="dxa"/>
            <w:vAlign w:val="center"/>
          </w:tcPr>
          <w:p w14:paraId="26E15D45" w14:textId="77777777" w:rsidR="00EE2DA6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EC3E095" w14:textId="77777777" w:rsidR="00EE2DA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2B8B822B" w14:textId="77777777" w:rsidR="00EE2DA6" w:rsidRDefault="00EE2DA6" w:rsidP="00173407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E2DA6" w14:paraId="157AA9A5" w14:textId="77777777" w:rsidTr="00173407">
        <w:trPr>
          <w:trHeight w:val="940"/>
        </w:trPr>
        <w:tc>
          <w:tcPr>
            <w:tcW w:w="5062" w:type="dxa"/>
            <w:vAlign w:val="center"/>
          </w:tcPr>
          <w:p w14:paraId="79ECF6CF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12C56983" w14:textId="77777777" w:rsidR="00EE2DA6" w:rsidRDefault="00EE2DA6" w:rsidP="0017340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A6D7DAA" w14:textId="77777777" w:rsidR="00EE2DA6" w:rsidRDefault="00EE2DA6" w:rsidP="00173407">
            <w:pPr>
              <w:spacing w:after="160" w:line="259" w:lineRule="auto"/>
              <w:jc w:val="center"/>
            </w:pPr>
          </w:p>
        </w:tc>
      </w:tr>
      <w:tr w:rsidR="00EE2DA6" w14:paraId="6BD3A711" w14:textId="77777777" w:rsidTr="00173407">
        <w:trPr>
          <w:trHeight w:val="678"/>
        </w:trPr>
        <w:tc>
          <w:tcPr>
            <w:tcW w:w="5062" w:type="dxa"/>
            <w:vAlign w:val="center"/>
          </w:tcPr>
          <w:p w14:paraId="5E6ACB52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4206E793" w14:textId="77777777" w:rsidR="00EE2DA6" w:rsidRPr="00AA1C7C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1DEEC3A1" w14:textId="77777777" w:rsidR="00EE2DA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E2DA6" w14:paraId="582D57F1" w14:textId="77777777" w:rsidTr="00173407">
        <w:trPr>
          <w:trHeight w:val="683"/>
        </w:trPr>
        <w:tc>
          <w:tcPr>
            <w:tcW w:w="5062" w:type="dxa"/>
            <w:vAlign w:val="center"/>
          </w:tcPr>
          <w:p w14:paraId="31BD1E21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3F39A1A5" w14:textId="77777777" w:rsidR="00EE2DA6" w:rsidRPr="00FE337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0FAFFA0" w14:textId="77777777" w:rsidR="00EE2DA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EE2DA6" w14:paraId="32938496" w14:textId="77777777" w:rsidTr="00173407">
        <w:trPr>
          <w:trHeight w:val="995"/>
        </w:trPr>
        <w:tc>
          <w:tcPr>
            <w:tcW w:w="5062" w:type="dxa"/>
            <w:vAlign w:val="center"/>
          </w:tcPr>
          <w:p w14:paraId="5E93A8F1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61C51112" w14:textId="77777777" w:rsidR="00EE2DA6" w:rsidRDefault="00EE2DA6" w:rsidP="0017340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602CD27A" w14:textId="77777777" w:rsidR="00EE2DA6" w:rsidRDefault="00EE2DA6" w:rsidP="00173407">
            <w:pPr>
              <w:spacing w:after="160" w:line="259" w:lineRule="auto"/>
              <w:jc w:val="center"/>
            </w:pPr>
          </w:p>
        </w:tc>
      </w:tr>
      <w:tr w:rsidR="00EE2DA6" w14:paraId="1DA65D77" w14:textId="77777777" w:rsidTr="00173407">
        <w:trPr>
          <w:trHeight w:val="70"/>
        </w:trPr>
        <w:tc>
          <w:tcPr>
            <w:tcW w:w="5062" w:type="dxa"/>
            <w:vAlign w:val="center"/>
          </w:tcPr>
          <w:p w14:paraId="60524868" w14:textId="77777777" w:rsidR="00EE2DA6" w:rsidRDefault="00EE2DA6" w:rsidP="00EE2DA6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4FB0966C" w14:textId="77777777" w:rsidR="00EE2DA6" w:rsidRDefault="00EE2DA6" w:rsidP="00173407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44878281" w14:textId="77777777" w:rsidR="00EE2DA6" w:rsidRDefault="00EE2DA6" w:rsidP="00173407">
            <w:pPr>
              <w:spacing w:after="160" w:line="259" w:lineRule="auto"/>
              <w:jc w:val="center"/>
            </w:pPr>
          </w:p>
        </w:tc>
      </w:tr>
      <w:tr w:rsidR="00EE2DA6" w14:paraId="37920474" w14:textId="77777777" w:rsidTr="00173407">
        <w:trPr>
          <w:trHeight w:val="70"/>
        </w:trPr>
        <w:tc>
          <w:tcPr>
            <w:tcW w:w="5062" w:type="dxa"/>
            <w:vAlign w:val="center"/>
          </w:tcPr>
          <w:p w14:paraId="125C6677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7DD39A99" w14:textId="77777777" w:rsidR="00EE2DA6" w:rsidRPr="00AA1C7C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39DEE8B4" w14:textId="77777777" w:rsidR="00EE2DA6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EE2DA6" w14:paraId="7574668F" w14:textId="77777777" w:rsidTr="00173407">
        <w:trPr>
          <w:trHeight w:val="590"/>
        </w:trPr>
        <w:tc>
          <w:tcPr>
            <w:tcW w:w="5062" w:type="dxa"/>
            <w:vAlign w:val="center"/>
          </w:tcPr>
          <w:p w14:paraId="77C19F6B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5A0DBE6F" w14:textId="77777777" w:rsidR="00EE2DA6" w:rsidRPr="00182E3D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5C4F9E2F" w14:textId="77777777" w:rsidR="00EE2DA6" w:rsidRPr="00182E3D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EE2DA6" w14:paraId="0CC676CA" w14:textId="77777777" w:rsidTr="00173407">
        <w:trPr>
          <w:trHeight w:val="70"/>
        </w:trPr>
        <w:tc>
          <w:tcPr>
            <w:tcW w:w="5062" w:type="dxa"/>
            <w:vAlign w:val="center"/>
          </w:tcPr>
          <w:p w14:paraId="0D8F74F6" w14:textId="77777777" w:rsidR="00EE2DA6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5386C254" w14:textId="77777777" w:rsidR="00EE2DA6" w:rsidRPr="00182E3D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73D9FCDC" w14:textId="77777777" w:rsidR="00EE2DA6" w:rsidRPr="00182E3D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EE2DA6" w14:paraId="36DD7606" w14:textId="77777777" w:rsidTr="00173407">
        <w:trPr>
          <w:trHeight w:val="496"/>
        </w:trPr>
        <w:tc>
          <w:tcPr>
            <w:tcW w:w="5062" w:type="dxa"/>
            <w:vAlign w:val="center"/>
          </w:tcPr>
          <w:p w14:paraId="34C7E865" w14:textId="77777777" w:rsidR="00EE2DA6" w:rsidRPr="00AA1C7C" w:rsidRDefault="00EE2DA6" w:rsidP="00EE2DA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742B2954" w14:textId="77777777" w:rsidR="00EE2DA6" w:rsidRPr="00182E3D" w:rsidRDefault="00EE2DA6" w:rsidP="00173407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EE2DA6" w14:paraId="7D6F00AC" w14:textId="77777777" w:rsidTr="00173407">
        <w:trPr>
          <w:trHeight w:val="70"/>
        </w:trPr>
        <w:tc>
          <w:tcPr>
            <w:tcW w:w="5062" w:type="dxa"/>
            <w:vAlign w:val="center"/>
          </w:tcPr>
          <w:p w14:paraId="69059D6B" w14:textId="77777777" w:rsidR="00EE2DA6" w:rsidRDefault="00EE2DA6" w:rsidP="00EE2DA6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1774F887" w14:textId="77777777" w:rsidR="00EE2DA6" w:rsidRDefault="00EE2DA6" w:rsidP="00173407">
            <w:pPr>
              <w:spacing w:after="160" w:line="259" w:lineRule="auto"/>
              <w:jc w:val="center"/>
            </w:pPr>
          </w:p>
        </w:tc>
      </w:tr>
    </w:tbl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7CADFC11" w:rsidR="00754E8C" w:rsidRDefault="00EE2DA6" w:rsidP="00754E8C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8208" behindDoc="0" locked="0" layoutInCell="1" allowOverlap="1" wp14:anchorId="7AF43D70" wp14:editId="6E1B5555">
                      <wp:simplePos x="0" y="0"/>
                      <wp:positionH relativeFrom="column">
                        <wp:posOffset>984250</wp:posOffset>
                      </wp:positionH>
                      <wp:positionV relativeFrom="paragraph">
                        <wp:posOffset>132080</wp:posOffset>
                      </wp:positionV>
                      <wp:extent cx="657225" cy="238125"/>
                      <wp:effectExtent l="19050" t="19050" r="28575" b="47625"/>
                      <wp:wrapNone/>
                      <wp:docPr id="9" name="Seta para a direita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57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6E2A14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9" o:spid="_x0000_s1026" type="#_x0000_t13" style="position:absolute;margin-left:77.5pt;margin-top:10.4pt;width:51.75pt;height:18.75pt;rotation:180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" adj="17687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3EC874F9" wp14:editId="407C7A1C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1841500</wp:posOffset>
                      </wp:positionV>
                      <wp:extent cx="657225" cy="238125"/>
                      <wp:effectExtent l="0" t="19050" r="47625" b="47625"/>
                      <wp:wrapNone/>
                      <wp:docPr id="8" name="Seta para a direita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2381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047578" id="Seta para a direita 8" o:spid="_x0000_s1026" type="#_x0000_t13" style="position:absolute;margin-left:60.35pt;margin-top:145pt;width:51.75pt;height:18.7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" adj="17687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73088" behindDoc="0" locked="0" layoutInCell="1" allowOverlap="1" wp14:anchorId="03145C4F" wp14:editId="340A7049">
                  <wp:simplePos x="0" y="0"/>
                  <wp:positionH relativeFrom="column">
                    <wp:posOffset>880745</wp:posOffset>
                  </wp:positionH>
                  <wp:positionV relativeFrom="paragraph">
                    <wp:posOffset>2396866</wp:posOffset>
                  </wp:positionV>
                  <wp:extent cx="1095103" cy="1459973"/>
                  <wp:effectExtent l="0" t="0" r="0" b="6985"/>
                  <wp:wrapNone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103" cy="1459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pt-BR"/>
              </w:rPr>
              <w:drawing>
                <wp:anchor distT="0" distB="0" distL="114300" distR="114300" simplePos="0" relativeHeight="251675136" behindDoc="0" locked="0" layoutInCell="1" allowOverlap="1" wp14:anchorId="5DB3013C" wp14:editId="5E9E797A">
                  <wp:simplePos x="0" y="0"/>
                  <wp:positionH relativeFrom="column">
                    <wp:posOffset>509905</wp:posOffset>
                  </wp:positionH>
                  <wp:positionV relativeFrom="paragraph">
                    <wp:posOffset>22225</wp:posOffset>
                  </wp:positionV>
                  <wp:extent cx="1757310" cy="2343150"/>
                  <wp:effectExtent l="0" t="0" r="0" b="0"/>
                  <wp:wrapNone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7310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7DFC19B8" w14:textId="77777777" w:rsidR="00EE2DA6" w:rsidRPr="00A51165" w:rsidRDefault="00EE2DA6" w:rsidP="00EE2DA6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4B73A5DF" w14:textId="77777777" w:rsidR="00EE2DA6" w:rsidRDefault="00EE2DA6" w:rsidP="00EE2D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EAF49EF" w14:textId="746909E8" w:rsidR="00EE2DA6" w:rsidRDefault="00EE2DA6" w:rsidP="00EE2DA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5B41B36" w14:textId="77777777" w:rsidR="00EE2DA6" w:rsidRDefault="00EE2DA6" w:rsidP="00EE2D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984A1BD" w14:textId="77777777" w:rsidR="00EE2DA6" w:rsidRDefault="00EE2DA6" w:rsidP="00EE2DA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303D8F33" w14:textId="77777777" w:rsidR="00EE2DA6" w:rsidRDefault="00EE2DA6" w:rsidP="00EE2DA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44AB7291" w14:textId="77777777" w:rsidR="00EE2DA6" w:rsidRDefault="00EE2DA6" w:rsidP="00EE2DA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0056F2C1" w14:textId="77777777" w:rsidR="00EE2DA6" w:rsidRDefault="00EE2DA6" w:rsidP="00EE2DA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2AB93EE" w14:textId="77777777" w:rsidR="00EE2DA6" w:rsidRDefault="00EE2DA6" w:rsidP="00EE2DA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B56E5AF" w14:textId="77777777" w:rsidR="00EE2DA6" w:rsidRDefault="00EE2DA6" w:rsidP="00EE2DA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9B62CC" w14:textId="77777777" w:rsidR="00EE2DA6" w:rsidRDefault="00EE2DA6" w:rsidP="00EE2DA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de processo, as peças devem ser transp</w:t>
            </w:r>
            <w:r>
              <w:rPr>
                <w:rFonts w:ascii="Arial" w:hAnsi="Arial" w:cs="Arial"/>
                <w:sz w:val="24"/>
                <w:szCs w:val="24"/>
              </w:rPr>
              <w:t>ortadas para a inspeção final e embalagem.</w:t>
            </w:r>
          </w:p>
          <w:p w14:paraId="785B98F7" w14:textId="4F8D1640" w:rsidR="00EE2DA6" w:rsidRPr="00EE2DA6" w:rsidRDefault="00EE2DA6" w:rsidP="00EE2DA6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5F1D7537" w:rsidR="00754E8C" w:rsidRDefault="005D12E2" w:rsidP="00754E8C">
            <w:r>
              <w:rPr>
                <w:noProof/>
                <w:lang w:eastAsia="pt-BR"/>
              </w:rPr>
              <w:drawing>
                <wp:anchor distT="0" distB="0" distL="114300" distR="114300" simplePos="0" relativeHeight="251672064" behindDoc="0" locked="0" layoutInCell="1" allowOverlap="1" wp14:anchorId="566C0FCE" wp14:editId="7F4F2AB5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237490</wp:posOffset>
                  </wp:positionV>
                  <wp:extent cx="1962150" cy="2616200"/>
                  <wp:effectExtent l="0" t="0" r="0" b="0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261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3ED638EE" w14:textId="3CBD83E3" w:rsidR="00FF6582" w:rsidRDefault="00FF6582" w:rsidP="00FF658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3B52D076" w14:textId="77777777" w:rsidR="00FF6582" w:rsidRDefault="00FF6582" w:rsidP="00FF658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3141C13" w14:textId="77777777" w:rsidR="00FF6582" w:rsidRDefault="00FF6582" w:rsidP="00FF6582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6586039B" w14:textId="6D7BE655" w:rsidR="00FF6582" w:rsidRDefault="00FF6582" w:rsidP="00FF658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Fazer a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>
              <w:rPr>
                <w:rFonts w:ascii="Arial" w:hAnsi="Arial" w:cs="Arial"/>
                <w:sz w:val="24"/>
                <w:szCs w:val="24"/>
              </w:rPr>
              <w:t xml:space="preserve">100%,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>
              <w:rPr>
                <w:rFonts w:ascii="Arial" w:hAnsi="Arial" w:cs="Arial"/>
                <w:sz w:val="24"/>
                <w:szCs w:val="24"/>
              </w:rPr>
              <w:t xml:space="preserve"> e por fim embalar as peças em saco de ráfia.</w:t>
            </w:r>
          </w:p>
          <w:p w14:paraId="61453124" w14:textId="45710EF0" w:rsidR="00FF6582" w:rsidRDefault="00FF6582" w:rsidP="00FF658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1D56E215" w14:textId="77777777" w:rsidR="00154330" w:rsidRDefault="00154330" w:rsidP="00FF658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67B1822" w14:textId="77777777" w:rsidR="00FF6582" w:rsidRDefault="00FF6582" w:rsidP="00FF6582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B5992F7" w14:textId="0C817222" w:rsidR="00FF6582" w:rsidRPr="006A5BAB" w:rsidRDefault="00FF6582" w:rsidP="00FF65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Quant. por saco:</w:t>
            </w:r>
            <w:r w:rsidR="005D12E2">
              <w:rPr>
                <w:rFonts w:ascii="Arial" w:hAnsi="Arial" w:cs="Arial"/>
                <w:sz w:val="24"/>
                <w:szCs w:val="24"/>
              </w:rPr>
              <w:t xml:space="preserve"> 50 peças</w:t>
            </w:r>
          </w:p>
          <w:p w14:paraId="788BB1E6" w14:textId="5F94DFDB" w:rsidR="00B340E8" w:rsidRPr="008C42E1" w:rsidRDefault="00B340E8" w:rsidP="00754E8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1"/>
    </w:tbl>
    <w:p w14:paraId="511EA063" w14:textId="6E150F9B" w:rsidR="00754E8C" w:rsidRDefault="00754E8C"/>
    <w:p w14:paraId="0DF07EF8" w14:textId="7FD48EA6" w:rsidR="00CC423C" w:rsidRPr="00FF6582" w:rsidRDefault="00CC423C" w:rsidP="00805898">
      <w:bookmarkStart w:id="8" w:name="_GoBack"/>
      <w:bookmarkEnd w:id="2"/>
      <w:bookmarkEnd w:id="3"/>
      <w:bookmarkEnd w:id="4"/>
      <w:bookmarkEnd w:id="6"/>
      <w:bookmarkEnd w:id="7"/>
      <w:bookmarkEnd w:id="8"/>
    </w:p>
    <w:sectPr w:rsidR="00CC423C" w:rsidRPr="00FF6582">
      <w:headerReference w:type="default" r:id="rId15"/>
      <w:footerReference w:type="default" r:id="rId1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3743BF" w14:textId="77777777" w:rsidR="00A91E76" w:rsidRDefault="00A91E76">
      <w:r>
        <w:separator/>
      </w:r>
    </w:p>
  </w:endnote>
  <w:endnote w:type="continuationSeparator" w:id="0">
    <w:p w14:paraId="2029211E" w14:textId="77777777" w:rsidR="00A91E76" w:rsidRDefault="00A91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C87909" w14:textId="77777777" w:rsidR="00A91E76" w:rsidRDefault="00A91E76">
      <w:r>
        <w:separator/>
      </w:r>
    </w:p>
  </w:footnote>
  <w:footnote w:type="continuationSeparator" w:id="0">
    <w:p w14:paraId="3E81CC1A" w14:textId="77777777" w:rsidR="00A91E76" w:rsidRDefault="00A91E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42368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28E5029E" w14:textId="77777777" w:rsidR="00EE2DA6" w:rsidRDefault="00EE2DA6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79153361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>Revisão Nº: 0</w:t>
          </w:r>
          <w:r w:rsidR="00CC423C" w:rsidRPr="00C24C74">
            <w:rPr>
              <w:rFonts w:ascii="Arial" w:hAnsi="Arial" w:cs="Arial"/>
              <w:sz w:val="22"/>
              <w:szCs w:val="32"/>
            </w:rPr>
            <w:t>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36F9D173" w:rsidR="000363C3" w:rsidRPr="00EE2DA6" w:rsidRDefault="0000588C" w:rsidP="00EE2DA6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5C6355">
            <w:rPr>
              <w:rFonts w:ascii="Arial" w:hAnsi="Arial" w:cs="Arial"/>
              <w:sz w:val="22"/>
              <w:szCs w:val="32"/>
            </w:rPr>
            <w:t>01/04</w:t>
          </w:r>
          <w:r w:rsidR="00CC423C" w:rsidRPr="00C24C74">
            <w:rPr>
              <w:rFonts w:ascii="Arial" w:hAnsi="Arial" w:cs="Arial"/>
              <w:sz w:val="22"/>
              <w:szCs w:val="32"/>
            </w:rPr>
            <w:t>/2022</w:t>
          </w: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54330"/>
    <w:rsid w:val="00164082"/>
    <w:rsid w:val="00165263"/>
    <w:rsid w:val="001A1FC8"/>
    <w:rsid w:val="001B2FEF"/>
    <w:rsid w:val="001C7923"/>
    <w:rsid w:val="001F6A35"/>
    <w:rsid w:val="002226B6"/>
    <w:rsid w:val="00223FC7"/>
    <w:rsid w:val="00257E8C"/>
    <w:rsid w:val="002E5D27"/>
    <w:rsid w:val="003016A5"/>
    <w:rsid w:val="00304375"/>
    <w:rsid w:val="00351DC6"/>
    <w:rsid w:val="003634CC"/>
    <w:rsid w:val="003A4F88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E7A99"/>
    <w:rsid w:val="004F04F7"/>
    <w:rsid w:val="00515349"/>
    <w:rsid w:val="00550CD0"/>
    <w:rsid w:val="00552D16"/>
    <w:rsid w:val="00555824"/>
    <w:rsid w:val="00597C61"/>
    <w:rsid w:val="005A2CC2"/>
    <w:rsid w:val="005B5119"/>
    <w:rsid w:val="005C39A8"/>
    <w:rsid w:val="005C6355"/>
    <w:rsid w:val="005D12E2"/>
    <w:rsid w:val="005E3BB5"/>
    <w:rsid w:val="005F2110"/>
    <w:rsid w:val="0060240E"/>
    <w:rsid w:val="0063273F"/>
    <w:rsid w:val="00632BDC"/>
    <w:rsid w:val="00636DE9"/>
    <w:rsid w:val="00686CD8"/>
    <w:rsid w:val="00692363"/>
    <w:rsid w:val="006A5BAB"/>
    <w:rsid w:val="006B23B6"/>
    <w:rsid w:val="006B5A7D"/>
    <w:rsid w:val="006B71F1"/>
    <w:rsid w:val="006D42A2"/>
    <w:rsid w:val="006F7EA2"/>
    <w:rsid w:val="0071422D"/>
    <w:rsid w:val="00734437"/>
    <w:rsid w:val="00734F0A"/>
    <w:rsid w:val="00754C95"/>
    <w:rsid w:val="00754E8C"/>
    <w:rsid w:val="007876AD"/>
    <w:rsid w:val="00792925"/>
    <w:rsid w:val="007944B0"/>
    <w:rsid w:val="007A5CF3"/>
    <w:rsid w:val="008005E8"/>
    <w:rsid w:val="00805898"/>
    <w:rsid w:val="00834CB7"/>
    <w:rsid w:val="008B12F2"/>
    <w:rsid w:val="008B6F9F"/>
    <w:rsid w:val="008C42E1"/>
    <w:rsid w:val="008D06DF"/>
    <w:rsid w:val="008F1AF7"/>
    <w:rsid w:val="00945CBF"/>
    <w:rsid w:val="00951BDE"/>
    <w:rsid w:val="0095475B"/>
    <w:rsid w:val="00982CC2"/>
    <w:rsid w:val="009C399B"/>
    <w:rsid w:val="009D2514"/>
    <w:rsid w:val="009E7E2F"/>
    <w:rsid w:val="00A31003"/>
    <w:rsid w:val="00A404DA"/>
    <w:rsid w:val="00A51165"/>
    <w:rsid w:val="00A54370"/>
    <w:rsid w:val="00A71504"/>
    <w:rsid w:val="00A91E76"/>
    <w:rsid w:val="00A94C5D"/>
    <w:rsid w:val="00AA0A13"/>
    <w:rsid w:val="00AB09AF"/>
    <w:rsid w:val="00AE3AB8"/>
    <w:rsid w:val="00B244CE"/>
    <w:rsid w:val="00B27387"/>
    <w:rsid w:val="00B340E8"/>
    <w:rsid w:val="00B349BE"/>
    <w:rsid w:val="00B77AA9"/>
    <w:rsid w:val="00B85ABA"/>
    <w:rsid w:val="00B86CE1"/>
    <w:rsid w:val="00BC62CB"/>
    <w:rsid w:val="00BD0762"/>
    <w:rsid w:val="00BD225C"/>
    <w:rsid w:val="00BF3C1F"/>
    <w:rsid w:val="00BF741C"/>
    <w:rsid w:val="00C0767D"/>
    <w:rsid w:val="00C15B04"/>
    <w:rsid w:val="00C24C74"/>
    <w:rsid w:val="00C448E9"/>
    <w:rsid w:val="00CB1461"/>
    <w:rsid w:val="00CB25A7"/>
    <w:rsid w:val="00CC423C"/>
    <w:rsid w:val="00CF697B"/>
    <w:rsid w:val="00D13F9C"/>
    <w:rsid w:val="00D52D6A"/>
    <w:rsid w:val="00D53A84"/>
    <w:rsid w:val="00D57909"/>
    <w:rsid w:val="00D86FAC"/>
    <w:rsid w:val="00DA4710"/>
    <w:rsid w:val="00DD0E98"/>
    <w:rsid w:val="00E049A9"/>
    <w:rsid w:val="00E205A6"/>
    <w:rsid w:val="00E52B45"/>
    <w:rsid w:val="00EE2DA6"/>
    <w:rsid w:val="00F04F2C"/>
    <w:rsid w:val="00F208A9"/>
    <w:rsid w:val="00F261D9"/>
    <w:rsid w:val="00F321EB"/>
    <w:rsid w:val="00F53525"/>
    <w:rsid w:val="00F70DA8"/>
    <w:rsid w:val="00F86970"/>
    <w:rsid w:val="00F9165B"/>
    <w:rsid w:val="00FB18EA"/>
    <w:rsid w:val="00FC30F4"/>
    <w:rsid w:val="00FF6582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4E7A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B1A116-A87B-4957-82DE-3E76079F9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440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6</cp:revision>
  <cp:lastPrinted>2022-01-25T20:22:00Z</cp:lastPrinted>
  <dcterms:created xsi:type="dcterms:W3CDTF">2022-05-27T19:01:00Z</dcterms:created>
  <dcterms:modified xsi:type="dcterms:W3CDTF">2023-07-31T18:16:00Z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