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77777777" w:rsidR="000363C3" w:rsidRDefault="000363C3"/>
    <w:p w14:paraId="3AFEFFB8" w14:textId="242B9E22" w:rsidR="000363C3" w:rsidRDefault="000363C3"/>
    <w:p w14:paraId="63A5026B" w14:textId="5260DAF7" w:rsidR="000363C3" w:rsidRDefault="0000588C">
      <w:bookmarkStart w:id="0" w:name="_Hlk102492715"/>
      <w:bookmarkStart w:id="1" w:name="_Hlk102656053"/>
      <w:bookmarkStart w:id="2" w:name="_Hlk102816609"/>
      <w:bookmarkStart w:id="3" w:name="_Hlk102821115"/>
      <w:bookmarkStart w:id="4" w:name="_Hlk102654301"/>
      <w:bookmarkStart w:id="5" w:name="_Hlk10377783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C5AB523" w14:textId="1E7D4B3D" w:rsidR="000363C3" w:rsidRDefault="0000588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E3D9A1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620CE22" w14:textId="2284000C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B25A7" w14:paraId="1C97BCB4" w14:textId="77777777" w:rsidTr="007A4E39">
        <w:trPr>
          <w:trHeight w:val="5470"/>
        </w:trPr>
        <w:tc>
          <w:tcPr>
            <w:tcW w:w="4356" w:type="dxa"/>
          </w:tcPr>
          <w:p w14:paraId="03909D43" w14:textId="43A4E315" w:rsidR="00E757BD" w:rsidRDefault="007A4E39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656704" behindDoc="0" locked="0" layoutInCell="1" allowOverlap="1" wp14:anchorId="61E3EE95" wp14:editId="394189C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310515</wp:posOffset>
                  </wp:positionV>
                  <wp:extent cx="2615069" cy="1323975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052" b="17449"/>
                          <a:stretch/>
                        </pic:blipFill>
                        <pic:spPr bwMode="auto">
                          <a:xfrm>
                            <a:off x="0" y="0"/>
                            <a:ext cx="2615069" cy="1323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58752" behindDoc="0" locked="0" layoutInCell="1" allowOverlap="1" wp14:anchorId="2259C146" wp14:editId="464FE554">
                  <wp:simplePos x="0" y="0"/>
                  <wp:positionH relativeFrom="column">
                    <wp:posOffset>652147</wp:posOffset>
                  </wp:positionH>
                  <wp:positionV relativeFrom="paragraph">
                    <wp:posOffset>1263332</wp:posOffset>
                  </wp:positionV>
                  <wp:extent cx="1310642" cy="2613025"/>
                  <wp:effectExtent l="0" t="3493" r="318" b="317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71" r="17950"/>
                          <a:stretch/>
                        </pic:blipFill>
                        <pic:spPr bwMode="auto">
                          <a:xfrm rot="5400000">
                            <a:off x="0" y="0"/>
                            <a:ext cx="1310642" cy="2613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2BED97" w14:textId="7F14AD74" w:rsidR="00CB25A7" w:rsidRPr="00550CD0" w:rsidRDefault="00CB25A7" w:rsidP="00CB25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45673992" w14:textId="3F2559B0" w:rsidR="004E422D" w:rsidRDefault="004E422D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48876C" w14:textId="1277E425" w:rsidR="00F208A9" w:rsidRDefault="00F208A9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A2F8CE" w14:textId="35490406" w:rsidR="008C42E1" w:rsidRPr="007B187A" w:rsidRDefault="00B27387" w:rsidP="000C2A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B187A">
              <w:rPr>
                <w:rFonts w:ascii="Arial" w:hAnsi="Arial" w:cs="Arial"/>
                <w:sz w:val="24"/>
                <w:szCs w:val="24"/>
              </w:rPr>
              <w:t>Tampa Porta Estepe e</w:t>
            </w:r>
            <w:r w:rsidR="000A3EFF" w:rsidRPr="000A3EFF">
              <w:rPr>
                <w:rFonts w:ascii="Arial" w:hAnsi="Arial" w:cs="Arial"/>
                <w:sz w:val="24"/>
                <w:szCs w:val="24"/>
              </w:rPr>
              <w:t xml:space="preserve"> Anel</w:t>
            </w:r>
          </w:p>
          <w:p w14:paraId="1170245D" w14:textId="2F0AFCC6" w:rsidR="008C42E1" w:rsidRPr="00F86970" w:rsidRDefault="00B27387" w:rsidP="00B2738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</w:t>
            </w:r>
            <w:r w:rsidR="00AE3AB8">
              <w:rPr>
                <w:rFonts w:ascii="Arial" w:hAnsi="Arial"/>
                <w:b/>
                <w:bCs/>
                <w:sz w:val="24"/>
                <w:szCs w:val="24"/>
              </w:rPr>
              <w:t>:</w:t>
            </w:r>
            <w:r w:rsidR="0083239C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0A3EFF" w:rsidRPr="000A3EFF">
              <w:rPr>
                <w:rFonts w:ascii="Arial" w:hAnsi="Arial"/>
                <w:sz w:val="24"/>
                <w:szCs w:val="24"/>
              </w:rPr>
              <w:t>S/N</w:t>
            </w:r>
          </w:p>
          <w:p w14:paraId="648FEFE9" w14:textId="30AFE3CD" w:rsidR="00B27387" w:rsidRPr="0099006D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A3EFF" w:rsidRPr="000A3EFF">
              <w:rPr>
                <w:rFonts w:ascii="Arial" w:hAnsi="Arial" w:cs="Arial"/>
                <w:sz w:val="24"/>
                <w:szCs w:val="24"/>
              </w:rPr>
              <w:t>RAC</w:t>
            </w:r>
          </w:p>
          <w:p w14:paraId="0A350D3E" w14:textId="30A527BC" w:rsidR="0063273F" w:rsidRDefault="00B27387" w:rsidP="00B2738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</w:p>
          <w:p w14:paraId="4AF223A6" w14:textId="33D81208" w:rsidR="000A3EFF" w:rsidRDefault="000A3EFF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616BD">
              <w:rPr>
                <w:rFonts w:ascii="Arial" w:hAnsi="Arial" w:cs="Arial"/>
                <w:b/>
                <w:bCs/>
                <w:sz w:val="24"/>
                <w:szCs w:val="24"/>
              </w:rPr>
              <w:t>Tampa:</w:t>
            </w:r>
            <w:r w:rsidR="00B616BD">
              <w:rPr>
                <w:rFonts w:ascii="Arial" w:hAnsi="Arial" w:cs="Arial"/>
                <w:sz w:val="24"/>
                <w:szCs w:val="24"/>
              </w:rPr>
              <w:t xml:space="preserve"> 0,122g</w:t>
            </w:r>
          </w:p>
          <w:p w14:paraId="1C70FFDE" w14:textId="4AF7A9F2" w:rsidR="000A3EFF" w:rsidRDefault="000A3EFF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616BD">
              <w:rPr>
                <w:rFonts w:ascii="Arial" w:hAnsi="Arial" w:cs="Arial"/>
                <w:b/>
                <w:bCs/>
                <w:sz w:val="24"/>
                <w:szCs w:val="24"/>
              </w:rPr>
              <w:t>Anel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B616BD">
              <w:rPr>
                <w:rFonts w:ascii="Arial" w:hAnsi="Arial" w:cs="Arial"/>
                <w:sz w:val="24"/>
                <w:szCs w:val="24"/>
              </w:rPr>
              <w:t xml:space="preserve"> 0,114g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D57FFB2" w14:textId="5D195D16" w:rsidR="00016D38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 w:rsidR="00E418D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36CFA" w:rsidRPr="00936CFA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4D58C01D" w14:textId="3E9B0072" w:rsidR="00016D38" w:rsidRPr="00016D38" w:rsidRDefault="00B27387" w:rsidP="00B2738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E418D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A3EFF" w:rsidRPr="000A3EFF">
              <w:rPr>
                <w:rFonts w:ascii="Arial" w:hAnsi="Arial" w:cs="Arial"/>
                <w:sz w:val="24"/>
                <w:szCs w:val="24"/>
              </w:rPr>
              <w:t>202/A</w:t>
            </w:r>
          </w:p>
          <w:p w14:paraId="5A204D5A" w14:textId="24032AD2" w:rsidR="00362F3D" w:rsidRDefault="00B27387" w:rsidP="00362F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936C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36CFA" w:rsidRPr="00936CFA">
              <w:rPr>
                <w:rFonts w:ascii="Arial" w:hAnsi="Arial" w:cs="Arial"/>
                <w:sz w:val="24"/>
                <w:szCs w:val="24"/>
              </w:rPr>
              <w:t>0</w:t>
            </w:r>
            <w:r w:rsidR="000C1BA7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154F41B0" w14:textId="0E212D41" w:rsidR="00CB25A7" w:rsidRDefault="00B27387" w:rsidP="00362F3D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Produção/Hora:</w:t>
            </w:r>
            <w:r w:rsidR="00936C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A51AC7">
              <w:rPr>
                <w:rFonts w:ascii="Arial" w:hAnsi="Arial" w:cs="Arial"/>
                <w:sz w:val="24"/>
                <w:szCs w:val="24"/>
              </w:rPr>
              <w:t>6</w:t>
            </w:r>
            <w:bookmarkStart w:id="6" w:name="_GoBack"/>
            <w:bookmarkEnd w:id="6"/>
            <w:r w:rsidR="000A3EFF">
              <w:rPr>
                <w:rFonts w:ascii="Arial" w:hAnsi="Arial" w:cs="Arial"/>
                <w:sz w:val="24"/>
                <w:szCs w:val="24"/>
              </w:rPr>
              <w:t>0</w:t>
            </w:r>
            <w:r w:rsidR="00E83AB1">
              <w:rPr>
                <w:rFonts w:ascii="Arial" w:hAnsi="Arial" w:cs="Arial"/>
                <w:sz w:val="24"/>
                <w:szCs w:val="24"/>
              </w:rPr>
              <w:t xml:space="preserve"> Peças/</w:t>
            </w:r>
            <w:r w:rsidR="000A3EFF">
              <w:rPr>
                <w:rFonts w:ascii="Arial" w:hAnsi="Arial" w:cs="Arial"/>
                <w:sz w:val="24"/>
                <w:szCs w:val="24"/>
              </w:rPr>
              <w:t>cada</w:t>
            </w:r>
          </w:p>
        </w:tc>
      </w:tr>
      <w:tr w:rsidR="000363C3" w14:paraId="16B91742" w14:textId="77777777" w:rsidTr="00692363">
        <w:trPr>
          <w:trHeight w:val="4907"/>
        </w:trPr>
        <w:tc>
          <w:tcPr>
            <w:tcW w:w="4356" w:type="dxa"/>
          </w:tcPr>
          <w:p w14:paraId="042F0EF9" w14:textId="2E6E1D67" w:rsidR="000363C3" w:rsidRDefault="00245D2A">
            <w:r>
              <w:rPr>
                <w:noProof/>
                <w:lang w:eastAsia="pt-BR"/>
              </w:rPr>
              <w:drawing>
                <wp:anchor distT="0" distB="0" distL="114300" distR="114300" simplePos="0" relativeHeight="251660800" behindDoc="0" locked="0" layoutInCell="1" allowOverlap="1" wp14:anchorId="2851A689" wp14:editId="791B8035">
                  <wp:simplePos x="0" y="0"/>
                  <wp:positionH relativeFrom="column">
                    <wp:posOffset>-13027</wp:posOffset>
                  </wp:positionH>
                  <wp:positionV relativeFrom="paragraph">
                    <wp:posOffset>551815</wp:posOffset>
                  </wp:positionV>
                  <wp:extent cx="2628900" cy="1851877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851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383B5EA1" w14:textId="77777777" w:rsidR="007A4E39" w:rsidRDefault="007A4E39" w:rsidP="007A4E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58AA2472" w14:textId="77777777" w:rsidR="007A4E39" w:rsidRDefault="007A4E39" w:rsidP="007A4E39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2452114" w14:textId="307175E9" w:rsidR="007A4E39" w:rsidRPr="00711C14" w:rsidRDefault="007A4E39" w:rsidP="007A4E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300TON</w:t>
            </w:r>
          </w:p>
          <w:p w14:paraId="0112B2D1" w14:textId="77777777" w:rsidR="007A4E39" w:rsidRDefault="007A4E39" w:rsidP="007A4E3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562B865" w14:textId="77777777" w:rsidR="007A4E39" w:rsidRDefault="007A4E39" w:rsidP="007A4E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>
              <w:rPr>
                <w:rFonts w:ascii="Arial" w:hAnsi="Arial" w:cs="Arial"/>
                <w:sz w:val="24"/>
                <w:szCs w:val="24"/>
              </w:rPr>
              <w:t>660° ± 20°Tol.</w:t>
            </w:r>
          </w:p>
          <w:p w14:paraId="7748C492" w14:textId="77777777" w:rsidR="007A4E39" w:rsidRDefault="007A4E39" w:rsidP="007A4E3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DA9FE17" w14:textId="77777777" w:rsidR="007A4E39" w:rsidRDefault="007A4E39" w:rsidP="007A4E3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300TON:</w:t>
            </w:r>
          </w:p>
          <w:p w14:paraId="3D85854F" w14:textId="77777777" w:rsidR="007A4E39" w:rsidRPr="00C962AD" w:rsidRDefault="007A4E39" w:rsidP="007A4E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Pressão:</w:t>
            </w:r>
            <w:r>
              <w:rPr>
                <w:rFonts w:ascii="Arial" w:hAnsi="Arial" w:cs="Arial"/>
                <w:sz w:val="24"/>
                <w:szCs w:val="24"/>
              </w:rPr>
              <w:t xml:space="preserve"> 140bar ± 20bar</w:t>
            </w:r>
          </w:p>
          <w:p w14:paraId="4657F014" w14:textId="77777777" w:rsidR="007A4E39" w:rsidRDefault="007A4E39" w:rsidP="007A4E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C962AD">
              <w:rPr>
                <w:rFonts w:ascii="Arial" w:hAnsi="Arial" w:cs="Arial"/>
                <w:sz w:val="24"/>
                <w:szCs w:val="24"/>
              </w:rPr>
              <w:t>150Ton</w:t>
            </w:r>
          </w:p>
          <w:p w14:paraId="06481778" w14:textId="48743ED3" w:rsidR="00F70DA8" w:rsidRPr="007A4E39" w:rsidRDefault="007A4E39" w:rsidP="007A4E39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</w:tc>
      </w:tr>
      <w:bookmarkEnd w:id="0"/>
    </w:tbl>
    <w:p w14:paraId="2A46D657" w14:textId="77777777" w:rsidR="000363C3" w:rsidRDefault="000363C3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7A4E39" w14:paraId="01CFE93E" w14:textId="77777777" w:rsidTr="00221E37">
        <w:trPr>
          <w:trHeight w:val="485"/>
        </w:trPr>
        <w:tc>
          <w:tcPr>
            <w:tcW w:w="5062" w:type="dxa"/>
            <w:vAlign w:val="center"/>
          </w:tcPr>
          <w:p w14:paraId="3715F156" w14:textId="77777777" w:rsidR="007A4E39" w:rsidRPr="00182E3D" w:rsidRDefault="007A4E39" w:rsidP="00221E37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bookmarkStart w:id="7" w:name="_Hlk102653969"/>
            <w:bookmarkStart w:id="8" w:name="_Hlk102492870"/>
            <w:bookmarkEnd w:id="1"/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Cuidados com setup</w:t>
            </w:r>
          </w:p>
        </w:tc>
        <w:tc>
          <w:tcPr>
            <w:tcW w:w="2043" w:type="dxa"/>
            <w:vAlign w:val="center"/>
          </w:tcPr>
          <w:p w14:paraId="5FD8497B" w14:textId="77777777" w:rsidR="007A4E39" w:rsidRPr="00182E3D" w:rsidRDefault="007A4E39" w:rsidP="00221E37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0787DA57" w14:textId="77777777" w:rsidR="007A4E39" w:rsidRDefault="007A4E39" w:rsidP="00221E37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7A4E39" w14:paraId="27D8CB6F" w14:textId="77777777" w:rsidTr="00221E37">
        <w:trPr>
          <w:trHeight w:val="739"/>
        </w:trPr>
        <w:tc>
          <w:tcPr>
            <w:tcW w:w="5062" w:type="dxa"/>
            <w:vAlign w:val="center"/>
          </w:tcPr>
          <w:p w14:paraId="20339464" w14:textId="77777777" w:rsidR="007A4E39" w:rsidRPr="00AA1C7C" w:rsidRDefault="007A4E39" w:rsidP="007A4E39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Align w:val="center"/>
          </w:tcPr>
          <w:p w14:paraId="75D081E4" w14:textId="77777777" w:rsidR="007A4E39" w:rsidRPr="00AA1C7C" w:rsidRDefault="007A4E39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5B13F632" w14:textId="77777777" w:rsidR="007A4E39" w:rsidRDefault="007A4E39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7A4E39" w14:paraId="3E91EF2C" w14:textId="77777777" w:rsidTr="00221E37">
        <w:trPr>
          <w:trHeight w:val="1045"/>
        </w:trPr>
        <w:tc>
          <w:tcPr>
            <w:tcW w:w="5062" w:type="dxa"/>
            <w:vAlign w:val="center"/>
          </w:tcPr>
          <w:p w14:paraId="4301310C" w14:textId="77777777" w:rsidR="007A4E39" w:rsidRPr="00AA1C7C" w:rsidRDefault="007A4E39" w:rsidP="007A4E39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1FC37D64" w14:textId="77777777" w:rsidR="007A4E39" w:rsidRDefault="007A4E39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29AE2B9D" w14:textId="77777777" w:rsidR="007A4E39" w:rsidRPr="00AA1C7C" w:rsidRDefault="007A4E39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19CBE80D" w14:textId="77777777" w:rsidR="007A4E39" w:rsidRPr="00AA1C7C" w:rsidRDefault="007A4E39" w:rsidP="00221E37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7A4E39" w14:paraId="6A5EFADF" w14:textId="77777777" w:rsidTr="00221E37">
        <w:trPr>
          <w:trHeight w:val="1190"/>
        </w:trPr>
        <w:tc>
          <w:tcPr>
            <w:tcW w:w="5062" w:type="dxa"/>
            <w:vAlign w:val="center"/>
          </w:tcPr>
          <w:p w14:paraId="7F914A84" w14:textId="77777777" w:rsidR="007A4E39" w:rsidRPr="00AA1C7C" w:rsidRDefault="007A4E39" w:rsidP="007A4E39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03E49A80" w14:textId="77777777" w:rsidR="007A4E39" w:rsidRDefault="007A4E39" w:rsidP="00221E37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7407CD61" w14:textId="77777777" w:rsidR="007A4E39" w:rsidRDefault="007A4E39" w:rsidP="00221E37">
            <w:pPr>
              <w:spacing w:after="160" w:line="259" w:lineRule="auto"/>
              <w:jc w:val="center"/>
            </w:pPr>
          </w:p>
        </w:tc>
      </w:tr>
      <w:tr w:rsidR="007A4E39" w14:paraId="39A46C17" w14:textId="77777777" w:rsidTr="00221E37">
        <w:trPr>
          <w:trHeight w:val="953"/>
        </w:trPr>
        <w:tc>
          <w:tcPr>
            <w:tcW w:w="5062" w:type="dxa"/>
            <w:vAlign w:val="center"/>
          </w:tcPr>
          <w:p w14:paraId="58CB27EF" w14:textId="77777777" w:rsidR="007A4E39" w:rsidRPr="00AA1C7C" w:rsidRDefault="007A4E39" w:rsidP="007A4E39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04C7DD63" w14:textId="77777777" w:rsidR="007A4E39" w:rsidRDefault="007A4E39" w:rsidP="00221E37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0284BF1D" w14:textId="77777777" w:rsidR="007A4E39" w:rsidRDefault="007A4E39" w:rsidP="00221E37">
            <w:pPr>
              <w:spacing w:after="160" w:line="259" w:lineRule="auto"/>
              <w:jc w:val="center"/>
            </w:pPr>
          </w:p>
        </w:tc>
      </w:tr>
      <w:tr w:rsidR="007A4E39" w14:paraId="3E103210" w14:textId="77777777" w:rsidTr="00221E37">
        <w:trPr>
          <w:trHeight w:val="678"/>
        </w:trPr>
        <w:tc>
          <w:tcPr>
            <w:tcW w:w="5062" w:type="dxa"/>
            <w:vAlign w:val="center"/>
          </w:tcPr>
          <w:p w14:paraId="73D37CCE" w14:textId="77777777" w:rsidR="007A4E39" w:rsidRPr="00AA1C7C" w:rsidRDefault="007A4E39" w:rsidP="007A4E39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1367E280" w14:textId="77777777" w:rsidR="007A4E39" w:rsidRPr="00AA1C7C" w:rsidRDefault="007A4E39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1368FF20" w14:textId="77777777" w:rsidR="007A4E39" w:rsidRDefault="007A4E39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7A4E39" w14:paraId="0D4BCD86" w14:textId="77777777" w:rsidTr="00221E37">
        <w:trPr>
          <w:trHeight w:val="683"/>
        </w:trPr>
        <w:tc>
          <w:tcPr>
            <w:tcW w:w="5062" w:type="dxa"/>
            <w:vAlign w:val="center"/>
          </w:tcPr>
          <w:p w14:paraId="0E5D5593" w14:textId="77777777" w:rsidR="007A4E39" w:rsidRPr="00AA1C7C" w:rsidRDefault="007A4E39" w:rsidP="007A4E39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2DA8A000" w14:textId="77777777" w:rsidR="007A4E39" w:rsidRPr="00FE3376" w:rsidRDefault="007A4E39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390EF14C" w14:textId="77777777" w:rsidR="007A4E39" w:rsidRDefault="007A4E39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7A4E39" w14:paraId="594B59B6" w14:textId="77777777" w:rsidTr="00221E37">
        <w:trPr>
          <w:trHeight w:val="995"/>
        </w:trPr>
        <w:tc>
          <w:tcPr>
            <w:tcW w:w="5062" w:type="dxa"/>
            <w:vAlign w:val="center"/>
          </w:tcPr>
          <w:p w14:paraId="30184A26" w14:textId="77777777" w:rsidR="007A4E39" w:rsidRPr="00AA1C7C" w:rsidRDefault="007A4E39" w:rsidP="007A4E39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2EE15DAF" w14:textId="77777777" w:rsidR="007A4E39" w:rsidRDefault="007A4E39" w:rsidP="00221E37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16D3E02A" w14:textId="77777777" w:rsidR="007A4E39" w:rsidRDefault="007A4E39" w:rsidP="00221E37">
            <w:pPr>
              <w:spacing w:after="160" w:line="259" w:lineRule="auto"/>
              <w:jc w:val="center"/>
            </w:pPr>
          </w:p>
        </w:tc>
      </w:tr>
      <w:tr w:rsidR="007A4E39" w14:paraId="7361EC75" w14:textId="77777777" w:rsidTr="00221E37">
        <w:trPr>
          <w:trHeight w:val="581"/>
        </w:trPr>
        <w:tc>
          <w:tcPr>
            <w:tcW w:w="5062" w:type="dxa"/>
            <w:vAlign w:val="center"/>
          </w:tcPr>
          <w:p w14:paraId="3ABD8CA2" w14:textId="77777777" w:rsidR="007A4E39" w:rsidRDefault="007A4E39" w:rsidP="007A4E39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14C903D0" w14:textId="77777777" w:rsidR="007A4E39" w:rsidRDefault="007A4E39" w:rsidP="00221E37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7EA3F7AF" w14:textId="77777777" w:rsidR="007A4E39" w:rsidRDefault="007A4E39" w:rsidP="00221E37">
            <w:pPr>
              <w:spacing w:after="160" w:line="259" w:lineRule="auto"/>
              <w:jc w:val="center"/>
            </w:pPr>
          </w:p>
        </w:tc>
      </w:tr>
      <w:tr w:rsidR="007A4E39" w14:paraId="6FB23E3E" w14:textId="77777777" w:rsidTr="00221E37">
        <w:trPr>
          <w:trHeight w:val="535"/>
        </w:trPr>
        <w:tc>
          <w:tcPr>
            <w:tcW w:w="5062" w:type="dxa"/>
            <w:vAlign w:val="center"/>
          </w:tcPr>
          <w:p w14:paraId="0EB93653" w14:textId="77777777" w:rsidR="007A4E39" w:rsidRPr="00AA1C7C" w:rsidRDefault="007A4E39" w:rsidP="007A4E39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7265BE54" w14:textId="77777777" w:rsidR="007A4E39" w:rsidRPr="00AA1C7C" w:rsidRDefault="007A4E39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444394DA" w14:textId="77777777" w:rsidR="007A4E39" w:rsidRDefault="007A4E39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7A4E39" w14:paraId="2BF83CB1" w14:textId="77777777" w:rsidTr="00221E37">
        <w:trPr>
          <w:trHeight w:val="1102"/>
        </w:trPr>
        <w:tc>
          <w:tcPr>
            <w:tcW w:w="5062" w:type="dxa"/>
            <w:vAlign w:val="center"/>
          </w:tcPr>
          <w:p w14:paraId="240AC291" w14:textId="77777777" w:rsidR="007A4E39" w:rsidRPr="00AA1C7C" w:rsidRDefault="007A4E39" w:rsidP="007A4E39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4BD6F9D6" w14:textId="77777777" w:rsidR="007A4E39" w:rsidRPr="00182E3D" w:rsidRDefault="007A4E39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113B5352" w14:textId="77777777" w:rsidR="007A4E39" w:rsidRPr="00182E3D" w:rsidRDefault="007A4E39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01 – IT 015 – Controle de Porosidade / Relatório Dimensional (RD)</w:t>
            </w:r>
          </w:p>
        </w:tc>
      </w:tr>
      <w:tr w:rsidR="007A4E39" w14:paraId="57D66860" w14:textId="77777777" w:rsidTr="00221E37">
        <w:trPr>
          <w:trHeight w:val="601"/>
        </w:trPr>
        <w:tc>
          <w:tcPr>
            <w:tcW w:w="5062" w:type="dxa"/>
            <w:vAlign w:val="center"/>
          </w:tcPr>
          <w:p w14:paraId="6D3D2C36" w14:textId="77777777" w:rsidR="007A4E39" w:rsidRDefault="007A4E39" w:rsidP="007A4E39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5ED6129E" w14:textId="77777777" w:rsidR="007A4E39" w:rsidRPr="00182E3D" w:rsidRDefault="007A4E39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5595331B" w14:textId="77777777" w:rsidR="007A4E39" w:rsidRPr="00182E3D" w:rsidRDefault="007A4E39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7A4E39" w14:paraId="2B132F49" w14:textId="77777777" w:rsidTr="00221E37">
        <w:trPr>
          <w:trHeight w:val="496"/>
        </w:trPr>
        <w:tc>
          <w:tcPr>
            <w:tcW w:w="5062" w:type="dxa"/>
            <w:vAlign w:val="center"/>
          </w:tcPr>
          <w:p w14:paraId="576F1559" w14:textId="77777777" w:rsidR="007A4E39" w:rsidRPr="00AA1C7C" w:rsidRDefault="007A4E39" w:rsidP="007A4E39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5B92D571" w14:textId="77777777" w:rsidR="007A4E39" w:rsidRPr="00182E3D" w:rsidRDefault="007A4E39" w:rsidP="00221E3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7A4E39" w14:paraId="4AA9BBA7" w14:textId="77777777" w:rsidTr="00221E37">
        <w:trPr>
          <w:trHeight w:val="68"/>
        </w:trPr>
        <w:tc>
          <w:tcPr>
            <w:tcW w:w="5062" w:type="dxa"/>
            <w:vAlign w:val="center"/>
          </w:tcPr>
          <w:p w14:paraId="1A09D831" w14:textId="77777777" w:rsidR="007A4E39" w:rsidRDefault="007A4E39" w:rsidP="007A4E39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06B78D05" w14:textId="77777777" w:rsidR="007A4E39" w:rsidRDefault="007A4E39" w:rsidP="00221E37">
            <w:pPr>
              <w:spacing w:after="160" w:line="259" w:lineRule="auto"/>
              <w:jc w:val="center"/>
            </w:pPr>
          </w:p>
        </w:tc>
      </w:tr>
    </w:tbl>
    <w:p w14:paraId="043F8F86" w14:textId="678BD97E" w:rsidR="00754E8C" w:rsidRDefault="0000588C">
      <w:r>
        <w:br w:type="page"/>
      </w:r>
    </w:p>
    <w:p w14:paraId="39049A8E" w14:textId="232FCDAE" w:rsidR="00754E8C" w:rsidRDefault="00754E8C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54E8C" w14:paraId="6D0825FA" w14:textId="77777777" w:rsidTr="00754E8C">
        <w:trPr>
          <w:trHeight w:val="4961"/>
        </w:trPr>
        <w:tc>
          <w:tcPr>
            <w:tcW w:w="4356" w:type="dxa"/>
          </w:tcPr>
          <w:p w14:paraId="00AA0D23" w14:textId="6554D4C2" w:rsidR="00754E8C" w:rsidRDefault="007B187A" w:rsidP="00754E8C"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0273078D" wp14:editId="4061BB59">
                      <wp:simplePos x="0" y="0"/>
                      <wp:positionH relativeFrom="column">
                        <wp:posOffset>1566545</wp:posOffset>
                      </wp:positionH>
                      <wp:positionV relativeFrom="paragraph">
                        <wp:posOffset>1603375</wp:posOffset>
                      </wp:positionV>
                      <wp:extent cx="552450" cy="352425"/>
                      <wp:effectExtent l="19050" t="57150" r="38100" b="9525"/>
                      <wp:wrapNone/>
                      <wp:docPr id="7" name="Seta para a esquerd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11503"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0B9197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Seta para a esquerda 7" o:spid="_x0000_s1026" type="#_x0000_t66" style="position:absolute;margin-left:123.35pt;margin-top:126.25pt;width:43.5pt;height:27.75pt;rotation:1104831fd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" adj="6890" fillcolor="red" strokecolor="red" strokeweight="1pt"/>
                  </w:pict>
                </mc:Fallback>
              </mc:AlternateContent>
            </w:r>
            <w:r w:rsidR="00FD663B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6944" behindDoc="0" locked="0" layoutInCell="1" allowOverlap="1" wp14:anchorId="59A7ED76" wp14:editId="07ECC6F7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346074</wp:posOffset>
                  </wp:positionV>
                  <wp:extent cx="2455736" cy="2562225"/>
                  <wp:effectExtent l="0" t="0" r="0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091" cy="256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D59EA8F" w14:textId="5AC1D922" w:rsidR="00245D2A" w:rsidRDefault="00245D2A" w:rsidP="00245D2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TESTE DE SANIDADE:</w:t>
            </w:r>
          </w:p>
          <w:p w14:paraId="1FD5134F" w14:textId="77777777" w:rsidR="00754E8C" w:rsidRDefault="00245D2A" w:rsidP="00245D2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USINAGEM</w:t>
            </w:r>
            <w:r w:rsidR="00E418D1" w:rsidRPr="00D233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59A5E34A" w14:textId="77777777" w:rsidR="00FD663B" w:rsidRDefault="00FD663B" w:rsidP="00FD66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E1C0013" w14:textId="0A97FE5A" w:rsidR="00FD663B" w:rsidRPr="00555824" w:rsidRDefault="00FD663B" w:rsidP="00FD66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Usinar as peças conforme </w:t>
            </w:r>
            <w:r w:rsidR="007A4E39">
              <w:rPr>
                <w:rFonts w:ascii="Arial" w:hAnsi="Arial" w:cs="Arial"/>
                <w:sz w:val="24"/>
                <w:szCs w:val="24"/>
              </w:rPr>
              <w:t>imagem ao lado entre 2mm a 3mm</w:t>
            </w:r>
            <w:r w:rsidRPr="00555824">
              <w:rPr>
                <w:rFonts w:ascii="Arial" w:hAnsi="Arial" w:cs="Arial"/>
                <w:sz w:val="24"/>
                <w:szCs w:val="24"/>
              </w:rPr>
              <w:t xml:space="preserve"> para verificação de possíveis porosidade.</w:t>
            </w:r>
          </w:p>
          <w:p w14:paraId="233BAC99" w14:textId="77777777" w:rsidR="00FD663B" w:rsidRPr="00555824" w:rsidRDefault="00FD663B" w:rsidP="00FD663B">
            <w:pPr>
              <w:rPr>
                <w:rFonts w:ascii="Arial" w:hAnsi="Arial" w:cs="Arial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3593F4D" w14:textId="77777777" w:rsidR="00FD663B" w:rsidRPr="00555824" w:rsidRDefault="00FD663B" w:rsidP="00FD663B">
            <w:pPr>
              <w:rPr>
                <w:rFonts w:ascii="Arial" w:hAnsi="Arial" w:cs="Arial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>Com o teste feito e aprovado, as peças são liberadas para segmento da injeção.</w:t>
            </w:r>
          </w:p>
          <w:p w14:paraId="51DE3F05" w14:textId="77777777" w:rsidR="00FD663B" w:rsidRPr="00555824" w:rsidRDefault="00FD663B" w:rsidP="00FD663B">
            <w:pPr>
              <w:rPr>
                <w:rFonts w:ascii="Arial" w:hAnsi="Arial" w:cs="Arial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62478AF" w14:textId="77777777" w:rsidR="00FD663B" w:rsidRPr="00555824" w:rsidRDefault="00FD663B" w:rsidP="00FD663B">
            <w:pPr>
              <w:rPr>
                <w:rFonts w:ascii="Calibri" w:hAnsi="Calibri" w:cs="Times New Roman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>Após a injeção, as peças são transportadas para a quebra de canal.</w:t>
            </w:r>
          </w:p>
          <w:p w14:paraId="785B98F7" w14:textId="6448D87B" w:rsidR="00FD663B" w:rsidRPr="00245D2A" w:rsidRDefault="00FD663B" w:rsidP="00FD66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54E8C" w14:paraId="2234C97B" w14:textId="77777777" w:rsidTr="008C47C3">
        <w:trPr>
          <w:trHeight w:val="5230"/>
        </w:trPr>
        <w:tc>
          <w:tcPr>
            <w:tcW w:w="4356" w:type="dxa"/>
          </w:tcPr>
          <w:p w14:paraId="6CA5D789" w14:textId="72EF8831" w:rsidR="00754E8C" w:rsidRDefault="007A4E39" w:rsidP="00754E8C">
            <w:r>
              <w:rPr>
                <w:noProof/>
                <w:lang w:eastAsia="pt-BR"/>
              </w:rPr>
              <w:drawing>
                <wp:anchor distT="0" distB="0" distL="114300" distR="114300" simplePos="0" relativeHeight="251653632" behindDoc="0" locked="0" layoutInCell="1" allowOverlap="1" wp14:anchorId="4E6D81CC" wp14:editId="18FBA6E6">
                  <wp:simplePos x="0" y="0"/>
                  <wp:positionH relativeFrom="column">
                    <wp:posOffset>748030</wp:posOffset>
                  </wp:positionH>
                  <wp:positionV relativeFrom="paragraph">
                    <wp:posOffset>1974215</wp:posOffset>
                  </wp:positionV>
                  <wp:extent cx="1209040" cy="1675130"/>
                  <wp:effectExtent l="0" t="0" r="0" b="1270"/>
                  <wp:wrapSquare wrapText="bothSides"/>
                  <wp:docPr id="8" name="Imagem 8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040" cy="167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B9E6EC4" wp14:editId="6312250C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380365</wp:posOffset>
                      </wp:positionV>
                      <wp:extent cx="495300" cy="76200"/>
                      <wp:effectExtent l="38100" t="95250" r="0" b="95250"/>
                      <wp:wrapNone/>
                      <wp:docPr id="13" name="Conector de seta ret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95300" cy="7620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4B59F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3" o:spid="_x0000_s1026" type="#_x0000_t32" style="position:absolute;margin-left:66.35pt;margin-top:29.95pt;width:39pt;height:6pt;flip:x 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" strokecolor="#c00000" strokeweight="4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66A36F25" wp14:editId="2EAB95C8">
                      <wp:simplePos x="0" y="0"/>
                      <wp:positionH relativeFrom="column">
                        <wp:posOffset>1451610</wp:posOffset>
                      </wp:positionH>
                      <wp:positionV relativeFrom="paragraph">
                        <wp:posOffset>122555</wp:posOffset>
                      </wp:positionV>
                      <wp:extent cx="504825" cy="104775"/>
                      <wp:effectExtent l="0" t="57150" r="47625" b="104775"/>
                      <wp:wrapNone/>
                      <wp:docPr id="12" name="Conector de seta ret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104775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66FEA" id="Conector de seta reta 12" o:spid="_x0000_s1026" type="#_x0000_t32" style="position:absolute;margin-left:114.3pt;margin-top:9.65pt;width:39.75pt;height:8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" strokecolor="#c00000" strokeweight="4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6AA4908E" wp14:editId="0B36CA6D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1541780</wp:posOffset>
                      </wp:positionV>
                      <wp:extent cx="609600" cy="47625"/>
                      <wp:effectExtent l="0" t="95250" r="0" b="104775"/>
                      <wp:wrapNone/>
                      <wp:docPr id="11" name="Conector de seta re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9600" cy="47625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41931" id="Conector de seta reta 11" o:spid="_x0000_s1026" type="#_x0000_t32" style="position:absolute;margin-left:43.85pt;margin-top:121.4pt;width:48pt;height:3.75pt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" strokecolor="#c00000" strokeweight="4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1040" behindDoc="0" locked="0" layoutInCell="1" allowOverlap="1" wp14:anchorId="31AA5F16" wp14:editId="6A48B48A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60960</wp:posOffset>
                  </wp:positionV>
                  <wp:extent cx="2628900" cy="1851877"/>
                  <wp:effectExtent l="0" t="0" r="0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851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3469F714" w14:textId="77777777" w:rsidR="007A4E39" w:rsidRPr="00A51165" w:rsidRDefault="007A4E39" w:rsidP="007A4E3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60388BF0" w14:textId="77777777" w:rsidR="007A4E39" w:rsidRDefault="007A4E39" w:rsidP="007A4E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45D4F93" w14:textId="77777777" w:rsidR="007A4E39" w:rsidRDefault="007A4E39" w:rsidP="007A4E39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3AC2AEFE" w14:textId="77777777" w:rsidR="007A4E39" w:rsidRDefault="007A4E39" w:rsidP="007A4E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9C01206" w14:textId="77777777" w:rsidR="007A4E39" w:rsidRDefault="007A4E39" w:rsidP="007A4E39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38806285" w14:textId="77777777" w:rsidR="007A4E39" w:rsidRDefault="007A4E39" w:rsidP="007A4E39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30506933" w14:textId="77777777" w:rsidR="007A4E39" w:rsidRDefault="007A4E39" w:rsidP="007A4E39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17E09E0D" w14:textId="77777777" w:rsidR="007A4E39" w:rsidRDefault="007A4E39" w:rsidP="007A4E39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1F1C0801" w14:textId="77777777" w:rsidR="007A4E39" w:rsidRDefault="007A4E39" w:rsidP="007A4E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116BD972" w14:textId="77777777" w:rsidR="007A4E39" w:rsidRDefault="007A4E39" w:rsidP="007A4E3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819E09" w14:textId="0690753A" w:rsidR="007A4E39" w:rsidRDefault="007A4E39" w:rsidP="007A4E39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de processo, as peças devem</w:t>
            </w:r>
            <w:r w:rsidR="00F76ABF">
              <w:rPr>
                <w:rFonts w:ascii="Arial" w:hAnsi="Arial" w:cs="Arial"/>
                <w:sz w:val="24"/>
                <w:szCs w:val="24"/>
              </w:rPr>
              <w:t xml:space="preserve"> ser transportadas para o setor de acabamento.</w:t>
            </w:r>
          </w:p>
          <w:p w14:paraId="788BB1E6" w14:textId="21F7A462" w:rsidR="00B340E8" w:rsidRPr="008C42E1" w:rsidRDefault="00B340E8" w:rsidP="00245D2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511EA063" w14:textId="6E150F9B" w:rsidR="00754E8C" w:rsidRDefault="00754E8C"/>
    <w:bookmarkEnd w:id="3"/>
    <w:bookmarkEnd w:id="4"/>
    <w:bookmarkEnd w:id="5"/>
    <w:bookmarkEnd w:id="7"/>
    <w:bookmarkEnd w:id="8"/>
    <w:p w14:paraId="0421E61D" w14:textId="67B15998" w:rsidR="00E418D1" w:rsidRDefault="00E418D1"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E418D1" w14:paraId="1BF9CE73" w14:textId="77777777" w:rsidTr="003C1A3C">
        <w:trPr>
          <w:trHeight w:val="5371"/>
        </w:trPr>
        <w:tc>
          <w:tcPr>
            <w:tcW w:w="4356" w:type="dxa"/>
          </w:tcPr>
          <w:p w14:paraId="7846967C" w14:textId="7E4EFA0D" w:rsidR="00E418D1" w:rsidRDefault="00F76ABF" w:rsidP="0021672A">
            <w:r>
              <w:rPr>
                <w:noProof/>
                <w:lang w:eastAsia="pt-BR"/>
              </w:rPr>
              <w:drawing>
                <wp:anchor distT="0" distB="0" distL="114300" distR="114300" simplePos="0" relativeHeight="251677184" behindDoc="0" locked="0" layoutInCell="1" allowOverlap="1" wp14:anchorId="2AF720DA" wp14:editId="142077DC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317500</wp:posOffset>
                  </wp:positionV>
                  <wp:extent cx="2470394" cy="2752725"/>
                  <wp:effectExtent l="0" t="0" r="6350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hatsApp Image 2023-05-15 at 14.52.27.jpe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24" t="17732" r="5044" b="27783"/>
                          <a:stretch/>
                        </pic:blipFill>
                        <pic:spPr bwMode="auto">
                          <a:xfrm>
                            <a:off x="0" y="0"/>
                            <a:ext cx="2470394" cy="2752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4DFCE9B" w14:textId="78BD0C8E" w:rsidR="000C1BA7" w:rsidRDefault="00F76ABF" w:rsidP="000C1BA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Rebarbação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Manual</w:t>
            </w:r>
          </w:p>
          <w:p w14:paraId="290605A6" w14:textId="3DA37263" w:rsidR="000C1BA7" w:rsidRDefault="000C1BA7" w:rsidP="000C1BA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415B8E1" w14:textId="77777777" w:rsidR="000C1BA7" w:rsidRDefault="000C1BA7" w:rsidP="000C1BA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0627532" w14:textId="560F0D56" w:rsidR="000C1BA7" w:rsidRDefault="00F76ABF" w:rsidP="000C1BA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 uma lima redonda, limar a parte interna da peça para retirar a rebarba.</w:t>
            </w:r>
          </w:p>
          <w:p w14:paraId="09CCAFAD" w14:textId="77777777" w:rsidR="00F76ABF" w:rsidRDefault="00F76ABF" w:rsidP="000C1BA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C7C343A" w14:textId="75CAB2E2" w:rsidR="00F76ABF" w:rsidRDefault="00F76ABF" w:rsidP="000C1BA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Separar as peças conformes das não conformes se necessário.</w:t>
            </w:r>
          </w:p>
          <w:p w14:paraId="6A3AAE89" w14:textId="77777777" w:rsidR="00F76ABF" w:rsidRDefault="00F76ABF" w:rsidP="000C1BA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8A5DCA8" w14:textId="598ED35F" w:rsidR="00F76ABF" w:rsidRDefault="00F76ABF" w:rsidP="000C1BA7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a conclusão do processo, enviar as peças para a embalagem. </w:t>
            </w:r>
          </w:p>
          <w:p w14:paraId="009B80A3" w14:textId="1B4B7E58" w:rsidR="00F76ABF" w:rsidRPr="008C42E1" w:rsidRDefault="00F76ABF" w:rsidP="00F76AB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7081426" w14:textId="574FB76E" w:rsidR="008A6896" w:rsidRPr="008C42E1" w:rsidRDefault="008A6896" w:rsidP="000C1BA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ABF" w14:paraId="4DBF6614" w14:textId="77777777" w:rsidTr="003C1A3C">
        <w:trPr>
          <w:trHeight w:val="5371"/>
        </w:trPr>
        <w:tc>
          <w:tcPr>
            <w:tcW w:w="4356" w:type="dxa"/>
          </w:tcPr>
          <w:p w14:paraId="36A0B327" w14:textId="6846A146" w:rsidR="00F76ABF" w:rsidRDefault="00F76ABF" w:rsidP="0021672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7968" behindDoc="0" locked="0" layoutInCell="1" allowOverlap="1" wp14:anchorId="103394CC" wp14:editId="6C6E5B26">
                  <wp:simplePos x="0" y="0"/>
                  <wp:positionH relativeFrom="column">
                    <wp:posOffset>389255</wp:posOffset>
                  </wp:positionH>
                  <wp:positionV relativeFrom="paragraph">
                    <wp:posOffset>448310</wp:posOffset>
                  </wp:positionV>
                  <wp:extent cx="1962150" cy="261620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61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F7C5AD7" w14:textId="58CBED83" w:rsidR="00F76ABF" w:rsidRDefault="00F76ABF" w:rsidP="00F76AB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30B5A60D" w14:textId="77777777" w:rsidR="00F76ABF" w:rsidRDefault="00F76ABF" w:rsidP="00F76AB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3B00030" w14:textId="77777777" w:rsidR="00F76ABF" w:rsidRPr="000B1FE4" w:rsidRDefault="00F76ABF" w:rsidP="00F76AB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2040582" w14:textId="77777777" w:rsidR="00F76ABF" w:rsidRDefault="00F76ABF" w:rsidP="00F76AB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F541E6B" w14:textId="77777777" w:rsidR="00F76ABF" w:rsidRDefault="00F76ABF" w:rsidP="00F76ABF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saco de ráfia.</w:t>
            </w:r>
          </w:p>
          <w:p w14:paraId="591FF90A" w14:textId="77777777" w:rsidR="00F76ABF" w:rsidRDefault="00F76ABF" w:rsidP="00F76AB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AA1CC60" w14:textId="77777777" w:rsidR="00F76ABF" w:rsidRDefault="00F76ABF" w:rsidP="00F76AB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C2A4D3F" w14:textId="77777777" w:rsidR="00F76ABF" w:rsidRDefault="00F76ABF" w:rsidP="00F76AB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saco:</w:t>
            </w:r>
          </w:p>
          <w:p w14:paraId="3CA2EBA5" w14:textId="77777777" w:rsidR="00F76ABF" w:rsidRDefault="00F76ABF" w:rsidP="00F76AB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207065C" w14:textId="77777777" w:rsidR="00F76ABF" w:rsidRPr="008A6896" w:rsidRDefault="00F76ABF" w:rsidP="00F76ABF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6896">
              <w:rPr>
                <w:rFonts w:ascii="Arial" w:hAnsi="Arial" w:cs="Arial"/>
                <w:b/>
                <w:bCs/>
                <w:sz w:val="24"/>
                <w:szCs w:val="24"/>
              </w:rPr>
              <w:t>Tampa: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31E8F">
              <w:rPr>
                <w:rFonts w:ascii="Arial" w:hAnsi="Arial" w:cs="Arial"/>
                <w:sz w:val="24"/>
                <w:szCs w:val="24"/>
              </w:rPr>
              <w:t>100 peças</w:t>
            </w:r>
          </w:p>
          <w:p w14:paraId="4E05C0B9" w14:textId="428BE006" w:rsidR="00F76ABF" w:rsidRDefault="00F76ABF" w:rsidP="00F76ABF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6896">
              <w:rPr>
                <w:rFonts w:ascii="Arial" w:hAnsi="Arial" w:cs="Arial"/>
                <w:b/>
                <w:bCs/>
                <w:sz w:val="24"/>
                <w:szCs w:val="24"/>
              </w:rPr>
              <w:t>Anel:</w:t>
            </w:r>
            <w:r>
              <w:rPr>
                <w:rFonts w:ascii="Arial" w:hAnsi="Arial" w:cs="Arial"/>
                <w:sz w:val="24"/>
                <w:szCs w:val="24"/>
              </w:rPr>
              <w:t xml:space="preserve">  100 peças</w:t>
            </w:r>
          </w:p>
        </w:tc>
      </w:tr>
    </w:tbl>
    <w:p w14:paraId="3FF58490" w14:textId="7FABD673" w:rsidR="00E418D1" w:rsidRDefault="00E418D1" w:rsidP="00E418D1"/>
    <w:p w14:paraId="38812E94" w14:textId="77777777" w:rsidR="00CC423C" w:rsidRPr="00190794" w:rsidRDefault="00CC423C" w:rsidP="00362F3D"/>
    <w:sectPr w:rsidR="00CC423C" w:rsidRPr="00190794">
      <w:headerReference w:type="default" r:id="rId16"/>
      <w:footerReference w:type="default" r:id="rId1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DCEC3" w14:textId="77777777" w:rsidR="00C662B2" w:rsidRDefault="00C662B2">
      <w:r>
        <w:separator/>
      </w:r>
    </w:p>
  </w:endnote>
  <w:endnote w:type="continuationSeparator" w:id="0">
    <w:p w14:paraId="5176FC76" w14:textId="77777777" w:rsidR="00C662B2" w:rsidRDefault="00C66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FCF32" w14:textId="77777777" w:rsidR="00C662B2" w:rsidRDefault="00C662B2">
      <w:r>
        <w:separator/>
      </w:r>
    </w:p>
  </w:footnote>
  <w:footnote w:type="continuationSeparator" w:id="0">
    <w:p w14:paraId="6BD7519E" w14:textId="77777777" w:rsidR="00C662B2" w:rsidRDefault="00C662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363C3" w14:paraId="5289EB49" w14:textId="77777777" w:rsidTr="00B244CE">
      <w:trPr>
        <w:trHeight w:val="1408"/>
      </w:trPr>
      <w:tc>
        <w:tcPr>
          <w:tcW w:w="2830" w:type="dxa"/>
          <w:vAlign w:val="center"/>
        </w:tcPr>
        <w:p w14:paraId="0967B7D9" w14:textId="07049653" w:rsidR="000363C3" w:rsidRDefault="00B244CE" w:rsidP="0000588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48512" behindDoc="0" locked="0" layoutInCell="1" allowOverlap="1" wp14:anchorId="055E50C8" wp14:editId="5DE4CA5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55DE">
            <w:t>.</w:t>
          </w:r>
        </w:p>
      </w:tc>
      <w:tc>
        <w:tcPr>
          <w:tcW w:w="4602" w:type="dxa"/>
          <w:vAlign w:val="center"/>
        </w:tcPr>
        <w:p w14:paraId="3195CA63" w14:textId="374743C1" w:rsidR="000363C3" w:rsidRPr="00C24C74" w:rsidRDefault="0000588C" w:rsidP="0000588C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1F978CCC" w14:textId="77777777" w:rsidR="007A4E39" w:rsidRDefault="007A4E39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A81F5A1" w14:textId="26F2ACF8" w:rsidR="000363C3" w:rsidRPr="00C24C74" w:rsidRDefault="0000588C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Revisão Nº: </w:t>
          </w:r>
          <w:r w:rsidR="00362F3D">
            <w:rPr>
              <w:rFonts w:ascii="Arial" w:hAnsi="Arial" w:cs="Arial"/>
              <w:sz w:val="22"/>
              <w:szCs w:val="32"/>
            </w:rPr>
            <w:t>02</w:t>
          </w:r>
        </w:p>
        <w:p w14:paraId="46B90E2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EAB73E5" w14:textId="269AE6DE" w:rsidR="000363C3" w:rsidRPr="007A4E39" w:rsidRDefault="0000588C" w:rsidP="007A4E39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362F3D">
            <w:rPr>
              <w:rFonts w:ascii="Arial" w:hAnsi="Arial" w:cs="Arial"/>
              <w:sz w:val="22"/>
              <w:szCs w:val="32"/>
            </w:rPr>
            <w:t>01/04/</w:t>
          </w:r>
          <w:r w:rsidR="00CC423C" w:rsidRPr="00C24C74">
            <w:rPr>
              <w:rFonts w:ascii="Arial" w:hAnsi="Arial" w:cs="Arial"/>
              <w:sz w:val="22"/>
              <w:szCs w:val="32"/>
            </w:rPr>
            <w:t>2022</w:t>
          </w:r>
        </w:p>
      </w:tc>
    </w:tr>
  </w:tbl>
  <w:p w14:paraId="10143A38" w14:textId="1ECBAEFB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819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588C"/>
    <w:rsid w:val="00016D38"/>
    <w:rsid w:val="00025098"/>
    <w:rsid w:val="00033C4A"/>
    <w:rsid w:val="000363C3"/>
    <w:rsid w:val="00040BE7"/>
    <w:rsid w:val="00060E5E"/>
    <w:rsid w:val="00092474"/>
    <w:rsid w:val="00096DEE"/>
    <w:rsid w:val="000A3EFF"/>
    <w:rsid w:val="000C0FA1"/>
    <w:rsid w:val="000C1BA7"/>
    <w:rsid w:val="000C2AC6"/>
    <w:rsid w:val="000D5EE3"/>
    <w:rsid w:val="000F6D21"/>
    <w:rsid w:val="00102782"/>
    <w:rsid w:val="00103BDA"/>
    <w:rsid w:val="00121B0F"/>
    <w:rsid w:val="00131E8F"/>
    <w:rsid w:val="00133B8E"/>
    <w:rsid w:val="0014097F"/>
    <w:rsid w:val="00164082"/>
    <w:rsid w:val="00165263"/>
    <w:rsid w:val="001750B4"/>
    <w:rsid w:val="00190794"/>
    <w:rsid w:val="001A1FC8"/>
    <w:rsid w:val="001B2FEF"/>
    <w:rsid w:val="001C7923"/>
    <w:rsid w:val="001F6A35"/>
    <w:rsid w:val="002226B6"/>
    <w:rsid w:val="00223FC7"/>
    <w:rsid w:val="00245D2A"/>
    <w:rsid w:val="00257E8C"/>
    <w:rsid w:val="002A45FE"/>
    <w:rsid w:val="002E5D27"/>
    <w:rsid w:val="003016A5"/>
    <w:rsid w:val="00304375"/>
    <w:rsid w:val="0031157E"/>
    <w:rsid w:val="00351DC6"/>
    <w:rsid w:val="00362F3D"/>
    <w:rsid w:val="003634CC"/>
    <w:rsid w:val="003959F4"/>
    <w:rsid w:val="003A4A36"/>
    <w:rsid w:val="003A4F88"/>
    <w:rsid w:val="003C1A3C"/>
    <w:rsid w:val="003D02D8"/>
    <w:rsid w:val="003D3263"/>
    <w:rsid w:val="003D39AC"/>
    <w:rsid w:val="00413FB0"/>
    <w:rsid w:val="00437726"/>
    <w:rsid w:val="00457A14"/>
    <w:rsid w:val="00461584"/>
    <w:rsid w:val="00471A59"/>
    <w:rsid w:val="00476F29"/>
    <w:rsid w:val="004A3A07"/>
    <w:rsid w:val="004A421D"/>
    <w:rsid w:val="004C6361"/>
    <w:rsid w:val="004D0A02"/>
    <w:rsid w:val="004E22B4"/>
    <w:rsid w:val="004E422D"/>
    <w:rsid w:val="004E55DE"/>
    <w:rsid w:val="004F04F7"/>
    <w:rsid w:val="00515349"/>
    <w:rsid w:val="00550CD0"/>
    <w:rsid w:val="00552D16"/>
    <w:rsid w:val="00555824"/>
    <w:rsid w:val="00567C88"/>
    <w:rsid w:val="00583A0E"/>
    <w:rsid w:val="00597C61"/>
    <w:rsid w:val="005A2CC2"/>
    <w:rsid w:val="005B5119"/>
    <w:rsid w:val="005C39A8"/>
    <w:rsid w:val="005C6355"/>
    <w:rsid w:val="005F2110"/>
    <w:rsid w:val="0060240E"/>
    <w:rsid w:val="00603A59"/>
    <w:rsid w:val="0063273F"/>
    <w:rsid w:val="00632BDC"/>
    <w:rsid w:val="00636DE9"/>
    <w:rsid w:val="0065622D"/>
    <w:rsid w:val="00660215"/>
    <w:rsid w:val="00686CD8"/>
    <w:rsid w:val="00692363"/>
    <w:rsid w:val="006A5BAB"/>
    <w:rsid w:val="006B23B6"/>
    <w:rsid w:val="006B71F1"/>
    <w:rsid w:val="006C473D"/>
    <w:rsid w:val="006D42A2"/>
    <w:rsid w:val="006F7EA2"/>
    <w:rsid w:val="0071422D"/>
    <w:rsid w:val="007231F0"/>
    <w:rsid w:val="00734437"/>
    <w:rsid w:val="00734F0A"/>
    <w:rsid w:val="00754C95"/>
    <w:rsid w:val="00754E8C"/>
    <w:rsid w:val="007663B3"/>
    <w:rsid w:val="007876AD"/>
    <w:rsid w:val="00792925"/>
    <w:rsid w:val="007944B0"/>
    <w:rsid w:val="007A4E39"/>
    <w:rsid w:val="007A5CF3"/>
    <w:rsid w:val="007B187A"/>
    <w:rsid w:val="007D135C"/>
    <w:rsid w:val="008005E8"/>
    <w:rsid w:val="00805898"/>
    <w:rsid w:val="0083239C"/>
    <w:rsid w:val="00834CB7"/>
    <w:rsid w:val="008808F8"/>
    <w:rsid w:val="008A6896"/>
    <w:rsid w:val="008B12F2"/>
    <w:rsid w:val="008B6F9F"/>
    <w:rsid w:val="008C42E1"/>
    <w:rsid w:val="008C47C3"/>
    <w:rsid w:val="008D06DF"/>
    <w:rsid w:val="008F1AF7"/>
    <w:rsid w:val="00936CFA"/>
    <w:rsid w:val="00945CBF"/>
    <w:rsid w:val="00951BDE"/>
    <w:rsid w:val="0095475B"/>
    <w:rsid w:val="00982CC2"/>
    <w:rsid w:val="00985DF5"/>
    <w:rsid w:val="0099006D"/>
    <w:rsid w:val="009C399B"/>
    <w:rsid w:val="009D2514"/>
    <w:rsid w:val="009D5BCC"/>
    <w:rsid w:val="009E7E2F"/>
    <w:rsid w:val="00A31003"/>
    <w:rsid w:val="00A404DA"/>
    <w:rsid w:val="00A51165"/>
    <w:rsid w:val="00A51AC7"/>
    <w:rsid w:val="00A54370"/>
    <w:rsid w:val="00A71504"/>
    <w:rsid w:val="00A904FE"/>
    <w:rsid w:val="00A94C5D"/>
    <w:rsid w:val="00AA0A13"/>
    <w:rsid w:val="00AB09AF"/>
    <w:rsid w:val="00AE3AB8"/>
    <w:rsid w:val="00B17B1C"/>
    <w:rsid w:val="00B244CE"/>
    <w:rsid w:val="00B27387"/>
    <w:rsid w:val="00B340E8"/>
    <w:rsid w:val="00B35AD9"/>
    <w:rsid w:val="00B616BD"/>
    <w:rsid w:val="00B77AA9"/>
    <w:rsid w:val="00B85ABA"/>
    <w:rsid w:val="00B86CE1"/>
    <w:rsid w:val="00BA5765"/>
    <w:rsid w:val="00BC62CB"/>
    <w:rsid w:val="00BD0762"/>
    <w:rsid w:val="00BD225C"/>
    <w:rsid w:val="00BF08C0"/>
    <w:rsid w:val="00BF3C1F"/>
    <w:rsid w:val="00BF741C"/>
    <w:rsid w:val="00C0767D"/>
    <w:rsid w:val="00C1042C"/>
    <w:rsid w:val="00C15B04"/>
    <w:rsid w:val="00C24C74"/>
    <w:rsid w:val="00C42F18"/>
    <w:rsid w:val="00C448E9"/>
    <w:rsid w:val="00C662B2"/>
    <w:rsid w:val="00C8418B"/>
    <w:rsid w:val="00CB1461"/>
    <w:rsid w:val="00CB25A7"/>
    <w:rsid w:val="00CC423C"/>
    <w:rsid w:val="00CF697B"/>
    <w:rsid w:val="00D13F9C"/>
    <w:rsid w:val="00D52D6A"/>
    <w:rsid w:val="00D53A84"/>
    <w:rsid w:val="00D57909"/>
    <w:rsid w:val="00D617D1"/>
    <w:rsid w:val="00D86FAC"/>
    <w:rsid w:val="00DC2D20"/>
    <w:rsid w:val="00DD0E98"/>
    <w:rsid w:val="00E049A9"/>
    <w:rsid w:val="00E205A6"/>
    <w:rsid w:val="00E418D1"/>
    <w:rsid w:val="00E52B45"/>
    <w:rsid w:val="00E757BD"/>
    <w:rsid w:val="00E83AB1"/>
    <w:rsid w:val="00F04F2C"/>
    <w:rsid w:val="00F208A9"/>
    <w:rsid w:val="00F261D9"/>
    <w:rsid w:val="00F27D33"/>
    <w:rsid w:val="00F321EB"/>
    <w:rsid w:val="00F53525"/>
    <w:rsid w:val="00F70DA8"/>
    <w:rsid w:val="00F76ABF"/>
    <w:rsid w:val="00F86970"/>
    <w:rsid w:val="00F9165B"/>
    <w:rsid w:val="00FB18EA"/>
    <w:rsid w:val="00FC30F4"/>
    <w:rsid w:val="00FD663B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white">
      <v:fill color="white"/>
    </o:shapedefaults>
    <o:shapelayout v:ext="edit">
      <o:idmap v:ext="edit" data="1"/>
    </o:shapelayout>
  </w:shapeDefaults>
  <w:decimalSymbol w:val=","/>
  <w:listSeparator w:val=";"/>
  <w14:docId w14:val="13ADBCFB"/>
  <w15:docId w15:val="{8B99FEBB-0466-4B1F-82FA-7F0F64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016D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04D5C8-A904-4AA7-8197-D0B7AD032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526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Riobras Qualidade</dc:creator>
  <cp:keywords/>
  <dc:description/>
  <cp:lastModifiedBy>Riobras</cp:lastModifiedBy>
  <cp:revision>10</cp:revision>
  <cp:lastPrinted>2022-01-25T20:22:00Z</cp:lastPrinted>
  <dcterms:created xsi:type="dcterms:W3CDTF">2022-08-11T13:34:00Z</dcterms:created>
  <dcterms:modified xsi:type="dcterms:W3CDTF">2023-05-19T18:14:00Z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