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2F5D50"/>
          <w:sz w:val="56"/>
          <w:szCs w:val="56"/>
        </w:rPr>
        <w:t xml:space="preserve">Report Mate</w:t>
      </w:r>
    </w:p>
    <w:p>
      <w:pPr>
        <w:spacing w:after="40"/>
        <w:jc w:val="center"/>
      </w:pPr>
      <w:r>
        <w:rPr>
          <w:color w:val="555555"/>
          <w:sz w:val="26"/>
          <w:szCs w:val="26"/>
        </w:rPr>
        <w:t xml:space="preserve">Agent-assisted service reports for field technicians</w:t>
      </w:r>
    </w:p>
    <w:p>
      <w:pPr>
        <w:spacing w:after="500"/>
        <w:jc w:val="center"/>
      </w:pPr>
      <w:r>
        <w:rPr>
          <w:color w:val="888888"/>
          <w:sz w:val="20"/>
          <w:szCs w:val="20"/>
        </w:rPr>
        <w:t xml:space="preserve">Product &amp; Build Plan  ·  Show Me Your Agents Hackathon (NUS-ISS)  ·  11 September 2026</w:t>
      </w:r>
    </w:p>
    <w:p>
      <w:pPr>
        <w:pStyle w:val="Heading1"/>
        <w:spacing w:after="200" w:before="400"/>
      </w:pPr>
      <w:r>
        <w:t xml:space="preserve">1. Problem Statement</w:t>
      </w:r>
    </w:p>
    <w:p>
      <w:pPr>
        <w:spacing w:after="160"/>
        <w:jc w:val="both"/>
      </w:pPr>
      <w:r>
        <w:t xml:space="preserve">Field technicians have to write a service report after every customer visit — what they did, which parts they used, what they noticed on site, and what needs following up. In practice this gets written from memory, often after the technician has already driven to the next job. It eats time they don't have, and the reports that come out of it are inconsistent — sometimes missing the one detail a customer or a supervisor actually needed.</w:t>
      </w:r>
    </w:p>
    <w:p>
      <w:pPr>
        <w:spacing w:after="160"/>
        <w:jc w:val="both"/>
      </w:pPr>
      <w:r>
        <w:t xml:space="preserve">We're building for the technician standing in a driveway with five minutes before their next job, not for someone sitting at a desk.</w:t>
      </w:r>
    </w:p>
    <w:p>
      <w:pPr>
        <w:pStyle w:val="Heading1"/>
        <w:spacing w:after="200" w:before="400"/>
      </w:pPr>
      <w:r>
        <w:t xml:space="preserve">2. Product Overview</w:t>
      </w:r>
    </w:p>
    <w:p>
      <w:pPr>
        <w:spacing w:after="160"/>
        <w:jc w:val="both"/>
      </w:pPr>
      <w:r>
        <w:t xml:space="preserve">Report Mate is a mobile-first app built around two things: report templates that dispatchers can design and customise, and an AI agent that fills them in. A technician opens a job, picks (or is assigned) a template, and either fills it in by hand or gives the agent a rough account of what happened — typed or dictated. The agent fills in the template's fields, pulling in the customer's job history and the parts catalogue where useful, and flags anything it isn't confident about instead of guessing. The technician always reviews and edits the draft before it's submitted — the agent drafts, the human signs off.</w:t>
      </w:r>
    </w:p>
    <w:p>
      <w:pPr>
        <w:spacing w:after="160"/>
        <w:jc w:val="both"/>
      </w:pPr>
      <w:r>
        <w:t xml:space="preserve">Dispatchers/admins get a central view of past jobs and submitted reports, and the tools to build and adjust templates as the kinds of jobs they run change.</w:t>
      </w:r>
    </w:p>
    <w:p>
      <w:pPr>
        <w:pStyle w:val="ListParagraph"/>
        <w:numPr>
          <w:ilvl w:val="0"/>
          <w:numId w:val="1"/>
        </w:numPr>
        <w:spacing w:after="90"/>
      </w:pPr>
      <w:r>
        <w:rPr>
          <w:b/>
          <w:bCs/>
        </w:rPr>
        <w:t xml:space="preserve">Field technicians</w:t>
      </w:r>
      <w:r>
        <w:t xml:space="preserve"> — write reports fast, on a phone, one-handed, outdoors.</w:t>
      </w:r>
    </w:p>
    <w:p>
      <w:pPr>
        <w:pStyle w:val="ListParagraph"/>
        <w:numPr>
          <w:ilvl w:val="0"/>
          <w:numId w:val="1"/>
        </w:numPr>
        <w:spacing w:after="90"/>
      </w:pPr>
      <w:r>
        <w:rPr>
          <w:b/>
          <w:bCs/>
        </w:rPr>
        <w:t xml:space="preserve">Dispatchers / admins</w:t>
      </w:r>
      <w:r>
        <w:t xml:space="preserve"> — design templates, review report history, manage jobs.</w:t>
      </w:r>
    </w:p>
    <w:p>
      <w:pPr>
        <w:pStyle w:val="Heading1"/>
        <w:spacing w:after="200" w:before="400"/>
      </w:pPr>
      <w:r>
        <w:t xml:space="preserve">3. Features</w:t>
      </w:r>
    </w:p>
    <w:p>
      <w:pPr>
        <w:pStyle w:val="Heading2"/>
        <w:spacing w:after="120" w:before="280"/>
      </w:pPr>
      <w:r>
        <w:t xml:space="preserve">3.1 Core Features</w:t>
      </w:r>
    </w:p>
    <w:p>
      <w:pPr>
        <w:pStyle w:val="ListParagraph"/>
        <w:numPr>
          <w:ilvl w:val="0"/>
          <w:numId w:val="1"/>
        </w:numPr>
        <w:spacing w:after="90"/>
      </w:pPr>
      <w:r>
        <w:rPr>
          <w:b/>
          <w:bCs/>
        </w:rPr>
        <w:t xml:space="preserve">Login &amp; role selection — </w:t>
      </w:r>
      <w:r>
        <w:t xml:space="preserve">technician or dispatcher/admin, with access controlled accordingly.</w:t>
      </w:r>
    </w:p>
    <w:p>
      <w:pPr>
        <w:pStyle w:val="ListParagraph"/>
        <w:numPr>
          <w:ilvl w:val="0"/>
          <w:numId w:val="1"/>
        </w:numPr>
        <w:spacing w:after="90"/>
      </w:pPr>
      <w:r>
        <w:rPr>
          <w:b/>
          <w:bCs/>
        </w:rPr>
        <w:t xml:space="preserve">Template builder — </w:t>
      </w:r>
      <w:r>
        <w:t xml:space="preserve">drag-and-drop editor for dispatchers to create and customise report templates from field blocks (text, number, choice, checklist, photo), similar to arranging blocks on a page.</w:t>
      </w:r>
    </w:p>
    <w:p>
      <w:pPr>
        <w:pStyle w:val="ListParagraph"/>
        <w:numPr>
          <w:ilvl w:val="0"/>
          <w:numId w:val="1"/>
        </w:numPr>
        <w:spacing w:after="90"/>
      </w:pPr>
      <w:r>
        <w:rPr>
          <w:b/>
          <w:bCs/>
        </w:rPr>
        <w:t xml:space="preserve">AI report-filling agent — </w:t>
      </w:r>
      <w:r>
        <w:t xml:space="preserve">given a template and the technician's own account of the job, fills in the template's fields automatically. Described in 3.3.</w:t>
      </w:r>
    </w:p>
    <w:p>
      <w:pPr>
        <w:pStyle w:val="ListParagraph"/>
        <w:numPr>
          <w:ilvl w:val="0"/>
          <w:numId w:val="1"/>
        </w:numPr>
        <w:spacing w:after="90"/>
      </w:pPr>
      <w:r>
        <w:rPr>
          <w:b/>
          <w:bCs/>
        </w:rPr>
        <w:t xml:space="preserve">Manual fill path — </w:t>
      </w:r>
      <w:r>
        <w:t xml:space="preserve">any template can be filled in by hand, no AI involved — this is the fallback and the baseline the AI path builds on.</w:t>
      </w:r>
    </w:p>
    <w:p>
      <w:pPr>
        <w:pStyle w:val="ListParagraph"/>
        <w:numPr>
          <w:ilvl w:val="0"/>
          <w:numId w:val="1"/>
        </w:numPr>
        <w:spacing w:after="90"/>
      </w:pPr>
      <w:r>
        <w:rPr>
          <w:b/>
          <w:bCs/>
        </w:rPr>
        <w:t xml:space="preserve">Human review before submit — </w:t>
      </w:r>
      <w:r>
        <w:t xml:space="preserve">every report, agent-filled or not, is reviewed and can be edited by the technician before it's final.</w:t>
      </w:r>
    </w:p>
    <w:p>
      <w:pPr>
        <w:pStyle w:val="ListParagraph"/>
        <w:numPr>
          <w:ilvl w:val="0"/>
          <w:numId w:val="1"/>
        </w:numPr>
        <w:spacing w:after="90"/>
      </w:pPr>
      <w:r>
        <w:rPr>
          <w:b/>
          <w:bCs/>
        </w:rPr>
        <w:t xml:space="preserve">Report export — </w:t>
      </w:r>
      <w:r>
        <w:t xml:space="preserve">a finished report can be exported as a PDF.</w:t>
      </w:r>
    </w:p>
    <w:p>
      <w:pPr>
        <w:pStyle w:val="ListParagraph"/>
        <w:numPr>
          <w:ilvl w:val="0"/>
          <w:numId w:val="1"/>
        </w:numPr>
        <w:spacing w:after="90"/>
      </w:pPr>
      <w:r>
        <w:rPr>
          <w:b/>
          <w:bCs/>
        </w:rPr>
        <w:t xml:space="preserve">Central job &amp; report history — </w:t>
      </w:r>
      <w:r>
        <w:t xml:space="preserve">dispatchers can see past jobs and their reports in one place.</w:t>
      </w:r>
    </w:p>
    <w:p>
      <w:pPr>
        <w:pStyle w:val="ListParagraph"/>
        <w:numPr>
          <w:ilvl w:val="0"/>
          <w:numId w:val="1"/>
        </w:numPr>
        <w:spacing w:after="90"/>
      </w:pPr>
      <w:r>
        <w:rPr>
          <w:b/>
          <w:bCs/>
        </w:rPr>
        <w:t xml:space="preserve">Mobile-first field UI — </w:t>
      </w:r>
      <w:r>
        <w:t xml:space="preserve">big tap targets, usable one-handed, high-contrast for outdoor sun, no fiddly small dropdowns.</w:t>
      </w:r>
    </w:p>
    <w:p>
      <w:pPr>
        <w:pStyle w:val="Heading2"/>
        <w:spacing w:after="120" w:before="280"/>
      </w:pPr>
      <w:r>
        <w:t xml:space="preserve">3.2 Supporting / Stretch Features</w:t>
      </w:r>
    </w:p>
    <w:p>
      <w:pPr>
        <w:pStyle w:val="ListParagraph"/>
        <w:numPr>
          <w:ilvl w:val="0"/>
          <w:numId w:val="1"/>
        </w:numPr>
        <w:spacing w:after="90"/>
      </w:pPr>
      <w:r>
        <w:t xml:space="preserve">Offline draft with sync once back online — technicians often write reports after leaving a site, possibly without signal.</w:t>
      </w:r>
    </w:p>
    <w:p>
      <w:pPr>
        <w:pStyle w:val="ListParagraph"/>
        <w:numPr>
          <w:ilvl w:val="0"/>
          <w:numId w:val="1"/>
        </w:numPr>
        <w:spacing w:after="90"/>
      </w:pPr>
      <w:r>
        <w:t xml:space="preserve">Voice input, for when hands are busy.</w:t>
      </w:r>
    </w:p>
    <w:p>
      <w:pPr>
        <w:pStyle w:val="ListParagraph"/>
        <w:numPr>
          <w:ilvl w:val="0"/>
          <w:numId w:val="1"/>
        </w:numPr>
        <w:spacing w:after="90"/>
      </w:pPr>
      <w:r>
        <w:t xml:space="preserve">Template versioning, so old reports stay tied to the template version they were filled against.</w:t>
      </w:r>
    </w:p>
    <w:p>
      <w:pPr>
        <w:pStyle w:val="Heading2"/>
        <w:spacing w:after="120" w:before="280"/>
      </w:pPr>
      <w:r>
        <w:t xml:space="preserve">3.3 Building the AI Agent</w:t>
      </w:r>
    </w:p>
    <w:p>
      <w:pPr>
        <w:spacing w:after="160"/>
        <w:jc w:val="both"/>
      </w:pPr>
      <w:r>
        <w:t xml:space="preserve">The agent's job is narrow on purpose: fill in the blanks of a specific template, not freely generate a report from nothing. That keeps its output predictable and easy to check — important for something that may carry real weight if a customer disputes what was done.</w:t>
      </w:r>
    </w:p>
    <w:p>
      <w:pPr>
        <w:spacing w:after="160"/>
        <w:jc w:val="both"/>
      </w:pPr>
      <w:r>
        <w:t xml:space="preserve">We're calling the organiser-provided LLM gateway (Bedrock-backed, reached through an Ollama-compatible endpoint) from our Go backend — never from the browser, since the API key is tied to our team's shared usage. The agent works as a small tool-calling loop: it reads the template's field list, then works through it using a short set of tools, and every tool call and result is logged so a run can be replayed if something looks wrong.</w:t>
      </w:r>
    </w:p>
    <w:p>
      <w:pPr>
        <w:pStyle w:val="ListParagraph"/>
        <w:numPr>
          <w:ilvl w:val="0"/>
          <w:numId w:val="1"/>
        </w:numPr>
        <w:spacing w:after="90"/>
      </w:pPr>
      <w:r>
        <w:rPr>
          <w:b/>
          <w:bCs/>
        </w:rPr>
        <w:t xml:space="preserve">get_template_schema</w:t>
      </w:r>
      <w:r>
        <w:t xml:space="preserve"> — the fields it needs to fill, and which are required.</w:t>
      </w:r>
    </w:p>
    <w:p>
      <w:pPr>
        <w:pStyle w:val="ListParagraph"/>
        <w:numPr>
          <w:ilvl w:val="0"/>
          <w:numId w:val="1"/>
        </w:numPr>
        <w:spacing w:after="90"/>
      </w:pPr>
      <w:r>
        <w:rPr>
          <w:b/>
          <w:bCs/>
        </w:rPr>
        <w:t xml:space="preserve">get_job_history</w:t>
      </w:r>
      <w:r>
        <w:t xml:space="preserve"> — this customer's past jobs, for context.</w:t>
      </w:r>
    </w:p>
    <w:p>
      <w:pPr>
        <w:pStyle w:val="ListParagraph"/>
        <w:numPr>
          <w:ilvl w:val="0"/>
          <w:numId w:val="1"/>
        </w:numPr>
        <w:spacing w:after="90"/>
      </w:pPr>
      <w:r>
        <w:rPr>
          <w:b/>
          <w:bCs/>
        </w:rPr>
        <w:t xml:space="preserve">get_parts_catalog</w:t>
      </w:r>
      <w:r>
        <w:t xml:space="preserve"> — to match parts mentioned in free text to real catalogue entries.</w:t>
      </w:r>
    </w:p>
    <w:p>
      <w:pPr>
        <w:pStyle w:val="ListParagraph"/>
        <w:numPr>
          <w:ilvl w:val="0"/>
          <w:numId w:val="1"/>
        </w:numPr>
        <w:spacing w:after="90"/>
      </w:pPr>
      <w:r>
        <w:rPr>
          <w:b/>
          <w:bCs/>
        </w:rPr>
        <w:t xml:space="preserve">fill_field</w:t>
      </w:r>
      <w:r>
        <w:t xml:space="preserve"> — writes a value into one field of the draft.</w:t>
      </w:r>
    </w:p>
    <w:p>
      <w:pPr>
        <w:pStyle w:val="ListParagraph"/>
        <w:numPr>
          <w:ilvl w:val="0"/>
          <w:numId w:val="1"/>
        </w:numPr>
        <w:spacing w:after="90"/>
      </w:pPr>
      <w:r>
        <w:rPr>
          <w:b/>
          <w:bCs/>
        </w:rPr>
        <w:t xml:space="preserve">flag_missing_field</w:t>
      </w:r>
      <w:r>
        <w:t xml:space="preserve"> — marks a required field it couldn't fill with confidence, rather than inventing something.</w:t>
      </w:r>
    </w:p>
    <w:p>
      <w:pPr>
        <w:pStyle w:val="ListParagraph"/>
        <w:numPr>
          <w:ilvl w:val="0"/>
          <w:numId w:val="1"/>
        </w:numPr>
        <w:spacing w:after="90"/>
      </w:pPr>
      <w:r>
        <w:rPr>
          <w:b/>
          <w:bCs/>
        </w:rPr>
        <w:t xml:space="preserve">save_draft</w:t>
      </w:r>
      <w:r>
        <w:t xml:space="preserve"> — persists the draft for the technician to review.</w:t>
      </w:r>
    </w:p>
    <w:p>
      <w:pPr>
        <w:spacing w:after="200" w:before="60"/>
      </w:pPr>
      <w:r>
        <w:rPr>
          <w:i/>
          <w:iCs/>
          <w:color w:val="444444"/>
          <w:sz w:val="20"/>
          <w:szCs w:val="20"/>
        </w:rPr>
        <w:t xml:space="preserve">We're not relying on the gateway's built-in tool-calling — it isn't reliable yet — so the agent asks the model to reply with a small JSON instruction, which we parse ourselves and act on. More upfront work, but we can test and trust it.</w:t>
      </w:r>
    </w:p>
    <w:p>
      <w:pPr>
        <w:pStyle w:val="Heading1"/>
        <w:spacing w:after="200" w:before="400"/>
      </w:pPr>
      <w:r>
        <w:t xml:space="preserve">4. Architecture</w:t>
      </w:r>
    </w:p>
    <w:p>
      <w:pPr>
        <w:spacing w:after="160"/>
        <w:jc w:val="both"/>
      </w:pPr>
      <w:r>
        <w:t xml:space="preserve">What each layer is,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c>
          <w:tcPr>
            <w:tcW w:type="dxa" w:w="1600"/>
            <w:shd w:fill="EAF2EF" w:val="clear"/>
            <w:tcMar>
              <w:top w:type="dxa" w:w="100"/>
              <w:left w:type="dxa" w:w="120"/>
              <w:bottom w:type="dxa" w:w="100"/>
              <w:right w:type="dxa" w:w="120"/>
            </w:tcMar>
          </w:tcPr>
          <w:p>
            <w:r>
              <w:rPr>
                <w:b/>
                <w:bCs/>
                <w:color w:val="2F5D50"/>
                <w:sz w:val="20"/>
                <w:szCs w:val="20"/>
              </w:rPr>
              <w:t xml:space="preserve">Layer</w:t>
            </w:r>
          </w:p>
        </w:tc>
        <w:tc>
          <w:tcPr>
            <w:tcW w:type="dxa" w:w="2400"/>
            <w:shd w:fill="EAF2EF" w:val="clear"/>
            <w:tcMar>
              <w:top w:type="dxa" w:w="100"/>
              <w:left w:type="dxa" w:w="120"/>
              <w:bottom w:type="dxa" w:w="100"/>
              <w:right w:type="dxa" w:w="120"/>
            </w:tcMar>
          </w:tcPr>
          <w:p>
            <w:r>
              <w:rPr>
                <w:b/>
                <w:bCs/>
                <w:color w:val="2F5D50"/>
                <w:sz w:val="20"/>
                <w:szCs w:val="20"/>
              </w:rPr>
              <w:t xml:space="preserve">Technology</w:t>
            </w:r>
          </w:p>
        </w:tc>
        <w:tc>
          <w:tcPr>
            <w:tcW w:type="dxa" w:w="5026"/>
            <w:shd w:fill="EAF2EF" w:val="clear"/>
            <w:tcMar>
              <w:top w:type="dxa" w:w="100"/>
              <w:left w:type="dxa" w:w="120"/>
              <w:bottom w:type="dxa" w:w="100"/>
              <w:right w:type="dxa" w:w="120"/>
            </w:tcMar>
          </w:tcPr>
          <w:p>
            <w:r>
              <w:rPr>
                <w:b/>
                <w:bCs/>
                <w:color w:val="2F5D50"/>
                <w:sz w:val="20"/>
                <w:szCs w:val="20"/>
              </w:rPr>
              <w:t xml:space="preserve">Notes</w:t>
            </w:r>
          </w:p>
        </w:tc>
      </w:tr>
      <w:tr>
        <w:tc>
          <w:tcPr>
            <w:tcW w:type="dxa" w:w="1600"/>
            <w:tcMar>
              <w:top w:type="dxa" w:w="100"/>
              <w:left w:type="dxa" w:w="120"/>
              <w:bottom w:type="dxa" w:w="100"/>
              <w:right w:type="dxa" w:w="120"/>
            </w:tcMar>
          </w:tcPr>
          <w:p>
            <w:r>
              <w:rPr>
                <w:b w:val="false"/>
                <w:bCs w:val="false"/>
                <w:color w:val="222222"/>
                <w:sz w:val="20"/>
                <w:szCs w:val="20"/>
              </w:rPr>
              <w:t xml:space="preserve">Frontend</w:t>
            </w:r>
          </w:p>
        </w:tc>
        <w:tc>
          <w:tcPr>
            <w:tcW w:type="dxa" w:w="2400"/>
            <w:tcMar>
              <w:top w:type="dxa" w:w="100"/>
              <w:left w:type="dxa" w:w="120"/>
              <w:bottom w:type="dxa" w:w="100"/>
              <w:right w:type="dxa" w:w="120"/>
            </w:tcMar>
          </w:tcPr>
          <w:p>
            <w:r>
              <w:rPr>
                <w:b w:val="false"/>
                <w:bCs w:val="false"/>
                <w:color w:val="222222"/>
                <w:sz w:val="20"/>
                <w:szCs w:val="20"/>
              </w:rPr>
              <w:t xml:space="preserve">React + TypeScript</w:t>
            </w:r>
          </w:p>
        </w:tc>
        <w:tc>
          <w:tcPr>
            <w:tcW w:type="dxa" w:w="5026"/>
            <w:tcMar>
              <w:top w:type="dxa" w:w="100"/>
              <w:left w:type="dxa" w:w="120"/>
              <w:bottom w:type="dxa" w:w="100"/>
              <w:right w:type="dxa" w:w="120"/>
            </w:tcMar>
          </w:tcPr>
          <w:p>
            <w:r>
              <w:rPr>
                <w:b w:val="false"/>
                <w:bCs w:val="false"/>
                <w:color w:val="222222"/>
                <w:sz w:val="20"/>
                <w:szCs w:val="20"/>
              </w:rPr>
              <w:t xml:space="preserve">Mobile-first, responsive. Worth building as an installable PWA so it can cache the last screen and survive a patchy connection.</w:t>
            </w:r>
          </w:p>
        </w:tc>
      </w:tr>
      <w:tr>
        <w:tc>
          <w:tcPr>
            <w:tcW w:type="dxa" w:w="1600"/>
            <w:tcMar>
              <w:top w:type="dxa" w:w="100"/>
              <w:left w:type="dxa" w:w="120"/>
              <w:bottom w:type="dxa" w:w="100"/>
              <w:right w:type="dxa" w:w="120"/>
            </w:tcMar>
          </w:tcPr>
          <w:p>
            <w:r>
              <w:rPr>
                <w:b w:val="false"/>
                <w:bCs w:val="false"/>
                <w:color w:val="222222"/>
                <w:sz w:val="20"/>
                <w:szCs w:val="20"/>
              </w:rPr>
              <w:t xml:space="preserve">Backend</w:t>
            </w:r>
          </w:p>
        </w:tc>
        <w:tc>
          <w:tcPr>
            <w:tcW w:type="dxa" w:w="2400"/>
            <w:tcMar>
              <w:top w:type="dxa" w:w="100"/>
              <w:left w:type="dxa" w:w="120"/>
              <w:bottom w:type="dxa" w:w="100"/>
              <w:right w:type="dxa" w:w="120"/>
            </w:tcMar>
          </w:tcPr>
          <w:p>
            <w:r>
              <w:rPr>
                <w:b w:val="false"/>
                <w:bCs w:val="false"/>
                <w:color w:val="222222"/>
                <w:sz w:val="20"/>
                <w:szCs w:val="20"/>
              </w:rPr>
              <w:t xml:space="preserve">Go (REST/JSON API)</w:t>
            </w:r>
          </w:p>
        </w:tc>
        <w:tc>
          <w:tcPr>
            <w:tcW w:type="dxa" w:w="5026"/>
            <w:tcMar>
              <w:top w:type="dxa" w:w="100"/>
              <w:left w:type="dxa" w:w="120"/>
              <w:bottom w:type="dxa" w:w="100"/>
              <w:right w:type="dxa" w:w="120"/>
            </w:tcMar>
          </w:tcPr>
          <w:p>
            <w:r>
              <w:rPr>
                <w:b w:val="false"/>
                <w:bCs w:val="false"/>
                <w:color w:val="222222"/>
                <w:sz w:val="20"/>
                <w:szCs w:val="20"/>
              </w:rPr>
              <w:t xml:space="preserve">Owns auth, jobs/reports/templates logic, and is the only thing that calls the LLM gateway — the API key never reaches the client.</w:t>
            </w:r>
          </w:p>
        </w:tc>
      </w:tr>
      <w:tr>
        <w:tc>
          <w:tcPr>
            <w:tcW w:type="dxa" w:w="1600"/>
            <w:tcMar>
              <w:top w:type="dxa" w:w="100"/>
              <w:left w:type="dxa" w:w="120"/>
              <w:bottom w:type="dxa" w:w="100"/>
              <w:right w:type="dxa" w:w="120"/>
            </w:tcMar>
          </w:tcPr>
          <w:p>
            <w:r>
              <w:rPr>
                <w:b w:val="false"/>
                <w:bCs w:val="false"/>
                <w:color w:val="222222"/>
                <w:sz w:val="20"/>
                <w:szCs w:val="20"/>
              </w:rPr>
              <w:t xml:space="preserve">Database</w:t>
            </w:r>
          </w:p>
        </w:tc>
        <w:tc>
          <w:tcPr>
            <w:tcW w:type="dxa" w:w="2400"/>
            <w:tcMar>
              <w:top w:type="dxa" w:w="100"/>
              <w:left w:type="dxa" w:w="120"/>
              <w:bottom w:type="dxa" w:w="100"/>
              <w:right w:type="dxa" w:w="120"/>
            </w:tcMar>
          </w:tcPr>
          <w:p>
            <w:r>
              <w:rPr>
                <w:b w:val="false"/>
                <w:bCs w:val="false"/>
                <w:color w:val="222222"/>
                <w:sz w:val="20"/>
                <w:szCs w:val="20"/>
              </w:rPr>
              <w:t xml:space="preserve">AWS Lightsail — managed PostgreSQL</w:t>
            </w:r>
          </w:p>
        </w:tc>
        <w:tc>
          <w:tcPr>
            <w:tcW w:type="dxa" w:w="5026"/>
            <w:tcMar>
              <w:top w:type="dxa" w:w="100"/>
              <w:left w:type="dxa" w:w="120"/>
              <w:bottom w:type="dxa" w:w="100"/>
              <w:right w:type="dxa" w:w="120"/>
            </w:tcMar>
          </w:tcPr>
          <w:p>
            <w:r>
              <w:rPr>
                <w:b w:val="false"/>
                <w:bCs w:val="false"/>
                <w:color w:val="222222"/>
                <w:sz w:val="20"/>
                <w:szCs w:val="20"/>
              </w:rPr>
              <w:t xml:space="preserve">Our sandbox AWS account is scoped to Lightsail, not RDS/Aurora, so we're building against that directly rather than assuming a full AWS account.</w:t>
            </w:r>
          </w:p>
        </w:tc>
      </w:tr>
      <w:tr>
        <w:tc>
          <w:tcPr>
            <w:tcW w:type="dxa" w:w="1600"/>
            <w:tcMar>
              <w:top w:type="dxa" w:w="100"/>
              <w:left w:type="dxa" w:w="120"/>
              <w:bottom w:type="dxa" w:w="100"/>
              <w:right w:type="dxa" w:w="120"/>
            </w:tcMar>
          </w:tcPr>
          <w:p>
            <w:r>
              <w:rPr>
                <w:b w:val="false"/>
                <w:bCs w:val="false"/>
                <w:color w:val="222222"/>
                <w:sz w:val="20"/>
                <w:szCs w:val="20"/>
              </w:rPr>
              <w:t xml:space="preserve">Hosting</w:t>
            </w:r>
          </w:p>
        </w:tc>
        <w:tc>
          <w:tcPr>
            <w:tcW w:type="dxa" w:w="2400"/>
            <w:tcMar>
              <w:top w:type="dxa" w:w="100"/>
              <w:left w:type="dxa" w:w="120"/>
              <w:bottom w:type="dxa" w:w="100"/>
              <w:right w:type="dxa" w:w="120"/>
            </w:tcMar>
          </w:tcPr>
          <w:p>
            <w:r>
              <w:rPr>
                <w:b w:val="false"/>
                <w:bCs w:val="false"/>
                <w:color w:val="222222"/>
                <w:sz w:val="20"/>
                <w:szCs w:val="20"/>
              </w:rPr>
              <w:t xml:space="preserve">AWS Lightsail instance</w:t>
            </w:r>
          </w:p>
        </w:tc>
        <w:tc>
          <w:tcPr>
            <w:tcW w:type="dxa" w:w="5026"/>
            <w:tcMar>
              <w:top w:type="dxa" w:w="100"/>
              <w:left w:type="dxa" w:w="120"/>
              <w:bottom w:type="dxa" w:w="100"/>
              <w:right w:type="dxa" w:w="120"/>
            </w:tcMar>
          </w:tcPr>
          <w:p>
            <w:r>
              <w:rPr>
                <w:b w:val="false"/>
                <w:bCs w:val="false"/>
                <w:color w:val="222222"/>
                <w:sz w:val="20"/>
                <w:szCs w:val="20"/>
              </w:rPr>
              <w:t xml:space="preserve">Runs the Go backend and serves the frontend build. Sized modestly — most of our shared credit needs to go to LLM calls, not compute.</w:t>
            </w:r>
          </w:p>
        </w:tc>
      </w:tr>
      <w:tr>
        <w:tc>
          <w:tcPr>
            <w:tcW w:type="dxa" w:w="1600"/>
            <w:tcMar>
              <w:top w:type="dxa" w:w="100"/>
              <w:left w:type="dxa" w:w="120"/>
              <w:bottom w:type="dxa" w:w="100"/>
              <w:right w:type="dxa" w:w="120"/>
            </w:tcMar>
          </w:tcPr>
          <w:p>
            <w:r>
              <w:rPr>
                <w:b w:val="false"/>
                <w:bCs w:val="false"/>
                <w:color w:val="222222"/>
                <w:sz w:val="20"/>
                <w:szCs w:val="20"/>
              </w:rPr>
              <w:t xml:space="preserve">AI / Agent</w:t>
            </w:r>
          </w:p>
        </w:tc>
        <w:tc>
          <w:tcPr>
            <w:tcW w:type="dxa" w:w="2400"/>
            <w:tcMar>
              <w:top w:type="dxa" w:w="100"/>
              <w:left w:type="dxa" w:w="120"/>
              <w:bottom w:type="dxa" w:w="100"/>
              <w:right w:type="dxa" w:w="120"/>
            </w:tcMar>
          </w:tcPr>
          <w:p>
            <w:r>
              <w:rPr>
                <w:b w:val="false"/>
                <w:bCs w:val="false"/>
                <w:color w:val="222222"/>
                <w:sz w:val="20"/>
                <w:szCs w:val="20"/>
              </w:rPr>
              <w:t xml:space="preserve">Organiser LLM gateway (Bedrock-backed, Ollama-compatible)</w:t>
            </w:r>
          </w:p>
        </w:tc>
        <w:tc>
          <w:tcPr>
            <w:tcW w:type="dxa" w:w="5026"/>
            <w:tcMar>
              <w:top w:type="dxa" w:w="100"/>
              <w:left w:type="dxa" w:w="120"/>
              <w:bottom w:type="dxa" w:w="100"/>
              <w:right w:type="dxa" w:w="120"/>
            </w:tcMar>
          </w:tcPr>
          <w:p>
            <w:r>
              <w:rPr>
                <w:b w:val="false"/>
                <w:bCs w:val="false"/>
                <w:color w:val="222222"/>
                <w:sz w:val="20"/>
                <w:szCs w:val="20"/>
              </w:rPr>
              <w:t xml:space="preserve">Called server-side only. Falls back to a self-hosted proxy on our own Lightsail box if the shared gateway is unreliable.</w:t>
            </w:r>
          </w:p>
        </w:tc>
      </w:tr>
      <w:tr>
        <w:tc>
          <w:tcPr>
            <w:tcW w:type="dxa" w:w="1600"/>
            <w:tcMar>
              <w:top w:type="dxa" w:w="100"/>
              <w:left w:type="dxa" w:w="120"/>
              <w:bottom w:type="dxa" w:w="100"/>
              <w:right w:type="dxa" w:w="120"/>
            </w:tcMar>
          </w:tcPr>
          <w:p>
            <w:r>
              <w:rPr>
                <w:b w:val="false"/>
                <w:bCs w:val="false"/>
                <w:color w:val="222222"/>
                <w:sz w:val="20"/>
                <w:szCs w:val="20"/>
              </w:rPr>
              <w:t xml:space="preserve">Attachments</w:t>
            </w:r>
          </w:p>
        </w:tc>
        <w:tc>
          <w:tcPr>
            <w:tcW w:type="dxa" w:w="2400"/>
            <w:tcMar>
              <w:top w:type="dxa" w:w="100"/>
              <w:left w:type="dxa" w:w="120"/>
              <w:bottom w:type="dxa" w:w="100"/>
              <w:right w:type="dxa" w:w="120"/>
            </w:tcMar>
          </w:tcPr>
          <w:p>
            <w:r>
              <w:rPr>
                <w:b w:val="false"/>
                <w:bCs w:val="false"/>
                <w:color w:val="222222"/>
                <w:sz w:val="20"/>
                <w:szCs w:val="20"/>
              </w:rPr>
              <w:t xml:space="preserve">Lightsail storage (S3 tbc)</w:t>
            </w:r>
          </w:p>
        </w:tc>
        <w:tc>
          <w:tcPr>
            <w:tcW w:type="dxa" w:w="5026"/>
            <w:tcMar>
              <w:top w:type="dxa" w:w="100"/>
              <w:left w:type="dxa" w:w="120"/>
              <w:bottom w:type="dxa" w:w="100"/>
              <w:right w:type="dxa" w:w="120"/>
            </w:tcMar>
          </w:tcPr>
          <w:p>
            <w:r>
              <w:rPr>
                <w:b w:val="false"/>
                <w:bCs w:val="false"/>
                <w:color w:val="222222"/>
                <w:sz w:val="20"/>
                <w:szCs w:val="20"/>
              </w:rPr>
              <w:t xml:space="preserve">Photos and exported PDFs. Confirming with organisers whether S3 is reachable from our sandbox account.</w:t>
            </w:r>
          </w:p>
        </w:tc>
      </w:tr>
    </w:tbl>
    <w:p>
      <w:pPr>
        <w:spacing w:after="200"/>
      </w:pPr>
    </w:p>
    <w:p>
      <w:pPr>
        <w:pStyle w:val="Heading2"/>
        <w:spacing w:after="120" w:before="280"/>
      </w:pPr>
      <w:r>
        <w:t xml:space="preserve">Data model (rough)</w:t>
      </w:r>
    </w:p>
    <w:p>
      <w:pPr>
        <w:pStyle w:val="ListParagraph"/>
        <w:numPr>
          <w:ilvl w:val="0"/>
          <w:numId w:val="1"/>
        </w:numPr>
        <w:spacing w:after="90"/>
      </w:pPr>
      <w:r>
        <w:t xml:space="preserve">users — id, name, role</w:t>
      </w:r>
    </w:p>
    <w:p>
      <w:pPr>
        <w:pStyle w:val="ListParagraph"/>
        <w:numPr>
          <w:ilvl w:val="0"/>
          <w:numId w:val="1"/>
        </w:numPr>
        <w:spacing w:after="90"/>
      </w:pPr>
      <w:r>
        <w:t xml:space="preserve">jobs — id, customer, address, scheduled_at, status</w:t>
      </w:r>
    </w:p>
    <w:p>
      <w:pPr>
        <w:pStyle w:val="ListParagraph"/>
        <w:numPr>
          <w:ilvl w:val="0"/>
          <w:numId w:val="1"/>
        </w:numPr>
        <w:spacing w:after="90"/>
      </w:pPr>
      <w:r>
        <w:t xml:space="preserve">report_templates — id, name, schema (jsonb: sections → fields → type/required)</w:t>
      </w:r>
    </w:p>
    <w:p>
      <w:pPr>
        <w:pStyle w:val="ListParagraph"/>
        <w:numPr>
          <w:ilvl w:val="0"/>
          <w:numId w:val="1"/>
        </w:numPr>
        <w:spacing w:after="90"/>
      </w:pPr>
      <w:r>
        <w:t xml:space="preserve">service_reports — id, job_id, technician_id, template_id, content (jsonb), filled_by [agent | manual | mixed], status</w:t>
      </w:r>
    </w:p>
    <w:p>
      <w:pPr>
        <w:pStyle w:val="ListParagraph"/>
        <w:numPr>
          <w:ilvl w:val="0"/>
          <w:numId w:val="1"/>
        </w:numPr>
        <w:spacing w:after="90"/>
      </w:pPr>
      <w:r>
        <w:t xml:space="preserve">parts_used — report_id, part, qty</w:t>
      </w:r>
    </w:p>
    <w:p>
      <w:pPr>
        <w:pStyle w:val="ListParagraph"/>
        <w:numPr>
          <w:ilvl w:val="0"/>
          <w:numId w:val="1"/>
        </w:numPr>
        <w:spacing w:after="90"/>
      </w:pPr>
      <w:r>
        <w:t xml:space="preserve">attachments — report_id, storage_key, type</w:t>
      </w:r>
    </w:p>
    <w:p>
      <w:pPr>
        <w:pStyle w:val="Heading2"/>
        <w:spacing w:after="120" w:before="280"/>
      </w:pPr>
      <w:r>
        <w:t xml:space="preserve">Security</w:t>
      </w:r>
    </w:p>
    <w:p>
      <w:pPr>
        <w:pStyle w:val="ListParagraph"/>
        <w:numPr>
          <w:ilvl w:val="0"/>
          <w:numId w:val="1"/>
        </w:numPr>
        <w:spacing w:after="90"/>
      </w:pPr>
      <w:r>
        <w:t xml:space="preserve">Gateway API key lives only in the backend; never sent to the frontend or logged.</w:t>
      </w:r>
    </w:p>
    <w:p>
      <w:pPr>
        <w:pStyle w:val="ListParagraph"/>
        <w:numPr>
          <w:ilvl w:val="0"/>
          <w:numId w:val="1"/>
        </w:numPr>
        <w:spacing w:after="90"/>
      </w:pPr>
      <w:r>
        <w:t xml:space="preserve">Role-based access control on every dispatcher-only route.</w:t>
      </w:r>
    </w:p>
    <w:p>
      <w:pPr>
        <w:pStyle w:val="ListParagraph"/>
        <w:numPr>
          <w:ilvl w:val="0"/>
          <w:numId w:val="1"/>
        </w:numPr>
        <w:spacing w:after="90"/>
      </w:pPr>
      <w:r>
        <w:t xml:space="preserve">The agent can only write into fields defined by the active template — it has no route to arbitrary data changes.</w:t>
      </w:r>
    </w:p>
    <w:p>
      <w:pPr>
        <w:pStyle w:val="Heading1"/>
        <w:spacing w:after="200" w:before="400"/>
      </w:pPr>
      <w:r>
        <w:t xml:space="preserve">5. Build Plan — 12 to 28 September</w:t>
      </w:r>
    </w:p>
    <w:p>
      <w:pPr>
        <w:spacing w:after="160"/>
        <w:jc w:val="both"/>
      </w:pPr>
      <w:r>
        <w:t xml:space="preserve">Build phase runs to 25 September, with final submission on the 28th, so the last few days are deliberately kept for polish and the write-up rather than new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4826"/>
      </w:tblGrid>
      <w:tr>
        <w:tc>
          <w:tcPr>
            <w:tcW w:type="dxa" w:w="1700"/>
            <w:shd w:fill="EAF2EF" w:val="clear"/>
            <w:tcMar>
              <w:top w:type="dxa" w:w="100"/>
              <w:left w:type="dxa" w:w="120"/>
              <w:bottom w:type="dxa" w:w="100"/>
              <w:right w:type="dxa" w:w="120"/>
            </w:tcMar>
          </w:tcPr>
          <w:p>
            <w:r>
              <w:rPr>
                <w:b/>
                <w:bCs/>
                <w:color w:val="2F5D50"/>
                <w:sz w:val="20"/>
                <w:szCs w:val="20"/>
              </w:rPr>
              <w:t xml:space="preserve">Dates</w:t>
            </w:r>
          </w:p>
        </w:tc>
        <w:tc>
          <w:tcPr>
            <w:tcW w:type="dxa" w:w="2500"/>
            <w:shd w:fill="EAF2EF" w:val="clear"/>
            <w:tcMar>
              <w:top w:type="dxa" w:w="100"/>
              <w:left w:type="dxa" w:w="120"/>
              <w:bottom w:type="dxa" w:w="100"/>
              <w:right w:type="dxa" w:w="120"/>
            </w:tcMar>
          </w:tcPr>
          <w:p>
            <w:r>
              <w:rPr>
                <w:b/>
                <w:bCs/>
                <w:color w:val="2F5D50"/>
                <w:sz w:val="20"/>
                <w:szCs w:val="20"/>
              </w:rPr>
              <w:t xml:space="preserve">Focus</w:t>
            </w:r>
          </w:p>
        </w:tc>
        <w:tc>
          <w:tcPr>
            <w:tcW w:type="dxa" w:w="4826"/>
            <w:shd w:fill="EAF2EF" w:val="clear"/>
            <w:tcMar>
              <w:top w:type="dxa" w:w="100"/>
              <w:left w:type="dxa" w:w="120"/>
              <w:bottom w:type="dxa" w:w="100"/>
              <w:right w:type="dxa" w:w="120"/>
            </w:tcMar>
          </w:tcPr>
          <w:p>
            <w:r>
              <w:rPr>
                <w:b/>
                <w:bCs/>
                <w:color w:val="2F5D50"/>
                <w:sz w:val="20"/>
                <w:szCs w:val="20"/>
              </w:rPr>
              <w:t xml:space="preserve">Deliverables</w:t>
            </w:r>
          </w:p>
        </w:tc>
      </w:tr>
      <w:tr>
        <w:tc>
          <w:tcPr>
            <w:tcW w:type="dxa" w:w="1700"/>
            <w:tcMar>
              <w:top w:type="dxa" w:w="100"/>
              <w:left w:type="dxa" w:w="120"/>
              <w:bottom w:type="dxa" w:w="100"/>
              <w:right w:type="dxa" w:w="120"/>
            </w:tcMar>
          </w:tcPr>
          <w:p>
            <w:r>
              <w:rPr>
                <w:b w:val="false"/>
                <w:bCs w:val="false"/>
                <w:color w:val="222222"/>
                <w:sz w:val="20"/>
                <w:szCs w:val="20"/>
              </w:rPr>
              <w:t xml:space="preserve">12–14 Sep</w:t>
            </w:r>
          </w:p>
        </w:tc>
        <w:tc>
          <w:tcPr>
            <w:tcW w:type="dxa" w:w="2500"/>
            <w:tcMar>
              <w:top w:type="dxa" w:w="100"/>
              <w:left w:type="dxa" w:w="120"/>
              <w:bottom w:type="dxa" w:w="100"/>
              <w:right w:type="dxa" w:w="120"/>
            </w:tcMar>
          </w:tcPr>
          <w:p>
            <w:r>
              <w:rPr>
                <w:b w:val="false"/>
                <w:bCs w:val="false"/>
                <w:color w:val="222222"/>
                <w:sz w:val="20"/>
                <w:szCs w:val="20"/>
              </w:rPr>
              <w:t xml:space="preserve">Foundations</w:t>
            </w:r>
          </w:p>
        </w:tc>
        <w:tc>
          <w:tcPr>
            <w:tcW w:type="dxa" w:w="4826"/>
            <w:tcMar>
              <w:top w:type="dxa" w:w="100"/>
              <w:left w:type="dxa" w:w="120"/>
              <w:bottom w:type="dxa" w:w="100"/>
              <w:right w:type="dxa" w:w="120"/>
            </w:tcMar>
          </w:tcPr>
          <w:p>
            <w:r>
              <w:rPr>
                <w:b w:val="false"/>
                <w:bCs w:val="false"/>
                <w:color w:val="222222"/>
                <w:sz w:val="20"/>
                <w:szCs w:val="20"/>
              </w:rPr>
              <w:t xml:space="preserve">Template schema locked and a first pass of the drag-and-drop builder; auth + roles working; a spike proving one tool call round-trips through the gateway.</w:t>
            </w:r>
          </w:p>
        </w:tc>
      </w:tr>
      <w:tr>
        <w:tc>
          <w:tcPr>
            <w:tcW w:type="dxa" w:w="1700"/>
            <w:tcMar>
              <w:top w:type="dxa" w:w="100"/>
              <w:left w:type="dxa" w:w="120"/>
              <w:bottom w:type="dxa" w:w="100"/>
              <w:right w:type="dxa" w:w="120"/>
            </w:tcMar>
          </w:tcPr>
          <w:p>
            <w:r>
              <w:rPr>
                <w:b w:val="false"/>
                <w:bCs w:val="false"/>
                <w:color w:val="222222"/>
                <w:sz w:val="20"/>
                <w:szCs w:val="20"/>
              </w:rPr>
              <w:t xml:space="preserve">15–18 Sep</w:t>
            </w:r>
          </w:p>
        </w:tc>
        <w:tc>
          <w:tcPr>
            <w:tcW w:type="dxa" w:w="2500"/>
            <w:tcMar>
              <w:top w:type="dxa" w:w="100"/>
              <w:left w:type="dxa" w:w="120"/>
              <w:bottom w:type="dxa" w:w="100"/>
              <w:right w:type="dxa" w:w="120"/>
            </w:tcMar>
          </w:tcPr>
          <w:p>
            <w:r>
              <w:rPr>
                <w:b w:val="false"/>
                <w:bCs w:val="false"/>
                <w:color w:val="222222"/>
                <w:sz w:val="20"/>
                <w:szCs w:val="20"/>
              </w:rPr>
              <w:t xml:space="preserve">Template builder + agent, together</w:t>
            </w:r>
          </w:p>
        </w:tc>
        <w:tc>
          <w:tcPr>
            <w:tcW w:type="dxa" w:w="4826"/>
            <w:tcMar>
              <w:top w:type="dxa" w:w="100"/>
              <w:left w:type="dxa" w:w="120"/>
              <w:bottom w:type="dxa" w:w="100"/>
              <w:right w:type="dxa" w:w="120"/>
            </w:tcMar>
          </w:tcPr>
          <w:p>
            <w:r>
              <w:rPr>
                <w:b w:val="false"/>
                <w:bCs w:val="false"/>
                <w:color w:val="222222"/>
                <w:sz w:val="20"/>
                <w:szCs w:val="20"/>
              </w:rPr>
              <w:t xml:space="preserve">Dispatchers can build a real template; the agent fills its blanks from technician input using the tool set in 3.3; manual-fill path works on the same templates.</w:t>
            </w:r>
          </w:p>
        </w:tc>
      </w:tr>
      <w:tr>
        <w:tc>
          <w:tcPr>
            <w:tcW w:type="dxa" w:w="1700"/>
            <w:tcMar>
              <w:top w:type="dxa" w:w="100"/>
              <w:left w:type="dxa" w:w="120"/>
              <w:bottom w:type="dxa" w:w="100"/>
              <w:right w:type="dxa" w:w="120"/>
            </w:tcMar>
          </w:tcPr>
          <w:p>
            <w:r>
              <w:rPr>
                <w:b w:val="false"/>
                <w:bCs w:val="false"/>
                <w:color w:val="222222"/>
                <w:sz w:val="20"/>
                <w:szCs w:val="20"/>
              </w:rPr>
              <w:t xml:space="preserve">19–21 Sep</w:t>
            </w:r>
          </w:p>
        </w:tc>
        <w:tc>
          <w:tcPr>
            <w:tcW w:type="dxa" w:w="2500"/>
            <w:tcMar>
              <w:top w:type="dxa" w:w="100"/>
              <w:left w:type="dxa" w:w="120"/>
              <w:bottom w:type="dxa" w:w="100"/>
              <w:right w:type="dxa" w:w="120"/>
            </w:tcMar>
          </w:tcPr>
          <w:p>
            <w:r>
              <w:rPr>
                <w:b w:val="false"/>
                <w:bCs w:val="false"/>
                <w:color w:val="222222"/>
                <w:sz w:val="20"/>
                <w:szCs w:val="20"/>
              </w:rPr>
              <w:t xml:space="preserve">Reporting + dashboard</w:t>
            </w:r>
          </w:p>
        </w:tc>
        <w:tc>
          <w:tcPr>
            <w:tcW w:type="dxa" w:w="4826"/>
            <w:tcMar>
              <w:top w:type="dxa" w:w="100"/>
              <w:left w:type="dxa" w:w="120"/>
              <w:bottom w:type="dxa" w:w="100"/>
              <w:right w:type="dxa" w:w="120"/>
            </w:tcMar>
          </w:tcPr>
          <w:p>
            <w:r>
              <w:rPr>
                <w:b w:val="false"/>
                <w:bCs w:val="false"/>
                <w:color w:val="222222"/>
                <w:sz w:val="20"/>
                <w:szCs w:val="20"/>
              </w:rPr>
              <w:t xml:space="preserve">Report rendering/export to PDF; central job &amp; report history dashboard; mobile-first UI pass on the technician flow.</w:t>
            </w:r>
          </w:p>
        </w:tc>
      </w:tr>
      <w:tr>
        <w:tc>
          <w:tcPr>
            <w:tcW w:type="dxa" w:w="1700"/>
            <w:tcMar>
              <w:top w:type="dxa" w:w="100"/>
              <w:left w:type="dxa" w:w="120"/>
              <w:bottom w:type="dxa" w:w="100"/>
              <w:right w:type="dxa" w:w="120"/>
            </w:tcMar>
          </w:tcPr>
          <w:p>
            <w:r>
              <w:rPr>
                <w:b w:val="false"/>
                <w:bCs w:val="false"/>
                <w:color w:val="222222"/>
                <w:sz w:val="20"/>
                <w:szCs w:val="20"/>
              </w:rPr>
              <w:t xml:space="preserve">22–24 Sep</w:t>
            </w:r>
          </w:p>
        </w:tc>
        <w:tc>
          <w:tcPr>
            <w:tcW w:type="dxa" w:w="2500"/>
            <w:tcMar>
              <w:top w:type="dxa" w:w="100"/>
              <w:left w:type="dxa" w:w="120"/>
              <w:bottom w:type="dxa" w:w="100"/>
              <w:right w:type="dxa" w:w="120"/>
            </w:tcMar>
          </w:tcPr>
          <w:p>
            <w:r>
              <w:rPr>
                <w:b w:val="false"/>
                <w:bCs w:val="false"/>
                <w:color w:val="222222"/>
                <w:sz w:val="20"/>
                <w:szCs w:val="20"/>
              </w:rPr>
              <w:t xml:space="preserve">Hardening</w:t>
            </w:r>
          </w:p>
        </w:tc>
        <w:tc>
          <w:tcPr>
            <w:tcW w:type="dxa" w:w="4826"/>
            <w:tcMar>
              <w:top w:type="dxa" w:w="100"/>
              <w:left w:type="dxa" w:w="120"/>
              <w:bottom w:type="dxa" w:w="100"/>
              <w:right w:type="dxa" w:w="120"/>
            </w:tcMar>
          </w:tcPr>
          <w:p>
            <w:r>
              <w:rPr>
                <w:b w:val="false"/>
                <w:bCs w:val="false"/>
                <w:color w:val="222222"/>
                <w:sz w:val="20"/>
                <w:szCs w:val="20"/>
              </w:rPr>
              <w:t xml:space="preserve">Security review (API key handling, RBAC); credit/cost check against the shared usage pool; offline-draft if time allows.</w:t>
            </w:r>
          </w:p>
        </w:tc>
      </w:tr>
      <w:tr>
        <w:tc>
          <w:tcPr>
            <w:tcW w:type="dxa" w:w="1700"/>
            <w:tcMar>
              <w:top w:type="dxa" w:w="100"/>
              <w:left w:type="dxa" w:w="120"/>
              <w:bottom w:type="dxa" w:w="100"/>
              <w:right w:type="dxa" w:w="120"/>
            </w:tcMar>
          </w:tcPr>
          <w:p>
            <w:r>
              <w:rPr>
                <w:b w:val="false"/>
                <w:bCs w:val="false"/>
                <w:color w:val="222222"/>
                <w:sz w:val="20"/>
                <w:szCs w:val="20"/>
              </w:rPr>
              <w:t xml:space="preserve">25 Sep</w:t>
            </w:r>
          </w:p>
        </w:tc>
        <w:tc>
          <w:tcPr>
            <w:tcW w:type="dxa" w:w="2500"/>
            <w:tcMar>
              <w:top w:type="dxa" w:w="100"/>
              <w:left w:type="dxa" w:w="120"/>
              <w:bottom w:type="dxa" w:w="100"/>
              <w:right w:type="dxa" w:w="120"/>
            </w:tcMar>
          </w:tcPr>
          <w:p>
            <w:r>
              <w:rPr>
                <w:b w:val="false"/>
                <w:bCs w:val="false"/>
                <w:color w:val="222222"/>
                <w:sz w:val="20"/>
                <w:szCs w:val="20"/>
              </w:rPr>
              <w:t xml:space="preserve">Feature freeze</w:t>
            </w:r>
          </w:p>
        </w:tc>
        <w:tc>
          <w:tcPr>
            <w:tcW w:type="dxa" w:w="4826"/>
            <w:tcMar>
              <w:top w:type="dxa" w:w="100"/>
              <w:left w:type="dxa" w:w="120"/>
              <w:bottom w:type="dxa" w:w="100"/>
              <w:right w:type="dxa" w:w="120"/>
            </w:tcMar>
          </w:tcPr>
          <w:p>
            <w:r>
              <w:rPr>
                <w:b w:val="false"/>
                <w:bCs w:val="false"/>
                <w:color w:val="222222"/>
                <w:sz w:val="20"/>
                <w:szCs w:val="20"/>
              </w:rPr>
              <w:t xml:space="preserve">Build phase ends. Nothing new after this point — bugs and polish only.</w:t>
            </w:r>
          </w:p>
        </w:tc>
      </w:tr>
      <w:tr>
        <w:tc>
          <w:tcPr>
            <w:tcW w:type="dxa" w:w="1700"/>
            <w:tcMar>
              <w:top w:type="dxa" w:w="100"/>
              <w:left w:type="dxa" w:w="120"/>
              <w:bottom w:type="dxa" w:w="100"/>
              <w:right w:type="dxa" w:w="120"/>
            </w:tcMar>
          </w:tcPr>
          <w:p>
            <w:r>
              <w:rPr>
                <w:b w:val="false"/>
                <w:bCs w:val="false"/>
                <w:color w:val="222222"/>
                <w:sz w:val="20"/>
                <w:szCs w:val="20"/>
              </w:rPr>
              <w:t xml:space="preserve">26–27 Sep</w:t>
            </w:r>
          </w:p>
        </w:tc>
        <w:tc>
          <w:tcPr>
            <w:tcW w:type="dxa" w:w="2500"/>
            <w:tcMar>
              <w:top w:type="dxa" w:w="100"/>
              <w:left w:type="dxa" w:w="120"/>
              <w:bottom w:type="dxa" w:w="100"/>
              <w:right w:type="dxa" w:w="120"/>
            </w:tcMar>
          </w:tcPr>
          <w:p>
            <w:r>
              <w:rPr>
                <w:b w:val="false"/>
                <w:bCs w:val="false"/>
                <w:color w:val="222222"/>
                <w:sz w:val="20"/>
                <w:szCs w:val="20"/>
              </w:rPr>
              <w:t xml:space="preserve">Polish &amp; rehearsal</w:t>
            </w:r>
          </w:p>
        </w:tc>
        <w:tc>
          <w:tcPr>
            <w:tcW w:type="dxa" w:w="4826"/>
            <w:tcMar>
              <w:top w:type="dxa" w:w="100"/>
              <w:left w:type="dxa" w:w="120"/>
              <w:bottom w:type="dxa" w:w="100"/>
              <w:right w:type="dxa" w:w="120"/>
            </w:tcMar>
          </w:tcPr>
          <w:p>
            <w:r>
              <w:rPr>
                <w:b w:val="false"/>
                <w:bCs w:val="false"/>
                <w:color w:val="222222"/>
                <w:sz w:val="20"/>
                <w:szCs w:val="20"/>
              </w:rPr>
              <w:t xml:space="preserve">Demo script, deployment freeze, write-up drafted, run-through of the demo end to end.</w:t>
            </w:r>
          </w:p>
        </w:tc>
      </w:tr>
      <w:tr>
        <w:tc>
          <w:tcPr>
            <w:tcW w:type="dxa" w:w="1700"/>
            <w:tcMar>
              <w:top w:type="dxa" w:w="100"/>
              <w:left w:type="dxa" w:w="120"/>
              <w:bottom w:type="dxa" w:w="100"/>
              <w:right w:type="dxa" w:w="120"/>
            </w:tcMar>
          </w:tcPr>
          <w:p>
            <w:r>
              <w:rPr>
                <w:b w:val="false"/>
                <w:bCs w:val="false"/>
                <w:color w:val="222222"/>
                <w:sz w:val="20"/>
                <w:szCs w:val="20"/>
              </w:rPr>
              <w:t xml:space="preserve">28 Sep</w:t>
            </w:r>
          </w:p>
        </w:tc>
        <w:tc>
          <w:tcPr>
            <w:tcW w:type="dxa" w:w="2500"/>
            <w:tcMar>
              <w:top w:type="dxa" w:w="100"/>
              <w:left w:type="dxa" w:w="120"/>
              <w:bottom w:type="dxa" w:w="100"/>
              <w:right w:type="dxa" w:w="120"/>
            </w:tcMar>
          </w:tcPr>
          <w:p>
            <w:r>
              <w:rPr>
                <w:b w:val="false"/>
                <w:bCs w:val="false"/>
                <w:color w:val="222222"/>
                <w:sz w:val="20"/>
                <w:szCs w:val="20"/>
              </w:rPr>
              <w:t xml:space="preserve">Final submission</w:t>
            </w:r>
          </w:p>
        </w:tc>
        <w:tc>
          <w:tcPr>
            <w:tcW w:type="dxa" w:w="4826"/>
            <w:tcMar>
              <w:top w:type="dxa" w:w="100"/>
              <w:left w:type="dxa" w:w="120"/>
              <w:bottom w:type="dxa" w:w="100"/>
              <w:right w:type="dxa" w:w="120"/>
            </w:tcMar>
          </w:tcPr>
          <w:p>
            <w:r>
              <w:rPr>
                <w:b w:val="false"/>
                <w:bCs w:val="false"/>
                <w:color w:val="222222"/>
                <w:sz w:val="20"/>
                <w:szCs w:val="20"/>
              </w:rPr>
              <w:t xml:space="preserve">Submit.</w:t>
            </w:r>
          </w:p>
        </w:tc>
      </w:tr>
    </w:tbl>
    <w:p>
      <w:pPr>
        <w:pStyle w:val="Heading1"/>
        <w:spacing w:after="200" w:before="400"/>
      </w:pPr>
      <w:r>
        <w:t xml:space="preserve">6. Trade-offs</w:t>
      </w:r>
    </w:p>
    <w:p>
      <w:pPr>
        <w:spacing w:after="160"/>
        <w:jc w:val="both"/>
      </w:pPr>
      <w:r>
        <w:t xml:space="preserve">Decisions we made deliberately, and what we gave up to make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c>
          <w:tcPr>
            <w:tcW w:type="dxa" w:w="2000"/>
            <w:shd w:fill="EAF2EF" w:val="clear"/>
            <w:tcMar>
              <w:top w:type="dxa" w:w="100"/>
              <w:left w:type="dxa" w:w="120"/>
              <w:bottom w:type="dxa" w:w="100"/>
              <w:right w:type="dxa" w:w="120"/>
            </w:tcMar>
          </w:tcPr>
          <w:p>
            <w:r>
              <w:rPr>
                <w:b/>
                <w:bCs/>
                <w:color w:val="2F5D50"/>
                <w:sz w:val="20"/>
                <w:szCs w:val="20"/>
              </w:rPr>
              <w:t xml:space="preserve">Decision</w:t>
            </w:r>
          </w:p>
        </w:tc>
        <w:tc>
          <w:tcPr>
            <w:tcW w:type="dxa" w:w="2600"/>
            <w:shd w:fill="EAF2EF" w:val="clear"/>
            <w:tcMar>
              <w:top w:type="dxa" w:w="100"/>
              <w:left w:type="dxa" w:w="120"/>
              <w:bottom w:type="dxa" w:w="100"/>
              <w:right w:type="dxa" w:w="120"/>
            </w:tcMar>
          </w:tcPr>
          <w:p>
            <w:r>
              <w:rPr>
                <w:b/>
                <w:bCs/>
                <w:color w:val="2F5D50"/>
                <w:sz w:val="20"/>
                <w:szCs w:val="20"/>
              </w:rPr>
              <w:t xml:space="preserve">What we chose</w:t>
            </w:r>
          </w:p>
        </w:tc>
        <w:tc>
          <w:tcPr>
            <w:tcW w:type="dxa" w:w="4426"/>
            <w:shd w:fill="EAF2EF" w:val="clear"/>
            <w:tcMar>
              <w:top w:type="dxa" w:w="100"/>
              <w:left w:type="dxa" w:w="120"/>
              <w:bottom w:type="dxa" w:w="100"/>
              <w:right w:type="dxa" w:w="120"/>
            </w:tcMar>
          </w:tcPr>
          <w:p>
            <w:r>
              <w:rPr>
                <w:b/>
                <w:bCs/>
                <w:color w:val="2F5D50"/>
                <w:sz w:val="20"/>
                <w:szCs w:val="20"/>
              </w:rPr>
              <w:t xml:space="preserve">What we traded off</w:t>
            </w:r>
          </w:p>
        </w:tc>
      </w:tr>
      <w:tr>
        <w:tc>
          <w:tcPr>
            <w:tcW w:type="dxa" w:w="2000"/>
            <w:tcMar>
              <w:top w:type="dxa" w:w="100"/>
              <w:left w:type="dxa" w:w="120"/>
              <w:bottom w:type="dxa" w:w="100"/>
              <w:right w:type="dxa" w:w="120"/>
            </w:tcMar>
          </w:tcPr>
          <w:p>
            <w:r>
              <w:rPr>
                <w:b w:val="false"/>
                <w:bCs w:val="false"/>
                <w:color w:val="222222"/>
                <w:sz w:val="20"/>
                <w:szCs w:val="20"/>
              </w:rPr>
              <w:t xml:space="preserve">Backend language</w:t>
            </w:r>
          </w:p>
        </w:tc>
        <w:tc>
          <w:tcPr>
            <w:tcW w:type="dxa" w:w="2600"/>
            <w:tcMar>
              <w:top w:type="dxa" w:w="100"/>
              <w:left w:type="dxa" w:w="120"/>
              <w:bottom w:type="dxa" w:w="100"/>
              <w:right w:type="dxa" w:w="120"/>
            </w:tcMar>
          </w:tcPr>
          <w:p>
            <w:r>
              <w:rPr>
                <w:b w:val="false"/>
                <w:bCs w:val="false"/>
                <w:color w:val="222222"/>
                <w:sz w:val="20"/>
                <w:szCs w:val="20"/>
              </w:rPr>
              <w:t xml:space="preserve">Go over Python/Node</w:t>
            </w:r>
          </w:p>
        </w:tc>
        <w:tc>
          <w:tcPr>
            <w:tcW w:type="dxa" w:w="4426"/>
            <w:tcMar>
              <w:top w:type="dxa" w:w="100"/>
              <w:left w:type="dxa" w:w="120"/>
              <w:bottom w:type="dxa" w:w="100"/>
              <w:right w:type="dxa" w:w="120"/>
            </w:tcMar>
          </w:tcPr>
          <w:p>
            <w:r>
              <w:rPr>
                <w:b w:val="false"/>
                <w:bCs w:val="false"/>
                <w:color w:val="222222"/>
                <w:sz w:val="20"/>
                <w:szCs w:val="20"/>
              </w:rPr>
              <w:t xml:space="preserve">Go gives us type safety and one fast, small binary to deploy — but it means writing our own tool-calling loop instead of reaching for an existing framework like LangChain.</w:t>
            </w:r>
          </w:p>
        </w:tc>
      </w:tr>
      <w:tr>
        <w:tc>
          <w:tcPr>
            <w:tcW w:type="dxa" w:w="2000"/>
            <w:tcMar>
              <w:top w:type="dxa" w:w="100"/>
              <w:left w:type="dxa" w:w="120"/>
              <w:bottom w:type="dxa" w:w="100"/>
              <w:right w:type="dxa" w:w="120"/>
            </w:tcMar>
          </w:tcPr>
          <w:p>
            <w:r>
              <w:rPr>
                <w:b w:val="false"/>
                <w:bCs w:val="false"/>
                <w:color w:val="222222"/>
                <w:sz w:val="20"/>
                <w:szCs w:val="20"/>
              </w:rPr>
              <w:t xml:space="preserve">Template scope</w:t>
            </w:r>
          </w:p>
        </w:tc>
        <w:tc>
          <w:tcPr>
            <w:tcW w:type="dxa" w:w="2600"/>
            <w:tcMar>
              <w:top w:type="dxa" w:w="100"/>
              <w:left w:type="dxa" w:w="120"/>
              <w:bottom w:type="dxa" w:w="100"/>
              <w:right w:type="dxa" w:w="120"/>
            </w:tcMar>
          </w:tcPr>
          <w:p>
            <w:r>
              <w:rPr>
                <w:b w:val="false"/>
                <w:bCs w:val="false"/>
                <w:color w:val="222222"/>
                <w:sz w:val="20"/>
                <w:szCs w:val="20"/>
              </w:rPr>
              <w:t xml:space="preserve">A real drag-and-drop builder, not a fixed set of forms</w:t>
            </w:r>
          </w:p>
        </w:tc>
        <w:tc>
          <w:tcPr>
            <w:tcW w:type="dxa" w:w="4426"/>
            <w:tcMar>
              <w:top w:type="dxa" w:w="100"/>
              <w:left w:type="dxa" w:w="120"/>
              <w:bottom w:type="dxa" w:w="100"/>
              <w:right w:type="dxa" w:w="120"/>
            </w:tcMar>
          </w:tcPr>
          <w:p>
            <w:r>
              <w:rPr>
                <w:b w:val="false"/>
                <w:bCs w:val="false"/>
                <w:color w:val="222222"/>
                <w:sz w:val="20"/>
                <w:szCs w:val="20"/>
              </w:rPr>
              <w:t xml:space="preserve">More upfront build time in week one, but it's core to the product — the agent has nothing to fill in without it, and freeform templates are what a dispatcher actually needs across different job types.</w:t>
            </w:r>
          </w:p>
        </w:tc>
      </w:tr>
      <w:tr>
        <w:tc>
          <w:tcPr>
            <w:tcW w:type="dxa" w:w="2000"/>
            <w:tcMar>
              <w:top w:type="dxa" w:w="100"/>
              <w:left w:type="dxa" w:w="120"/>
              <w:bottom w:type="dxa" w:w="100"/>
              <w:right w:type="dxa" w:w="120"/>
            </w:tcMar>
          </w:tcPr>
          <w:p>
            <w:r>
              <w:rPr>
                <w:b w:val="false"/>
                <w:bCs w:val="false"/>
                <w:color w:val="222222"/>
                <w:sz w:val="20"/>
                <w:szCs w:val="20"/>
              </w:rPr>
              <w:t xml:space="preserve">Template implementation</w:t>
            </w:r>
          </w:p>
        </w:tc>
        <w:tc>
          <w:tcPr>
            <w:tcW w:type="dxa" w:w="2600"/>
            <w:tcMar>
              <w:top w:type="dxa" w:w="100"/>
              <w:left w:type="dxa" w:w="120"/>
              <w:bottom w:type="dxa" w:w="100"/>
              <w:right w:type="dxa" w:w="120"/>
            </w:tcMar>
          </w:tcPr>
          <w:p>
            <w:r>
              <w:rPr>
                <w:b w:val="false"/>
                <w:bCs w:val="false"/>
                <w:color w:val="222222"/>
                <w:sz w:val="20"/>
                <w:szCs w:val="20"/>
              </w:rPr>
              <w:t xml:space="preserve">JSON-schema model + an existing drag-and-drop library, not a custom canvas editor</w:t>
            </w:r>
          </w:p>
        </w:tc>
        <w:tc>
          <w:tcPr>
            <w:tcW w:type="dxa" w:w="4426"/>
            <w:tcMar>
              <w:top w:type="dxa" w:w="100"/>
              <w:left w:type="dxa" w:w="120"/>
              <w:bottom w:type="dxa" w:w="100"/>
              <w:right w:type="dxa" w:w="120"/>
            </w:tcMar>
          </w:tcPr>
          <w:p>
            <w:r>
              <w:rPr>
                <w:b w:val="false"/>
                <w:bCs w:val="false"/>
                <w:color w:val="222222"/>
                <w:sz w:val="20"/>
                <w:szCs w:val="20"/>
              </w:rPr>
              <w:t xml:space="preserve">We keep the full feature without spending the time a from-scratch canvas editor (undo/redo, live preview) would need.</w:t>
            </w:r>
          </w:p>
        </w:tc>
      </w:tr>
      <w:tr>
        <w:tc>
          <w:tcPr>
            <w:tcW w:type="dxa" w:w="2000"/>
            <w:tcMar>
              <w:top w:type="dxa" w:w="100"/>
              <w:left w:type="dxa" w:w="120"/>
              <w:bottom w:type="dxa" w:w="100"/>
              <w:right w:type="dxa" w:w="120"/>
            </w:tcMar>
          </w:tcPr>
          <w:p>
            <w:r>
              <w:rPr>
                <w:b w:val="false"/>
                <w:bCs w:val="false"/>
                <w:color w:val="222222"/>
                <w:sz w:val="20"/>
                <w:szCs w:val="20"/>
              </w:rPr>
              <w:t xml:space="preserve">Hosting</w:t>
            </w:r>
          </w:p>
        </w:tc>
        <w:tc>
          <w:tcPr>
            <w:tcW w:type="dxa" w:w="2600"/>
            <w:tcMar>
              <w:top w:type="dxa" w:w="100"/>
              <w:left w:type="dxa" w:w="120"/>
              <w:bottom w:type="dxa" w:w="100"/>
              <w:right w:type="dxa" w:w="120"/>
            </w:tcMar>
          </w:tcPr>
          <w:p>
            <w:r>
              <w:rPr>
                <w:b w:val="false"/>
                <w:bCs w:val="false"/>
                <w:color w:val="222222"/>
                <w:sz w:val="20"/>
                <w:szCs w:val="20"/>
              </w:rPr>
              <w:t xml:space="preserve">AWS Lightsail, not RDS/Aurora/general EC2</w:t>
            </w:r>
          </w:p>
        </w:tc>
        <w:tc>
          <w:tcPr>
            <w:tcW w:type="dxa" w:w="4426"/>
            <w:tcMar>
              <w:top w:type="dxa" w:w="100"/>
              <w:left w:type="dxa" w:w="120"/>
              <w:bottom w:type="dxa" w:w="100"/>
              <w:right w:type="dxa" w:w="120"/>
            </w:tcMar>
          </w:tcPr>
          <w:p>
            <w:r>
              <w:rPr>
                <w:b w:val="false"/>
                <w:bCs w:val="false"/>
                <w:color w:val="222222"/>
                <w:sz w:val="20"/>
                <w:szCs w:val="20"/>
              </w:rPr>
              <w:t xml:space="preserve">Simpler ops and it's what our sponsor credits are scoped to, at the cost of some of the flexibility a full AWS account would give us.</w:t>
            </w:r>
          </w:p>
        </w:tc>
      </w:tr>
      <w:tr>
        <w:tc>
          <w:tcPr>
            <w:tcW w:type="dxa" w:w="2000"/>
            <w:tcMar>
              <w:top w:type="dxa" w:w="100"/>
              <w:left w:type="dxa" w:w="120"/>
              <w:bottom w:type="dxa" w:w="100"/>
              <w:right w:type="dxa" w:w="120"/>
            </w:tcMar>
          </w:tcPr>
          <w:p>
            <w:r>
              <w:rPr>
                <w:b w:val="false"/>
                <w:bCs w:val="false"/>
                <w:color w:val="222222"/>
                <w:sz w:val="20"/>
                <w:szCs w:val="20"/>
              </w:rPr>
              <w:t xml:space="preserve">Gateway reliance</w:t>
            </w:r>
          </w:p>
        </w:tc>
        <w:tc>
          <w:tcPr>
            <w:tcW w:type="dxa" w:w="2600"/>
            <w:tcMar>
              <w:top w:type="dxa" w:w="100"/>
              <w:left w:type="dxa" w:w="120"/>
              <w:bottom w:type="dxa" w:w="100"/>
              <w:right w:type="dxa" w:w="120"/>
            </w:tcMar>
          </w:tcPr>
          <w:p>
            <w:r>
              <w:rPr>
                <w:b w:val="false"/>
                <w:bCs w:val="false"/>
                <w:color w:val="222222"/>
                <w:sz w:val="20"/>
                <w:szCs w:val="20"/>
              </w:rPr>
              <w:t xml:space="preserve">Organiser's shared gateway by default</w:t>
            </w:r>
          </w:p>
        </w:tc>
        <w:tc>
          <w:tcPr>
            <w:tcW w:type="dxa" w:w="4426"/>
            <w:tcMar>
              <w:top w:type="dxa" w:w="100"/>
              <w:left w:type="dxa" w:w="120"/>
              <w:bottom w:type="dxa" w:w="100"/>
              <w:right w:type="dxa" w:w="120"/>
            </w:tcMar>
          </w:tcPr>
          <w:p>
            <w:r>
              <w:rPr>
                <w:b w:val="false"/>
                <w:bCs w:val="false"/>
                <w:color w:val="222222"/>
                <w:sz w:val="20"/>
                <w:szCs w:val="20"/>
              </w:rPr>
              <w:t xml:space="preserve">Convenient and covered by our credits, but it's shared infrastructure with documented reliability issues — mitigated with a self-hosted fallback, not solved outright.</w:t>
            </w:r>
          </w:p>
        </w:tc>
      </w:tr>
      <w:tr>
        <w:tc>
          <w:tcPr>
            <w:tcW w:type="dxa" w:w="2000"/>
            <w:tcMar>
              <w:top w:type="dxa" w:w="100"/>
              <w:left w:type="dxa" w:w="120"/>
              <w:bottom w:type="dxa" w:w="100"/>
              <w:right w:type="dxa" w:w="120"/>
            </w:tcMar>
          </w:tcPr>
          <w:p>
            <w:r>
              <w:rPr>
                <w:b w:val="false"/>
                <w:bCs w:val="false"/>
                <w:color w:val="222222"/>
                <w:sz w:val="20"/>
                <w:szCs w:val="20"/>
              </w:rPr>
              <w:t xml:space="preserve">Agent tool-calling</w:t>
            </w:r>
          </w:p>
        </w:tc>
        <w:tc>
          <w:tcPr>
            <w:tcW w:type="dxa" w:w="2600"/>
            <w:tcMar>
              <w:top w:type="dxa" w:w="100"/>
              <w:left w:type="dxa" w:w="120"/>
              <w:bottom w:type="dxa" w:w="100"/>
              <w:right w:type="dxa" w:w="120"/>
            </w:tcMar>
          </w:tcPr>
          <w:p>
            <w:r>
              <w:rPr>
                <w:b w:val="false"/>
                <w:bCs w:val="false"/>
                <w:color w:val="222222"/>
                <w:sz w:val="20"/>
                <w:szCs w:val="20"/>
              </w:rPr>
              <w:t xml:space="preserve">Manual JSON-parse loop instead of trusting native tool-calling</w:t>
            </w:r>
          </w:p>
        </w:tc>
        <w:tc>
          <w:tcPr>
            <w:tcW w:type="dxa" w:w="4426"/>
            <w:tcMar>
              <w:top w:type="dxa" w:w="100"/>
              <w:left w:type="dxa" w:w="120"/>
              <w:bottom w:type="dxa" w:w="100"/>
              <w:right w:type="dxa" w:w="120"/>
            </w:tcMar>
          </w:tcPr>
          <w:p>
            <w:r>
              <w:rPr>
                <w:b w:val="false"/>
                <w:bCs w:val="false"/>
                <w:color w:val="222222"/>
                <w:sz w:val="20"/>
                <w:szCs w:val="20"/>
              </w:rPr>
              <w:t xml:space="preserve">More code to write and test ourselves, in exchange for behaviour we can actually verify rather than depending on the gateway's current build.</w:t>
            </w:r>
          </w:p>
        </w:tc>
      </w:tr>
      <w:tr>
        <w:tc>
          <w:tcPr>
            <w:tcW w:type="dxa" w:w="2000"/>
            <w:tcMar>
              <w:top w:type="dxa" w:w="100"/>
              <w:left w:type="dxa" w:w="120"/>
              <w:bottom w:type="dxa" w:w="100"/>
              <w:right w:type="dxa" w:w="120"/>
            </w:tcMar>
          </w:tcPr>
          <w:p>
            <w:r>
              <w:rPr>
                <w:b w:val="false"/>
                <w:bCs w:val="false"/>
                <w:color w:val="222222"/>
                <w:sz w:val="20"/>
                <w:szCs w:val="20"/>
              </w:rPr>
              <w:t xml:space="preserve">Sequencing</w:t>
            </w:r>
          </w:p>
        </w:tc>
        <w:tc>
          <w:tcPr>
            <w:tcW w:type="dxa" w:w="2600"/>
            <w:tcMar>
              <w:top w:type="dxa" w:w="100"/>
              <w:left w:type="dxa" w:w="120"/>
              <w:bottom w:type="dxa" w:w="100"/>
              <w:right w:type="dxa" w:w="120"/>
            </w:tcMar>
          </w:tcPr>
          <w:p>
            <w:r>
              <w:rPr>
                <w:b w:val="false"/>
                <w:bCs w:val="false"/>
                <w:color w:val="222222"/>
                <w:sz w:val="20"/>
                <w:szCs w:val="20"/>
              </w:rPr>
              <w:t xml:space="preserve">Template engine and agent built together, early</w:t>
            </w:r>
          </w:p>
        </w:tc>
        <w:tc>
          <w:tcPr>
            <w:tcW w:type="dxa" w:w="4426"/>
            <w:tcMar>
              <w:top w:type="dxa" w:w="100"/>
              <w:left w:type="dxa" w:w="120"/>
              <w:bottom w:type="dxa" w:w="100"/>
              <w:right w:type="dxa" w:w="120"/>
            </w:tcMar>
          </w:tcPr>
          <w:p>
            <w:r>
              <w:rPr>
                <w:b w:val="false"/>
                <w:bCs w:val="false"/>
                <w:color w:val="222222"/>
                <w:sz w:val="20"/>
                <w:szCs w:val="20"/>
              </w:rPr>
              <w:t xml:space="preserve">Slower-looking early progress on the UI, but it protects the single most heavily judged feature from being rushed at the end.</w:t>
            </w:r>
          </w:p>
        </w:tc>
      </w:tr>
    </w:tbl>
    <w:p>
      <w:pPr>
        <w:pStyle w:val="Heading1"/>
        <w:spacing w:after="200" w:before="400"/>
      </w:pPr>
      <w:r>
        <w:t xml:space="preserve">7. Human Involvement &amp; Responsible AI Use</w:t>
      </w:r>
    </w:p>
    <w:p>
      <w:pPr>
        <w:spacing w:after="160"/>
        <w:jc w:val="both"/>
      </w:pPr>
      <w:r>
        <w:t xml:space="preserve">Two different places AI shows up in this project, worth being clear about separately for the report.</w:t>
      </w:r>
    </w:p>
    <w:p>
      <w:pPr>
        <w:pStyle w:val="Heading2"/>
        <w:spacing w:after="120" w:before="280"/>
      </w:pPr>
      <w:r>
        <w:t xml:space="preserve">Building the product</w:t>
      </w:r>
    </w:p>
    <w:p>
      <w:pPr>
        <w:spacing w:after="160"/>
        <w:jc w:val="both"/>
      </w:pPr>
      <w:r>
        <w:t xml:space="preserve">We used Kiro (an AI coding assistant) during development — mainly for scaffolding repetitive plumbing (auth, CRUD endpoints, form components) from specs we wrote ourselves, and for hooks that run tests and keep shared types in sync. Every spec and every generated change was written or reviewed by a team member before it was merged; Kiro sped up implementation, it didn't make product or design decisions.</w:t>
      </w:r>
    </w:p>
    <w:p>
      <w:pPr>
        <w:pStyle w:val="Heading2"/>
        <w:spacing w:after="120" w:before="280"/>
      </w:pPr>
      <w:r>
        <w:t xml:space="preserve">Inside the product</w:t>
      </w:r>
    </w:p>
    <w:p>
      <w:pPr>
        <w:pStyle w:val="ListParagraph"/>
        <w:numPr>
          <w:ilvl w:val="0"/>
          <w:numId w:val="1"/>
        </w:numPr>
        <w:spacing w:after="90"/>
      </w:pPr>
      <w:r>
        <w:t xml:space="preserve">The agent only fills in fields that a human (a dispatcher) has already defined in a template — it doesn't decide what information a report should contain.</w:t>
      </w:r>
    </w:p>
    <w:p>
      <w:pPr>
        <w:pStyle w:val="ListParagraph"/>
        <w:numPr>
          <w:ilvl w:val="0"/>
          <w:numId w:val="1"/>
        </w:numPr>
        <w:spacing w:after="90"/>
      </w:pPr>
      <w:r>
        <w:t xml:space="preserve">It flags fields it isn't confident about rather than guessing, so gaps stay visible instead of being silently papered over.</w:t>
      </w:r>
    </w:p>
    <w:p>
      <w:pPr>
        <w:pStyle w:val="ListParagraph"/>
        <w:numPr>
          <w:ilvl w:val="0"/>
          <w:numId w:val="1"/>
        </w:numPr>
        <w:spacing w:after="90"/>
      </w:pPr>
      <w:r>
        <w:t xml:space="preserve">Every report — whether agent-filled, hand-filled, or a mix — is reviewed and can be edited by the technician before submission. The agent drafts; the technician remains the author of record.</w:t>
      </w:r>
    </w:p>
    <w:p>
      <w:pPr>
        <w:pStyle w:val="ListParagraph"/>
        <w:numPr>
          <w:ilvl w:val="0"/>
          <w:numId w:val="1"/>
        </w:numPr>
        <w:spacing w:after="90"/>
      </w:pPr>
      <w:r>
        <w:t xml:space="preserve">If the AI gateway is unavailable, the technician can still complete the same template by hand — the product doesn't stop working without the AI.</w:t>
      </w:r>
    </w:p>
    <w:p>
      <w:pPr>
        <w:pStyle w:val="ListParagraph"/>
        <w:numPr>
          <w:ilvl w:val="0"/>
          <w:numId w:val="1"/>
        </w:numPr>
        <w:spacing w:after="90"/>
      </w:pPr>
      <w:r>
        <w:t xml:space="preserve">We're not using any job or customer data to train or fine-tune a model — only for inference at the time a report is drafted, per our sponsor's usage terms.</w:t>
      </w:r>
    </w:p>
    <w:p>
      <w:pPr>
        <w:spacing w:after="200" w:before="60"/>
      </w:pPr>
      <w:r>
        <w:rPr>
          <w:i/>
          <w:iCs/>
          <w:color w:val="444444"/>
          <w:sz w:val="20"/>
          <w:szCs w:val="20"/>
        </w:rPr>
        <w:t xml:space="preserve">In short: the agent is an accelerator sitting inside guardrails a human set (the template) and in front of a human who signs off (the technician) — not an autonomous report-writer.</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Report Mate — Product &amp;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D50" w:sz="6" w:space="4"/>
      </w:pBdr>
      <w:spacing w:after="180" w:before="360"/>
    </w:pPr>
    <w:rPr>
      <w:rFonts w:ascii="Calibri" w:cs="Calibri" w:eastAsia="Calibri" w:hAnsi="Calibri"/>
      <w:b/>
      <w:bCs/>
      <w:color w:val="2F5D50"/>
      <w:sz w:val="30"/>
      <w:szCs w:val="30"/>
    </w:rPr>
  </w:style>
  <w:style w:type="paragraph" w:styleId="Heading2">
    <w:name w:val="Heading 2"/>
    <w:basedOn w:val="Normal"/>
    <w:next w:val="Normal"/>
    <w:qFormat/>
    <w:pPr>
      <w:spacing w:after="120" w:before="260"/>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2026-09-12T10:18:27.616Z</dcterms:created>
  <dcterms:modified xsi:type="dcterms:W3CDTF">2026-09-12T10:18:27.629Z</dcterms:modified>
</cp:coreProperties>
</file>

<file path=docProps/custom.xml><?xml version="1.0" encoding="utf-8"?>
<Properties xmlns="http://schemas.openxmlformats.org/officeDocument/2006/custom-properties" xmlns:vt="http://schemas.openxmlformats.org/officeDocument/2006/docPropsVTypes"/>
</file>