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Análise das Consultas SQL</w:t>
      </w:r>
    </w:p>
    <w:p>
      <w:pPr>
        <w:spacing w:after="400"/>
        <w:jc w:val="center"/>
      </w:pPr>
      <w:r>
        <w:t xml:space="preserve">ClínicaCare — Desafio Final 2026.2 · Módulo 2 (SQL)</w:t>
      </w:r>
    </w:p>
    <w:p>
      <w:pPr>
        <w:pStyle w:val="Heading1"/>
        <w:spacing w:after="150" w:before="300"/>
      </w:pPr>
      <w:r>
        <w:t xml:space="preserve">1. Contexto</w:t>
      </w:r>
    </w:p>
    <w:p>
      <w:pPr>
        <w:spacing w:after="120"/>
      </w:pPr>
      <w:r>
        <w:t xml:space="preserve">Este documento descreve as consultas de agregação e de JOIN executadas sobre o banco de dados clinica_care (MySQL), criado e populado no arquivo clinica_care.sql, e interpreta os resultados sob a ótica do negócio da ClínicaCare. Todas as consultas foram executadas com sucesso contra uma instância real do banco antes deste documento ser escrito.</w:t>
      </w:r>
    </w:p>
    <w:p>
      <w:pPr>
        <w:spacing w:after="120"/>
      </w:pPr>
      <w:r>
        <w:t xml:space="preserve">Volume de dados analisado: 19 pacientes, 13 médicos, 14 especialidades, 14 convênios e 165 consultas (104 realizadas, 27 faltas, 22 canceladas e 12 agendadas para datas futuras).</w:t>
      </w:r>
    </w:p>
    <w:p>
      <w:pPr>
        <w:pStyle w:val="Heading1"/>
        <w:spacing w:after="150" w:before="300"/>
      </w:pPr>
      <w:r>
        <w:t xml:space="preserve">2. Consultas de agregação</w:t>
      </w:r>
    </w:p>
    <w:p>
      <w:pPr>
        <w:pStyle w:val="Heading2"/>
        <w:spacing w:after="120" w:before="250"/>
      </w:pPr>
      <w:r>
        <w:t xml:space="preserve">A1 — Pacientes por convênio (COUNT)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Contar quantos pacientes estão vinculados a cada convênio, incluindo os que não têm nenhum paciente (LEFT JOIN a partir de convenios).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SELECT c.nome AS convenio, COUNT(p.id_paciente) AS total_pacientes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convenios c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LEFT JOIN pacientes p ON p.id_convenio = c.id_convenio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GROUP BY c.nome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ORDER BY total_pacientes DESC;</w:t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"Particular" concentra a maior fatia (5 dos 19 pacientes), seguido por Golden Cross, Porto Seguro, SulAmérica e Hapvida (2 cada). Três convênios (Amil, Cassi, São Francisco Saúde) não têm nenhum paciente na base atual.</w:t>
      </w:r>
    </w:p>
    <w:p>
      <w:pPr>
        <w:spacing w:after="120"/>
      </w:pPr>
      <w:r>
        <w:rPr>
          <w:b/>
          <w:bCs/>
        </w:rPr>
        <w:t xml:space="preserve">Insight: </w:t>
      </w:r>
      <w:r>
        <w:t xml:space="preserve">Com uma base de apenas 19 pacientes a distribuição por convênio é naturalmente dispersa. Em uma base real e maior, esse tipo de consulta orienta com quais operadoras vale a pena priorizar negociação de contrato e agilidade de repasse.</w:t>
      </w:r>
    </w:p>
    <w:p>
      <w:pPr>
        <w:pStyle w:val="Heading2"/>
        <w:spacing w:after="120" w:before="250"/>
      </w:pPr>
      <w:r>
        <w:t xml:space="preserve">A2 — Valor médio da consulta por especialidade (AVG)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Calcular o ticket médio cobrado por consulta, agrupado por especialidade.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SELECT e.nome_especialidade, ROUND(AVG(co.valor), 2) AS valor_medio_consulta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consultas co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JOIN especialidades e ON e.id_especialidade = co.id_especialidade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GROUP BY e.nome_especialidade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ORDER BY valor_medio_consulta DESC;</w:t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Psiquiatria tem o maior ticket médio (R$ 310,02), seguida por Neurologia (R$ 304,36) e Cardiologia (R$ 290,26). Clínica Geral tem o menor (R$ 154,36).</w:t>
      </w:r>
    </w:p>
    <w:p>
      <w:pPr>
        <w:spacing w:after="120"/>
      </w:pPr>
      <w:r>
        <w:rPr>
          <w:b/>
          <w:bCs/>
        </w:rPr>
        <w:t xml:space="preserve">Insight: </w:t>
      </w:r>
      <w:r>
        <w:t xml:space="preserve">A hierarquia de preços reflete a complexidade/duração de cada especialidade (psiquiatria e cardiologia têm consultas mais longas e valor_base mais alto no cadastro). Confirma que a estrutura de precificação por especialidade está sendo respeitada nos dados.</w:t>
      </w:r>
    </w:p>
    <w:p>
      <w:pPr>
        <w:pStyle w:val="Heading2"/>
        <w:spacing w:after="120" w:before="250"/>
      </w:pPr>
      <w:r>
        <w:t xml:space="preserve">A3 — Faturamento total por médico (SUM)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Somar o valor de pagamentos com status 'Pago' associados às consultas de cada médico — mede o faturamento efetivamente recebido, não apenas cobrado.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SELECT m.nome_completo AS medico, COALESCE(SUM(pg.valor), 0) AS faturamento_total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medicos m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JOIN consultas co ON co.id_medico = m.id_medico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JOIN pagamentos pg ON pg.id_consulta = co.id_consulta AND pg.status_pagamento = 'Pago'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GROUP BY m.nome_completo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ORDER BY faturamento_total DESC;</w:t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O médico com maior faturamento pago soma R$ 2.453,05; há uma diferença de quase 5x entre o topo e a base da lista.</w:t>
      </w:r>
    </w:p>
    <w:p>
      <w:pPr>
        <w:spacing w:after="120"/>
      </w:pPr>
      <w:r>
        <w:rPr>
          <w:b/>
          <w:bCs/>
        </w:rPr>
        <w:t xml:space="preserve">Insight: </w:t>
      </w:r>
      <w:r>
        <w:t xml:space="preserve">A diferença de faturamento entre médicos é explicada tanto pelo volume de consultas atendidas quanto pela especialidade (especialidades com ticket médio maior puxam o faturamento para cima mesmo com volume similar). Útil para avaliar carga de trabalho e remuneração por produção.</w:t>
      </w:r>
    </w:p>
    <w:p>
      <w:pPr>
        <w:pStyle w:val="Heading2"/>
        <w:spacing w:after="120" w:before="250"/>
      </w:pPr>
      <w:r>
        <w:t xml:space="preserve">A4 — Maior e menor valor de consulta por especialidade (MAX / MIN)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Identificar a amplitude de preços praticados dentro de cada especialidade.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SELECT e.nome_especialidade, MAX(co.valor) AS maior_valor, MIN(co.valor) AS menor_valor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consultas co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JOIN especialidades e ON e.id_especialidade = co.id_especialidade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GROUP BY e.nome_especialidade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ORDER BY e.nome_especialidade;</w:t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Dentro de uma mesma especialidade o valor varia entre cerca de 20% e 27% do menor para o maior caso (reflexo da variação aplicada consulta a consulta em torno do valor_base).</w:t>
      </w:r>
    </w:p>
    <w:p>
      <w:pPr>
        <w:spacing w:after="120"/>
      </w:pPr>
      <w:r>
        <w:rPr>
          <w:b/>
          <w:bCs/>
        </w:rPr>
        <w:t xml:space="preserve">Insight: </w:t>
      </w:r>
      <w:r>
        <w:t xml:space="preserve">Essa variação é esperada porque o valor final de cada consulta não é fixo — pode ser ajustado no ato do agendamento. Em uma clínica real, esse tipo de consulta ajuda a identificar cobranças fora do padrão esperado (possível erro de digitação ou falta de padronização).</w:t>
      </w:r>
    </w:p>
    <w:p>
      <w:pPr>
        <w:pStyle w:val="Heading2"/>
        <w:spacing w:after="120" w:before="250"/>
      </w:pPr>
      <w:r>
        <w:t xml:space="preserve">A5 — Taxa de no-show por especialidade (COUNT + HAVING)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Calcular, para cada especialidade, o percentual de consultas passadas que resultaram em falta do paciente — a métrica central do tema escolhido para o Módulo 3 (Python/ML).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SELECT e.nome_especialidade,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COUNT(*) AS total_consultas_passadas,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SUM(CASE WHEN co.status = 'Faltou' THEN 1 ELSE 0 END) AS total_faltas,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ROUND(100 * SUM(CASE WHEN co.status = 'Faltou' THEN 1 ELSE 0 END) / COUNT(*), 1) AS taxa_no_show_pct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consultas co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JOIN especialidades e ON e.id_especialidade = co.id_especialidade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WHERE co.status IN ('Realizada', 'Faltou', 'Cancelada')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GROUP BY e.nome_especialidade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HAVING total_consultas_passadas &gt;= 3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ORDER BY taxa_no_show_pct DESC;</w:t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Endocrinologia lidera com 37,5% de no-show, seguida por Gastroenterologia (35,7%) e Psiquiatria (31,3%). Cardiologia, Oftalmologia e Urologia não tiveram nenhuma falta registrada no período.</w:t>
      </w:r>
    </w:p>
    <w:p>
      <w:pPr>
        <w:spacing w:after="120"/>
      </w:pPr>
      <w:r>
        <w:rPr>
          <w:b/>
          <w:bCs/>
        </w:rPr>
        <w:t xml:space="preserve">Insight: </w:t>
      </w:r>
      <w:r>
        <w:t xml:space="preserve">Esse resultado é exatamente o tipo de sinal que o modelo de Machine Learning do Módulo 3 (previsão de no-show) precisa capturar. Especialidades com taxa de falta alta são candidatas naturais a campanhas de lembrete por SMS/WhatsApp antes da consulta, e a taxa geral da clínica (~18%) já indica que o problema é relevante o suficiente para justificar o modelo preditivo.</w:t>
      </w:r>
    </w:p>
    <w:p>
      <w:pPr>
        <w:pStyle w:val="Heading1"/>
        <w:spacing w:after="150" w:before="300"/>
      </w:pPr>
      <w:r>
        <w:t xml:space="preserve">3. Consultas com JOIN</w:t>
      </w:r>
    </w:p>
    <w:p>
      <w:pPr>
        <w:pStyle w:val="Heading2"/>
        <w:spacing w:after="120" w:before="250"/>
      </w:pPr>
      <w:r>
        <w:t xml:space="preserve">J1 — Histórico completo de consultas por paciente (INNER JOIN)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Reunir paciente, médico, especialidade e status de cada consulta em uma única visão — a base para qualquer relatório de atendimento.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SELECT p.nome_completo AS paciente, m.nome_completo AS medico,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e.nome_especialidade AS especialidade, co.data_consulta, co.status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pacientes p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INNER JOIN consultas co ON co.id_paciente = p.id_paciente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INNER JOIN medicos m ON m.id_medico = co.id_medico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INNER JOIN especialidades e ON e.id_especialidade = co.id_especialidade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ORDER BY p.nome_completo, co.data_consulta;</w:t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Retorna as 165 consultas com o nome do paciente, do médico e da especialidade lado a lado, ordenadas por paciente e data.</w:t>
      </w:r>
    </w:p>
    <w:p>
      <w:pPr>
        <w:spacing w:after="120"/>
      </w:pPr>
      <w:r>
        <w:rPr>
          <w:b/>
          <w:bCs/>
        </w:rPr>
        <w:t xml:space="preserve">Insight: </w:t>
      </w:r>
      <w:r>
        <w:t xml:space="preserve">Esse é o relatório mais básico e mais usado no dia a dia da recepção/atendimento — é a base sobre a qual qualquer outro relatório (financeiro, clínico) é construído.</w:t>
      </w:r>
    </w:p>
    <w:p>
      <w:pPr>
        <w:pStyle w:val="Heading2"/>
        <w:spacing w:after="120" w:before="250"/>
      </w:pPr>
      <w:r>
        <w:t xml:space="preserve">J2 — Quantidade de consultas por paciente, incluindo quem nunca voltou (LEFT JOIN)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Contar consultas por paciente sem excluir quem tem zero — importante para não esconder pacientes pouco engajados.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SELECT p.nome_completo AS paciente, COUNT(co.id_consulta) AS total_consultas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pacientes p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LEFT JOIN consultas co ON co.id_paciente = p.id_paciente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GROUP BY p.nome_completo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ORDER BY total_consultas DESC;</w:t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O paciente mais frequente soma 22 consultas no período analisado, enquanto o menos frequente tem apenas 2.</w:t>
      </w:r>
    </w:p>
    <w:p>
      <w:pPr>
        <w:spacing w:after="120"/>
      </w:pPr>
      <w:r>
        <w:rPr>
          <w:b/>
          <w:bCs/>
        </w:rPr>
        <w:t xml:space="preserve">Insight: </w:t>
      </w:r>
      <w:r>
        <w:t xml:space="preserve">Se um INNER JOIN fosse usado aqui, pacientes sem nenhuma consulta simplesmente desapareceriam do relatório. Com LEFT JOIN, a clínica consegue enxergar sua base completa — inclusive quem está inativo há muito tempo, um público-alvo natural para uma campanha de reengajamento.</w:t>
      </w:r>
    </w:p>
    <w:p>
      <w:pPr>
        <w:pStyle w:val="Heading2"/>
        <w:spacing w:after="120" w:before="250"/>
      </w:pPr>
      <w:r>
        <w:t xml:space="preserve">J3 — Todas as especialidades e suas consultas, mesmo sem nenhuma (RIGHT JOIN)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Garantir que toda especialidade cadastrada apareça no relatório, mesmo quando não tem consultas associadas no período.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SELECT e.nome_especialidade, co.id_consulta, co.data_consulta, co.status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consultas co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RIGHT JOIN especialidades e ON e.id_especialidade = co.id_especialidade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ORDER BY e.nome_especialidade;</w:t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Todas as 14 especialidades aparecem no resultado; cada uma tem pelo menos uma consulta associada nesta base (todo médico cadastrado atende pelo menos uma especialidade, e todo médico tem consultas).</w:t>
      </w:r>
    </w:p>
    <w:p>
      <w:pPr>
        <w:spacing w:after="120"/>
      </w:pPr>
      <w:r>
        <w:rPr>
          <w:b/>
          <w:bCs/>
        </w:rPr>
        <w:t xml:space="preserve">Insight: </w:t>
      </w:r>
      <w:r>
        <w:t xml:space="preserve">Esse tipo de RIGHT JOIN é o que garante, por exemplo, que um relatório de "consultas por especialidade" no Power BI não esconda silenciosamente uma especialidade sem movimento — o que seria justamente um dado relevante para a gestão da clínica.</w:t>
      </w:r>
    </w:p>
    <w:p>
      <w:pPr>
        <w:pStyle w:val="Heading2"/>
        <w:spacing w:after="120" w:before="250"/>
      </w:pPr>
      <w:r>
        <w:t xml:space="preserve">J4 — Médicos e especialidades, incluindo casos sem vínculo (FULL JOIN via UNION)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O MySQL não implementa FULL JOIN nativamente. O equivalente correto é um UNION de LEFT JOIN com RIGHT JOIN, cobrindo os dois lados da relação.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SELECT m.nome_completo AS medico, esp.nome_especialidade AS 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medicos m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LEFT JOIN medico_especialidade me ON me.id_medico = m.id_medico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LEFT JOIN especialidades esp ON esp.id_especialidade = me.id_especialidade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UNION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SELECT m.nome_completo AS medico, esp.nome_especialidade AS 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medicos m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RIGHT JOIN medico_especialidade me ON me.id_medico = m.id_medico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RIGHT JOIN especialidades esp ON esp.id_especialidade = me.id_especialidade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ORDER BY medico;</w:t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Todos os 13 médicos aparecem vinculados a pelo menos uma especialidade; como o cadastro atual não tem médico "solto" nem especialidade sem médico, o resultado é equivalente ao de um INNER JOIN — mas a consulta continua correta e preparada para o caso de isso mudar.</w:t>
      </w:r>
    </w:p>
    <w:p>
      <w:pPr>
        <w:spacing w:after="120"/>
      </w:pPr>
      <w:r>
        <w:rPr>
          <w:b/>
          <w:bCs/>
        </w:rPr>
        <w:t xml:space="preserve">Insight: </w:t>
      </w:r>
      <w:r>
        <w:t xml:space="preserve">Vale documentar a limitação do MySQL explicitamente no código (como foi feito aqui) — é um erro comum tentar escrever FULL JOIN direto no MySQL e a consulta simplesmente falhar.</w:t>
      </w:r>
    </w:p>
    <w:p>
      <w:pPr>
        <w:pStyle w:val="Heading2"/>
        <w:spacing w:after="120" w:before="250"/>
      </w:pPr>
      <w:r>
        <w:t xml:space="preserve">J5 — Prescrições com dados do paciente (INNER JOIN em cadeia)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Atravessar quatro tabelas (prescricoes → evolucoes → consultas → pacientes) para saber qual paciente recebeu qual medicamento.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SELECT pa.nome_completo AS paciente, pr.medicamento, pr.posologia, pr.data_prescricao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prescricoes pr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INNER JOIN evolucoes ev ON ev.id_evolucao = pr.id_evolucao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INNER JOIN consultas co ON co.id_consulta = ev.id_consulta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INNER JOIN pacientes pa ON pa.id_paciente = co.id_paciente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ORDER BY pr.data_prescricao DESC;</w:t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Retorna cada prescrição com o nome do paciente e a posologia, ordenado da mais recente para a mais antiga.</w:t>
      </w:r>
    </w:p>
    <w:p>
      <w:pPr>
        <w:spacing w:after="120"/>
      </w:pPr>
      <w:r>
        <w:rPr>
          <w:b/>
          <w:bCs/>
        </w:rPr>
        <w:t xml:space="preserve">Insight: </w:t>
      </w:r>
      <w:r>
        <w:t xml:space="preserve">Essa consulta só é possível porque o modelo liga Prescrições a Evoluções (não diretamente a Consultas) — o encadeamento de 4 tabelas é reflexo direto da decisão de modelagem tomada no Módulo 1 (Prontuário → Evolução → Prescrição), reforçando a consistência entre os módulos.</w:t>
      </w:r>
    </w:p>
    <w:p>
      <w:pPr>
        <w:pStyle w:val="Heading1"/>
        <w:spacing w:after="150" w:before="300"/>
      </w:pPr>
      <w:r>
        <w:t xml:space="preserve">4. Síntese de insights e recomendações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Taxa geral de no-show da clínica gira em torno de 17,6% das consultas passadas, com forte variação por especialidade (de 0% em Cardiologia, Oftalmologia e Urologia a 37,5% em Endocrinologia) — justifica o investimento no modelo preditivo do Módulo 3 e sugere que campanhas de lembrete sejam priorizadas nas especialidades com taxa mais alta.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Cerca de 20 dos 125 pagamentos registrados (16%) estão com status 'Pendente', somando R$ 5.311,18 em valores a receber — indicando espaço para melhorar o processo de cobrança e reduzir inadimplência.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ticket médio varia mais de 2x entre a especialidade mais cara (Psiquiatria) e a mais barata (Clínica Geral) — relevante para decisões de mix de agenda e para negociação de tabelas com convênios.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concentração de pacientes no convênio 'Particular' e em poucos convênios adicionais sugere que, à medida que a base de pacientes crescer, vale acompanhar essa distribuição de perto para orientar prioridades de credenciamento.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uso de LEFT/RIGHT JOIN (consultas J2 e J3) evita um erro comum de relatório: excluir silenciosamente pacientes sem consulta ou especialidades sem movimento — ambos são, por si só, informações relevantes para a gestão da clínica.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2026-08-29T20:35:45.397Z</dcterms:created>
  <dcterms:modified xsi:type="dcterms:W3CDTF">2026-08-29T20:35:45.398Z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