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ClínicaCare — Análise de Insights do Dashboard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Módulo 4 — Power BI · Desafio Final Fábrica de Software Workshop 2026.2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</w:t>
      </w:r>
    </w:p>
    <w:p>
      <w:pPr>
        <w:spacing w:after="150"/>
      </w:pPr>
      <w:r>
        <w:t xml:space="preserve">O dashboard reúne dados de 165 consultas, 19 pacientes e R$ 30.141,00 em pagamentos gerados (R$ 19.517,87 já recebidos) extraídos do banco clinica_care. A seguir, o que cada visualização mostra, os principais insights e recomendações práticas para a gestão da clínica.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Cards de KPI</w:t>
      </w:r>
    </w:p>
    <w:p>
      <w:pPr>
        <w:spacing w:after="150"/>
      </w:pPr>
      <w:r>
        <w:t xml:space="preserve">Total de Pacientes (19), Total de Receita e Taxa de Ocupação (68,0%) ficam fixos no topo do dashboard como referência rápida do volume e da saúde financeira/operacional da clínica.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A taxa de ocupação de 68% indica que quase 1 em cada 3 horários agendados não termina em atendimento efetivo (falta, cancelamento) — há espaço real para políticas de confirmação e overbooking controlado.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Gráfico de barras — Consultas por especialidade</w:t>
      </w:r>
    </w:p>
    <w:p>
      <w:pPr>
        <w:spacing w:after="150"/>
      </w:pPr>
      <w:r>
        <w:t xml:space="preserve">Mostra o volume de consultas atendidas por especialidade médica, permitindo identificar quais áreas concentram mais demanda. Reumatologia (20), Clínica Geral (18) e Psiquiatria (18) lideram em volume, enquanto Ginecologia e Obstetrícia (2) e Urologia (5) têm demanda bem menor no período analisado.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Reumatologia, Clínica Geral e Psiquiatria concentram quase 35% de todas as consultas — vale avaliar se a grade de horários e o número de médicos dessas especialidades está dimensionado para essa demanda.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Gráfico de colunas — Faturamento por mês</w:t>
      </w:r>
    </w:p>
    <w:p>
      <w:pPr>
        <w:spacing w:after="150"/>
      </w:pPr>
      <w:r>
        <w:t xml:space="preserve">Mostra a evolução mês a mês da receita efetivamente recebida (pagamentos com status "Pago"). O faturamento variou de um mínimo de R$ 647,22 (fev/2026) a um máximo de R$ 3.231,84 (ago/2026), sem uma tendência sazonal única e clara — com picos em jan/2026 e ago/2026.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O mês de fevereiro/2026 teve o faturamento mais baixo do período (R$ 647,22), coincidindo com o mês de maior taxa de no-show (33,3% — ver gráfico de linha) — reforça que faltas de pacientes impactam diretamente a receita, não é só um problema operacional.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Gráfico de pizza — Distribuição de pacientes por convênio</w:t>
      </w:r>
    </w:p>
    <w:p>
      <w:pPr>
        <w:spacing w:after="150"/>
      </w:pPr>
      <w:r>
        <w:t xml:space="preserve">Mostra como os 19 pacientes se distribuem entre os convênios cadastrados. "Particular" é o maior grupo isolado (5 pacientes, ~26%), seguido por Hapvida, Porto Seguro Saúde, SulAmérica Saúde e Golden Cross (2 pacientes cada); os demais convênios têm 1 paciente cada, mostrando uma base de convênios bastante pulverizada.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Pacientes particulares são o maior segmento único — uma política de preços ou pacotes específicos para esse grupo pode ter impacto desproporcional na receita da clínica.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Gráfico de linha — Taxa de no-show ao longo do tempo</w:t>
      </w:r>
    </w:p>
    <w:p>
      <w:pPr>
        <w:spacing w:after="150"/>
      </w:pPr>
      <w:r>
        <w:t xml:space="preserve">Mostra a evolução mensal da taxa de no-show (percentual de consultas não realizadas por falta do paciente, sobre o total de consultas já passadas). A taxa oscilou entre 5,3% (jan/2026) e 33,3% (fev/2026), com uma tendência de alta a partir de abril/2026, estabilizando por volta de 21-23% nos últimos meses do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A taxa de no-show em fevereiro/2026 (33,3%) foi mais que o dobro da média do período (17,6%) — vale cruzar com fatores externos do mês (feriados, período de férias) para entender a causa e, se recorrente, antecipar lembretes de confirmação nesse período do ano.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No-show por especialidade (detalhe complementar)</w:t>
      </w:r>
    </w:p>
    <w:p>
      <w:pPr>
        <w:spacing w:after="150"/>
      </w:pPr>
      <w:r>
        <w:t xml:space="preserve">Endocrinologia (37,5%), Gastroenterologia (35,7%) e Psiquiatria (31,2%) têm as maiores taxas de no-show entre as especialidades com volume relevante de consultas. Já Cardiologia, Oftalmologia, Urologia e Ginecologia e Obstetrícia não registraram nenhuma falta no período (0%).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CE6F1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Insight: </w:t>
            </w:r>
            <w:r>
              <w:t xml:space="preserve">A exemplo do insight sugerido no próprio desafio: Endocrinologia tem a maior taxa de no-show (37,5%), sugerindo a necessidade de lembretes mais assertivos (SMS/WhatsApp) e possivelmente confirmação obrigatória 24-48h antes para essa especialidade.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8. Recomendações para tomada de decisão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confirmação automática (SMS/WhatsApp) 24-48h antes da consulta, priorizando Endocrinologia, Gastroenterologia e Psiquiatria — as especialidades com maior taxa de no-show.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Investigar o pico de no-show de fevereiro/2026 (33,3%) para identificar se é um padrão sazonal recorrente e, se for, reforçar a comunicação com pacientes nesse período em anos futuros.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Avaliar overbooking controlado (agendar levemente acima da capacidade) nas especialidades com no-show histórico alto, já que ~17,6% das consultas passadas resultam em falta.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Considerar uma política comercial específica para pacientes particulares, que representam o maior segmento isolado da base (26% dos pacientes).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Acompanhar a taxa de ocupação (68%) como métrica mensal fixa de gestão — está diretamente ligada à receita perdida por faltas e cancelamentos.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2026-08-30T13:39:44.041Z</dcterms:created>
  <dcterms:modified xsi:type="dcterms:W3CDTF">2026-08-30T13:39:44.056Z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