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</w:pPr>
      <w:r>
        <w:rPr>
          <w:b/>
          <w:color w:val="5B6573"/>
          <w:sz w:val="24"/>
        </w:rPr>
        <w:t>OVERFORE S.A.</w:t>
      </w:r>
    </w:p>
    <w:p>
      <w:pPr>
        <w:spacing w:after="80"/>
      </w:pPr>
      <w:r>
        <w:rPr>
          <w:b/>
          <w:color w:val="17365D"/>
          <w:sz w:val="50"/>
        </w:rPr>
        <w:t>SUBDOCUMENTO 1</w:t>
      </w:r>
    </w:p>
    <w:p>
      <w:pPr>
        <w:spacing w:after="360"/>
      </w:pPr>
      <w:r>
        <w:rPr>
          <w:color w:val="1F4E78"/>
          <w:sz w:val="30"/>
        </w:rPr>
        <w:t>Presentación de la empresa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74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Declaración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Licitación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TFEP-01/2026 - Caso 01: Minería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Proponente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OVERFORE S.A.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RUT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77.482.961-K (simulado; dígito verificador válido)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Jefe de Proyecto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Claudio Ignacio Cabello Vásquez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Equipo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9 integrantes, organizados en tres grupos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Versión / fecha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v1.0 - 3 de septiembre de 2026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Anexo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Formulario T-6 v1.0 - tres proyectos simulados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Nota académica. </w:t>
            </w:r>
            <w:r>
              <w:t>OVERFORE S.A., sus proyectos, alianzas, certificaciones institucionales, RUT y contactos corporativos son antecedentes simulados para este ejercicio. No deben presentarse como experiencia o acreditaciones reales fuera del curso.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Propósito y alcance</w:t>
      </w:r>
    </w:p>
    <w:p>
      <w:r>
        <w:t>Este subdocumento presenta la trayectoria, capacidades instaladas, líneas de negocio, estructura, certificaciones, alianzas, experiencia y modelo de gobierno de OVERFORE S.A. Se prepara conforme al Formulario T-7 y se complementa con el Formulario T-6. No reemplaza el alcance funcional ni la arquitectura desarrollada en los Subdocumentos 3, 4.1, 4.2 y 5.</w:t>
      </w:r>
    </w:p>
    <w:p>
      <w:r>
        <w:t>La identidad técnica se alinea con la decisión congelada del proyecto: Microsoft Azure Chile Central como plano central primario, Brazil South como recuperación regional, Faena Aranda para continuidad e integración local, CIO Antofagasta como warm standby de servicios críticos y cuatro nodos C-04 en Portería, Planta, Depósito de relaves y Acopio de puerto.</w:t>
      </w:r>
    </w:p>
    <w:p>
      <w:pPr>
        <w:pStyle w:val="Heading1"/>
        <w:keepNext/>
      </w:pPr>
      <w:r>
        <w:t>2. Reseña institucional</w:t>
      </w:r>
    </w:p>
    <w:p>
      <w:r>
        <w:t>OVERFORE S.A. es una empresa tecnológica chilena ficticia, constituida en 2018 para el escenario académico, dedicada al diseño, implantación y operación de plataformas digitales de misión crítica. Su especialidad es unir procesos de terreno con sistemas corporativos sin reemplazar los activos que ya cumplen una función operacional: ERP, despacho, laboratorio, planificación, historiadores, telemetría y controles de acceso.</w:t>
      </w:r>
    </w:p>
    <w:p>
      <w:r>
        <w:t>La compañía declara casa matriz en Santiago y una oficina de soporte en Antofagasta. La combinación permite mantener gobierno, arquitectura y servicios administrados desde el centro corporativo, y disponer de atención coordinada para instalaciones industriales de la zona norte.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4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Dato institucional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Razón social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OVERFORE S.A.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RUT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77.482.961-K (simulado)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Año de constitución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2018 (simulado)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Casa matriz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Santiago de Chile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Cobertura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Chile; soporte zona norte desde Antofagasta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Sitio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https://www.overfore.example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Licitaciones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licitaciones@overfore.example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Proyecto Aranda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proyecto.aranda@overfore.example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Seguridad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seguridad@overfore.example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Mesa de servicio</w:t>
            </w:r>
          </w:p>
        </w:tc>
        <w:tc>
          <w:tcPr>
            <w:tcW w:type="dxa" w:w="7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soporte@overfore.example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Líneas de negocio, productos y servicios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Línea</w:t>
            </w:r>
          </w:p>
        </w:tc>
        <w:tc>
          <w:tcPr>
            <w:tcW w:type="dxa" w:w="71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Servicios ofrecidos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Arquitectura híbrida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Diseño cloud-on-premise-edge; landing zones Azure; alta disponibilidad; recuperación regional y sitio secundario.</w:t>
            </w:r>
          </w:p>
        </w:tc>
      </w:tr>
      <w:tr>
        <w:trPr>
          <w:cantSplit/>
        </w:trPr>
        <w:tc>
          <w:tcPr>
            <w:tcW w:type="dxa" w:w="2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Integración industrial y empresarial</w:t>
            </w:r>
          </w:p>
        </w:tc>
        <w:tc>
          <w:tcPr>
            <w:tcW w:type="dxa" w:w="71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Capa anticorrupción para ERP, despacho, LIMS, planificación, telemetría; OPC UA sólo lectura e ISA-95.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Trazabilidad operacional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Captura de eventos, identificación de personas/equipos, cadena de custodia, conciliación y auditoría.</w:t>
            </w:r>
          </w:p>
        </w:tc>
      </w:tr>
      <w:tr>
        <w:trPr>
          <w:cantSplit/>
        </w:trPr>
        <w:tc>
          <w:tcPr>
            <w:tcW w:type="dxa" w:w="2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Edge y movilidad desconectada</w:t>
            </w:r>
          </w:p>
        </w:tc>
        <w:tc>
          <w:tcPr>
            <w:tcW w:type="dxa" w:w="71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Aplicaciones rugerizadas, SQLite cifrado, PostgreSQL de borde, colas persistentes e idempotencia.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Datos y analítica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PostgreSQL 16+, TimescaleDB, ClickHouse 24.8 LTS+, almacenamiento compatible S3, OpenSearch y Redis.</w:t>
            </w:r>
          </w:p>
        </w:tc>
      </w:tr>
      <w:tr>
        <w:trPr>
          <w:cantSplit/>
        </w:trPr>
        <w:tc>
          <w:tcPr>
            <w:tcW w:type="dxa" w:w="2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Ciberseguridad</w:t>
            </w:r>
          </w:p>
        </w:tc>
        <w:tc>
          <w:tcPr>
            <w:tcW w:type="dxa" w:w="71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Zero Trust, segmentación TI/TO, MFA/PAM, cifrado, hardening CIS, SIEM/SOC y respuesta a incidentes.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Infraestructura y redes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Data centers, WAN redundante, routing, switching, NGFW, RF, gabinetes industriales, UPS y observabilidad.</w:t>
            </w:r>
          </w:p>
        </w:tc>
      </w:tr>
      <w:tr>
        <w:trPr>
          <w:cantSplit/>
        </w:trPr>
        <w:tc>
          <w:tcPr>
            <w:tcW w:type="dxa" w:w="2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Operación gestionada</w:t>
            </w:r>
          </w:p>
        </w:tc>
        <w:tc>
          <w:tcPr>
            <w:tcW w:type="dxa" w:w="71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8"/>
              </w:rPr>
              <w:t>NOC/SOC 24x7, mesa de servicio, mantenimiento, parches, backup 3-2-1-1-0, DR y transferencia.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Capacidades instaladas aplicadas a Aranda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460"/>
        <w:gridCol w:w="4200"/>
      </w:tblGrid>
      <w:tr>
        <w:trPr>
          <w:tblHeader w:val="true"/>
          <w:cantSplit/>
        </w:trPr>
        <w:tc>
          <w:tcPr>
            <w:tcW w:type="dxa" w:w="17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34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Qué domina OVERFORE</w:t>
            </w:r>
          </w:p>
        </w:tc>
        <w:tc>
          <w:tcPr>
            <w:tcW w:type="dxa" w:w="42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Aplicación específica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Cloud Azure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IaC, FinOps, redes privadas, multi-zona, AKS, servicios administrados, reversibilidad y copias regionales.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C-01/C-02/C-05/C-08/C-15/C-16/C-20/C-22 en Chile Central; recuperación Brazil South.</w:t>
            </w:r>
          </w:p>
        </w:tc>
      </w:tr>
      <w:tr>
        <w:trPr>
          <w:cantSplit/>
        </w:trPr>
        <w:tc>
          <w:tcPr>
            <w:tcW w:type="dxa" w:w="1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On-premise</w:t>
            </w:r>
          </w:p>
        </w:tc>
        <w:tc>
          <w:tcPr>
            <w:tcW w:type="dxa" w:w="3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Clústeres N+1, almacenamiento RAID, core/NGFW HA, doble carrier, energía/clima/incendio y site secundario.</w:t>
            </w:r>
          </w:p>
        </w:tc>
        <w:tc>
          <w:tcPr>
            <w:tcW w:type="dxa" w:w="4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Faena operacional y CIO warm standby sin duplicar el plano central.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Edge industrial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Servidor, router y switch industrial; redundancia active-passive; buffer 48 h; MDM.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Cuatro C-04 en Portería, Planta, Relaves y Puerto.</w:t>
            </w:r>
          </w:p>
        </w:tc>
      </w:tr>
      <w:tr>
        <w:trPr>
          <w:cantSplit/>
        </w:trPr>
        <w:tc>
          <w:tcPr>
            <w:tcW w:type="dxa" w:w="1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Integración TI/TO</w:t>
            </w:r>
          </w:p>
        </w:tc>
        <w:tc>
          <w:tcPr>
            <w:tcW w:type="dxa" w:w="3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Certificados, allowlist, DMZ y pruebas negativas Write/Call.</w:t>
            </w:r>
          </w:p>
        </w:tc>
        <w:tc>
          <w:tcPr>
            <w:tcW w:type="dxa" w:w="4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C-14 OPC UA sólo lectura sobre historiador y balanza de alimentación.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Datos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Motores especializados, retención 5/7/10 años, cifrado a nivel de campo y auditoría.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Trazabilidad desde polígono/viaje hasta stockpile y lote embarcado.</w:t>
            </w:r>
          </w:p>
        </w:tc>
      </w:tr>
      <w:tr>
        <w:trPr>
          <w:cantSplit/>
        </w:trPr>
        <w:tc>
          <w:tcPr>
            <w:tcW w:type="dxa" w:w="1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Continuidad</w:t>
            </w:r>
          </w:p>
        </w:tc>
        <w:tc>
          <w:tcPr>
            <w:tcW w:type="dxa" w:w="34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RPO cero eventos en terreno; RTO &lt;=1 h edge; RTO &lt;=4 h/RPO &lt;=15 min central.</w:t>
            </w:r>
          </w:p>
        </w:tc>
        <w:tc>
          <w:tcPr>
            <w:tcW w:type="dxa" w:w="42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C-03/C-04 offline, réplica al CIO y recuperación regional cloud.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Operación minera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Trabajo con guantes, altura, acreditación, turnos 7x7, ventanas protegidas y soporte en faena.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Adaptación sectorial guiada por el caso y especialistas aliados.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5. Organización y dotación del proyecto</w:t>
      </w:r>
    </w:p>
    <w:p>
      <w:r>
        <w:t>La propuesta dispone de nueve integrantes. Claudio Cabello mantiene la dirección y la coherencia contractual; los demás participantes se organizan por entregables. La distribución académica no sustituye el Formulario T-8 ni atribuye certificaciones individuales no acreditadas.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rPr>
          <w:tblHeader w:val="true"/>
          <w:cantSplit/>
        </w:trPr>
        <w:tc>
          <w:tcPr>
            <w:tcW w:type="dxa" w:w="21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33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Integrantes</w:t>
            </w:r>
          </w:p>
        </w:tc>
        <w:tc>
          <w:tcPr>
            <w:tcW w:type="dxa" w:w="39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Grupo 1 - Estrategia y Alcance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David Martínez Canto; Claudio Cabello Vásquez; Benjamín Velásquez Farías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Subdocs. 2 y 3; problema, requerimientos, alcance, exclusiones, T-12 y trazabilidad.</w:t>
            </w:r>
          </w:p>
        </w:tc>
      </w:tr>
      <w:tr>
        <w:trPr>
          <w:cantSplit/>
        </w:trPr>
        <w:tc>
          <w:tcPr>
            <w:tcW w:type="dxa" w:w="21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Grupo 2 - Arquitectura Lógica y Datos</w:t>
            </w:r>
          </w:p>
        </w:tc>
        <w:tc>
          <w:tcPr>
            <w:tcW w:type="dxa" w:w="33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Lucas Zamora Gatica; Gabriel Sanzana Cuibin; Patricio Figueroa Gallardo</w:t>
            </w:r>
          </w:p>
        </w:tc>
        <w:tc>
          <w:tcPr>
            <w:tcW w:type="dxa" w:w="39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Subdocs. 4.1 y 5; componentes C-01 a C-22, eventos, seguridad, modelo y gobierno de datos.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Grupo 3 - Infraestructura y Presentación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Marcelo Flores Coloane; Benjamín Rodríguez Pavez; Kavon Kermani Órdenes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Subdocs. 4.2 y 1; T-11, T-6, cloud, data centers, redes, edge, OPC UA y presentación institucional.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Gobierno mínimo de la oferta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tblHeader w:val="true"/>
          <w:cantSplit/>
        </w:trPr>
        <w:tc>
          <w:tcPr>
            <w:tcW w:type="dxa" w:w="20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Responsable académico</w:t>
            </w:r>
          </w:p>
        </w:tc>
        <w:tc>
          <w:tcPr>
            <w:tcW w:type="dxa" w:w="48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Jefe de Proyecto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Claudio Cabello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Dirección, contraparte, riesgos, integración de grupos y control de coherencia.</w:t>
            </w:r>
          </w:p>
        </w:tc>
      </w:tr>
      <w:tr>
        <w:trPr>
          <w:cantSplit/>
        </w:trPr>
        <w:tc>
          <w:tcPr>
            <w:tcW w:type="dxa" w:w="20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Arquitectura de solución</w:t>
            </w:r>
          </w:p>
        </w:tc>
        <w:tc>
          <w:tcPr>
            <w:tcW w:type="dxa" w:w="2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Liderazgo Grupo 2 con revisión Grupo 3</w:t>
            </w:r>
          </w:p>
        </w:tc>
        <w:tc>
          <w:tcPr>
            <w:tcW w:type="dxa" w:w="48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Arquitectura lógica, datos y despliegue físico.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Seguridad de la información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Función transversal Grupo 2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Zero Trust, privacidad, controles, evidencias y segregación.</w:t>
            </w:r>
          </w:p>
        </w:tc>
      </w:tr>
      <w:tr>
        <w:trPr>
          <w:cantSplit/>
        </w:trPr>
        <w:tc>
          <w:tcPr>
            <w:tcW w:type="dxa" w:w="20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Datos</w:t>
            </w:r>
          </w:p>
        </w:tc>
        <w:tc>
          <w:tcPr>
            <w:tcW w:type="dxa" w:w="2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Gabriel Sanzana / Grupo 2</w:t>
            </w:r>
          </w:p>
        </w:tc>
        <w:tc>
          <w:tcPr>
            <w:tcW w:type="dxa" w:w="48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Modelo, motores, calidad, retención, migración y explotación.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Calidad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David Martínez / Grupo 1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Trazabilidad, revisión independiente, no conformidades y aceptación.</w:t>
            </w:r>
          </w:p>
        </w:tc>
      </w:tr>
      <w:tr>
        <w:trPr>
          <w:cantSplit/>
        </w:trPr>
        <w:tc>
          <w:tcPr>
            <w:tcW w:type="dxa" w:w="20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Operación</w:t>
            </w:r>
          </w:p>
        </w:tc>
        <w:tc>
          <w:tcPr>
            <w:tcW w:type="dxa" w:w="2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Marcelo Flores / Grupo 3</w:t>
            </w:r>
          </w:p>
        </w:tc>
        <w:tc>
          <w:tcPr>
            <w:tcW w:type="dxa" w:w="48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Infraestructura, continuidad, NOC, soporte y transferencia.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6. Certificaciones y competencias</w:t>
      </w:r>
    </w:p>
    <w:p>
      <w:r>
        <w:t>Las certificaciones se declaran por capacidad institucional y por grupo, no como credenciales personales. En el escenario académico se consideran vigentes; una oferta real debe adjuntar certificado, titular, número, emisor y vigencia.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700"/>
        <w:gridCol w:w="4760"/>
      </w:tblGrid>
      <w:tr>
        <w:trPr>
          <w:tblHeader w:val="true"/>
          <w:cantSplit/>
        </w:trPr>
        <w:tc>
          <w:tcPr>
            <w:tcW w:type="dxa" w:w="19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Familia</w:t>
            </w:r>
          </w:p>
        </w:tc>
        <w:tc>
          <w:tcPr>
            <w:tcW w:type="dxa" w:w="27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Certificación institucional simulada</w:t>
            </w:r>
          </w:p>
        </w:tc>
        <w:tc>
          <w:tcPr>
            <w:tcW w:type="dxa" w:w="47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Aplicación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Calidad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 9001:2015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Gestión documental, revisión de entregables, no conformidades y mejora.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Seguridad</w:t>
            </w:r>
          </w:p>
        </w:tc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ISO/IEC 27001:2022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SGSI, riesgos, controles y auditoría.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Continuidad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 22301:2019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BCP, análisis de impacto, ejercicios y mejora de continuidad.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Servicios TI</w:t>
            </w:r>
          </w:p>
        </w:tc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ISO/IEC 20000-1:2018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Mesa de servicio, incidentes, problemas, cambios y niveles de servicio.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Nube y privacidad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ISO/IEC 27017 e ISO/IEC 27018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Controles cloud y protección de información personal.</w:t>
            </w:r>
          </w:p>
        </w:tc>
      </w:tr>
      <w:tr>
        <w:trPr>
          <w:cantSplit/>
        </w:trPr>
        <w:tc>
          <w:tcPr>
            <w:tcW w:type="dxa" w:w="19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Seguridad y salud</w:t>
            </w:r>
          </w:p>
        </w:tc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 45001:2018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Trabajo seguro, acreditación y operación en faena.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Medio ambiente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ISO 14001:2015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Gestión ambiental y soporte a trazabilidad de compromisos.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800"/>
        <w:gridCol w:w="2960"/>
      </w:tblGrid>
      <w:tr>
        <w:trPr>
          <w:tblHeader w:val="true"/>
          <w:cantSplit/>
        </w:trPr>
        <w:tc>
          <w:tcPr>
            <w:tcW w:type="dxa" w:w="16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48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Portafolio de competencias simulado</w:t>
            </w:r>
          </w:p>
        </w:tc>
        <w:tc>
          <w:tcPr>
            <w:tcW w:type="dxa" w:w="29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Uso en Aranda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Grupo 1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PMP/PMBOK; Scrum Master; ITIL 4 Foundation; IREB CPRE Foundation; auditor interno ISO 9001.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Gobierno, alcance, requerimientos, trazabilidad, calidad y aceptación.</w:t>
            </w:r>
          </w:p>
        </w:tc>
      </w:tr>
      <w:tr>
        <w:trPr>
          <w:cantSplit/>
        </w:trPr>
        <w:tc>
          <w:tcPr>
            <w:tcW w:type="dxa" w:w="16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Grupo 2</w:t>
            </w:r>
          </w:p>
        </w:tc>
        <w:tc>
          <w:tcPr>
            <w:tcW w:type="dxa" w:w="4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Azure Solutions Architect/Data Engineer; TOGAF Foundation; PostgreSQL; ISO/IEC 27001 Foundation; ISA/IEC 62443 Fundamentals; ISTQB Foundation.</w:t>
            </w:r>
          </w:p>
        </w:tc>
        <w:tc>
          <w:tcPr>
            <w:tcW w:type="dxa" w:w="29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Arquitectura C-01 a C-22, datos, seguridad, integración, pruebas y TI/TO.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Grupo 3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Cisco CCNA y CCNP Enterprise; Fortinet FCP/FCA; Azure Network Engineer; Linux/RHCSA; Certified Data Centre Professional; OPC UA Fundamentals; ITIL 4 Foundation.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Routing/switching, VPN/SD-WAN, NGFW, data centers, edge, redes industriales, alta disponibilidad y OPC UA.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FF2CC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Límite de declaración. </w:t>
            </w:r>
            <w:r>
              <w:t>El portafolio demuestra cobertura esperada del equipo. No significa que cada integrante posea todas las credenciales. La asignación nominal y la evidencia corresponden al T-8.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Alianzas tecnológicas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50"/>
        <w:gridCol w:w="2800"/>
        <w:gridCol w:w="2210"/>
      </w:tblGrid>
      <w:tr>
        <w:trPr>
          <w:tblHeader w:val="true"/>
          <w:cantSplit/>
        </w:trPr>
        <w:tc>
          <w:tcPr>
            <w:tcW w:type="dxa" w:w="15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85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8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Participación</w:t>
            </w:r>
          </w:p>
        </w:tc>
        <w:tc>
          <w:tcPr>
            <w:tcW w:type="dxa" w:w="221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Límite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Proveedor cloud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Microsoft Azure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Plataforma central en Chile Central y recuperación en Brazil South.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OVERFORE mantiene responsabilidad integral.</w:t>
            </w:r>
          </w:p>
        </w:tc>
      </w:tr>
      <w:tr>
        <w:trPr>
          <w:cantSplit/>
        </w:trPr>
        <w:tc>
          <w:tcPr>
            <w:tcW w:type="dxa" w:w="1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Socio cloud</w:t>
            </w:r>
          </w:p>
        </w:tc>
        <w:tc>
          <w:tcPr>
            <w:tcW w:type="dxa" w:w="285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NubeAndes Cloud SpA (ficticia), Microsoft Solutions Partner para Infrastructure (Azure) en el escenario académico</w:t>
            </w:r>
          </w:p>
        </w:tc>
        <w:tc>
          <w:tcPr>
            <w:tcW w:type="dxa" w:w="2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Landing zone, redes cloud, FinOps, soporte y recuperación regional.</w:t>
            </w:r>
          </w:p>
        </w:tc>
        <w:tc>
          <w:tcPr>
            <w:tcW w:type="dxa" w:w="221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Carta de compromiso simulada; debe reemplazarse por evidencia real.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Socio TI/TO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Integra OT Ltda. (ficticia)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OPC UA, inventario de nodos, certificados, DMZ y evaluación IEC 62443.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No modifica PLC/DCS ni lógica de control.</w:t>
            </w:r>
          </w:p>
        </w:tc>
      </w:tr>
      <w:tr>
        <w:trPr>
          <w:cantSplit/>
        </w:trPr>
        <w:tc>
          <w:tcPr>
            <w:tcW w:type="dxa" w:w="1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Socio redes/terreno</w:t>
            </w:r>
          </w:p>
        </w:tc>
        <w:tc>
          <w:tcPr>
            <w:tcW w:type="dxa" w:w="285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RedNorte Industrial SpA (ficticia)</w:t>
            </w:r>
          </w:p>
        </w:tc>
        <w:tc>
          <w:tcPr>
            <w:tcW w:type="dxa" w:w="2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Estudio RF, equipos industriales, altura, repuestos y atención en faena.</w:t>
            </w:r>
          </w:p>
        </w:tc>
        <w:tc>
          <w:tcPr>
            <w:tcW w:type="dxa" w:w="221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La construcción de la red del rajo sigue a cargo del CLIENTE.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8. Experiencia relevante y transferibilidad</w:t>
      </w:r>
    </w:p>
    <w:p>
      <w:r>
        <w:t>El Formulario T-6 declara tres proyectos ficticios finalizados y en operación dentro de los últimos cinco años. Los sectores no son mineros deliberadamente: acreditan capacidades técnicas equivalentes sin afirmar experiencia minera inexistente. Los tres son híbridos y tienen SLA de 99,5% o superior.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500"/>
        <w:gridCol w:w="3400"/>
        <w:gridCol w:w="2660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Proyecto</w:t>
            </w:r>
          </w:p>
        </w:tc>
        <w:tc>
          <w:tcPr>
            <w:tcW w:type="dxa" w:w="15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Industria</w:t>
            </w:r>
          </w:p>
        </w:tc>
        <w:tc>
          <w:tcPr>
            <w:tcW w:type="dxa" w:w="34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Capacidad demostrada</w:t>
            </w:r>
          </w:p>
        </w:tc>
        <w:tc>
          <w:tcPr>
            <w:tcW w:type="dxa" w:w="26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Transferencia al caso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NexoPuerto (2023-2024)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Logística portuaria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RFID, básculas, carga a granel, captura offline, ERP/despacho y 1,8 M eventos/año.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Acopio/embarque, pesaje, cadena de custodia y lote comercial.</w:t>
            </w:r>
          </w:p>
        </w:tc>
      </w:tr>
      <w:tr>
        <w:trPr>
          <w:cantSplit/>
        </w:trPr>
        <w:tc>
          <w:tcPr>
            <w:tcW w:type="dxa" w:w="1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Planta Conecta (2022-2023)</w:t>
            </w:r>
          </w:p>
        </w:tc>
        <w:tc>
          <w:tcPr>
            <w:tcW w:type="dxa" w:w="15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Manufactura de proceso</w:t>
            </w:r>
          </w:p>
        </w:tc>
        <w:tc>
          <w:tcPr>
            <w:tcW w:type="dxa" w:w="3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OPC UA sólo lectura, edge industrial, 3.500 tags y detenciones.</w:t>
            </w:r>
          </w:p>
        </w:tc>
        <w:tc>
          <w:tcPr>
            <w:tcW w:type="dxa" w:w="26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Historiador, balanza de alimentación, C-14 y segregación TI/TO.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RedFrío 360 (2021-2022)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Cadena de frío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24 sitios, 75 gateways, 680 dispositivos, sincronización, DR y 99,5% SLA.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48 h offline, relaves/puerto intermitentes y observabilidad unificada.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2F0D9"/>
          </w:tcPr>
          <w:p>
            <w:pPr>
              <w:spacing w:after="0"/>
            </w:pPr>
            <w:r>
              <w:rPr>
                <w:b/>
                <w:color w:val="17365D"/>
              </w:rPr>
              <w:t xml:space="preserve">Brecha minera reconocida. </w:t>
            </w:r>
            <w:r>
              <w:t>Estas referencias no acreditan experiencia en faena minera. OVERFORE cubre la brecha mediante especialistas aliados, capacitación en Reglamento de Seguridad Minera, inducción y acreditación de contratista, examen de altura, levantamiento conjunto con mina/planta/metalurgia y validación del vocabulario sectorial antes de diseño detallado.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9. Formulario T-6 - resumen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2100"/>
        <w:gridCol w:w="4560"/>
      </w:tblGrid>
      <w:tr>
        <w:trPr>
          <w:tblHeader w:val="true"/>
          <w:cantSplit/>
        </w:trPr>
        <w:tc>
          <w:tcPr>
            <w:tcW w:type="dxa" w:w="27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21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5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Tres proyectos finalizados y en operación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Sí, simulados: 2021-2024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T-6, filas de fechas y estado.</w:t>
            </w:r>
          </w:p>
        </w:tc>
      </w:tr>
      <w:tr>
        <w:trPr>
          <w:cantSplit/>
        </w:trPr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Últimos cinco años</w:t>
            </w:r>
          </w:p>
        </w:tc>
        <w:tc>
          <w:tcPr>
            <w:tcW w:type="dxa" w:w="21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Sí</w:t>
            </w:r>
          </w:p>
        </w:tc>
        <w:tc>
          <w:tcPr>
            <w:tcW w:type="dxa" w:w="45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Todos concluyen entre 2022 y 2024.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Arquitectura híbrida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Sí, tres proyectos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Azure + gateways/nodos on-premise.</w:t>
            </w:r>
          </w:p>
        </w:tc>
      </w:tr>
      <w:tr>
        <w:trPr>
          <w:cantSplit/>
        </w:trPr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SLA &gt;=99,5%</w:t>
            </w:r>
          </w:p>
        </w:tc>
        <w:tc>
          <w:tcPr>
            <w:tcW w:type="dxa" w:w="21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Sí, tres proyectos</w:t>
            </w:r>
          </w:p>
        </w:tc>
        <w:tc>
          <w:tcPr>
            <w:tcW w:type="dxa" w:w="45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99,7%; 99,6%; 99,5%.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Volumen cuantificado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Eventos, tags, usuarios, gateways y dispositivos.</w:t>
            </w:r>
          </w:p>
        </w:tc>
      </w:tr>
      <w:tr>
        <w:trPr>
          <w:cantSplit/>
        </w:trPr>
        <w:tc>
          <w:tcPr>
            <w:tcW w:type="dxa" w:w="27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Rol de OVERFORE</w:t>
            </w:r>
          </w:p>
        </w:tc>
        <w:tc>
          <w:tcPr>
            <w:tcW w:type="dxa" w:w="21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Principal en tres; aliado OT en uno</w:t>
            </w:r>
          </w:p>
        </w:tc>
        <w:tc>
          <w:tcPr>
            <w:tcW w:type="dxa" w:w="45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Responsabilidad explícita.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Contraparte verificable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Sólo dentro del escenario académico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Contactos ficticios con dominio .example; no usar fuera del curso.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Modelo interno de calidad, seguridad y conocimiento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00"/>
        <w:gridCol w:w="4760"/>
        <w:gridCol w:w="1400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Instancia</w:t>
            </w:r>
          </w:p>
        </w:tc>
        <w:tc>
          <w:tcPr>
            <w:tcW w:type="dxa" w:w="14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476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Control / evidencia</w:t>
            </w:r>
          </w:p>
        </w:tc>
        <w:tc>
          <w:tcPr>
            <w:tcW w:type="dxa" w:w="1400"/>
            <w:shd w:fill="1F4E7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Comité de proyecto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Semanal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Avance, riesgos, dependencias, decisiones y coherencia de subdocumentos.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Claudio Cabello</w:t>
            </w:r>
          </w:p>
        </w:tc>
      </w:tr>
      <w:tr>
        <w:trPr>
          <w:cantSplit/>
        </w:trPr>
        <w:tc>
          <w:tcPr>
            <w:tcW w:type="dxa" w:w="1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Consejo de arquitectura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Por decisión relevante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ADR fechado; revisión lógica, datos, física, seguridad y costos.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Grupos 2 y 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Puerta de calidad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Antes de cada entrega/hito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Trazabilidad T-12, revisión cruzada, defectos, criterios de aceptación y control de versión.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Grupo 1</w:t>
            </w:r>
          </w:p>
        </w:tc>
      </w:tr>
      <w:tr>
        <w:trPr>
          <w:cantSplit/>
        </w:trPr>
        <w:tc>
          <w:tcPr>
            <w:tcW w:type="dxa" w:w="1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Revisión de seguridad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Por release y trimestral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Modelado de amenazas, vulnerabilidades, accesos, secretos, SBOM y hardening.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Función seguridad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Gestión de cambios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Continua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Repositorio del CLIENTE, revisión por pares, CI/CD, IaC y segregación de ambientes.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Arquitectura/operación</w:t>
            </w:r>
          </w:p>
        </w:tc>
      </w:tr>
      <w:tr>
        <w:trPr>
          <w:cantSplit/>
        </w:trPr>
        <w:tc>
          <w:tcPr>
            <w:tcW w:type="dxa" w:w="18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Gestión del conocimiento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En cada hito</w:t>
            </w:r>
          </w:p>
        </w:tc>
        <w:tc>
          <w:tcPr>
            <w:tcW w:type="dxa" w:w="476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Runbooks, manuales en español, decisiones, sesiones grabadas y transferencia al equipo de 11 personas.</w:t>
            </w:r>
          </w:p>
        </w:tc>
        <w:tc>
          <w:tcPr>
            <w:tcW w:type="dxa" w:w="1400"/>
            <w:shd w:fill="EEF4F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Todos los grupos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Mejora operacional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Mensual y post-incidente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SLA, MTTR, cambios fallidos, causa raíz, capacidad y plan de acción.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Calibri" w:hAnsi="Calibri"/>
                <w:sz w:val="16"/>
              </w:rPr>
              <w:t>Operación/NOC/SOC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11. Consistencia con la oferta técnica</w:t>
      </w:r>
    </w:p>
    <w:p>
      <w:pPr>
        <w:pStyle w:val="ListBullet"/>
      </w:pPr>
      <w:r>
        <w:t>El proveedor cloud y regiones coinciden con el Subdocumento 4.2 y T-11: Azure Chile Central y Brazil South.</w:t>
      </w:r>
    </w:p>
    <w:p>
      <w:pPr>
        <w:pStyle w:val="ListBullet"/>
      </w:pPr>
      <w:r>
        <w:t>Las capacidades de datos coinciden con el Subdocumento 5: PostgreSQL, TimescaleDB, ClickHouse, S3 compatible, OpenSearch, Redis y SQLite edge.</w:t>
      </w:r>
    </w:p>
    <w:p>
      <w:pPr>
        <w:pStyle w:val="ListBullet"/>
      </w:pPr>
      <w:r>
        <w:t>Las alianzas OT no crean escritura hacia historiador, PLC o DCS; C-14 permanece sólo lectura.</w:t>
      </w:r>
    </w:p>
    <w:p>
      <w:pPr>
        <w:pStyle w:val="ListBullet"/>
      </w:pPr>
      <w:r>
        <w:t>La experiencia T-6 no introduce componentes ni procesos fuera de C-01 a C-22.</w:t>
      </w:r>
    </w:p>
    <w:p>
      <w:pPr>
        <w:pStyle w:val="ListBullet"/>
      </w:pPr>
      <w:r>
        <w:t>La construcción de red del rajo y la compra masiva de hardware de terreno siguen a cargo del CLIENTE.</w:t>
      </w:r>
    </w:p>
    <w:p>
      <w:pPr>
        <w:pStyle w:val="ListBullet"/>
      </w:pPr>
      <w:r>
        <w:t>Las certificaciones se mantienen institucionales o por grupo hasta que T-8 asigne evidencia personal.</w:t>
      </w:r>
    </w:p>
    <w:p>
      <w:pPr>
        <w:pStyle w:val="ListBullet"/>
      </w:pPr>
      <w:r>
        <w:t>Todo antecedente simulado se encuentra marcado como tal.</w:t>
      </w:r>
    </w:p>
    <w:p>
      <w:pPr>
        <w:pStyle w:val="Heading1"/>
        <w:keepNext/>
      </w:pPr>
      <w:r>
        <w:t>12. Referencias</w:t>
      </w:r>
    </w:p>
    <w:p>
      <w:pPr>
        <w:pStyle w:val="ListBullet"/>
      </w:pPr>
      <w:r>
        <w:t>Pontificia Universidad Católica de Valparaíso. (2026). Bases Administrativas TFEP-01/2026, artículos 34 y formularios T-6/T-7.</w:t>
      </w:r>
    </w:p>
    <w:p>
      <w:pPr>
        <w:pStyle w:val="ListBullet"/>
      </w:pPr>
      <w:r>
        <w:t>Pontificia Universidad Católica de Valparaíso. (2026). Bases Técnicas Transversales TFEP-01/2026.</w:t>
      </w:r>
    </w:p>
    <w:p>
      <w:pPr>
        <w:pStyle w:val="ListBullet"/>
      </w:pPr>
      <w:r>
        <w:t>Pontificia Universidad Católica de Valparaíso. (2026). Caso 01 - Minería: Bases Técnicas del Caso.</w:t>
      </w:r>
    </w:p>
    <w:p>
      <w:pPr>
        <w:pStyle w:val="ListBullet"/>
      </w:pPr>
      <w:r>
        <w:t>OVERFORE S.A. (2026). Subdocumento 4.1 - Arquitectura Lógica, v4.2.</w:t>
      </w:r>
    </w:p>
    <w:p>
      <w:pPr>
        <w:pStyle w:val="ListBullet"/>
      </w:pPr>
      <w:r>
        <w:t>OVERFORE S.A. (2026). Subdocumento 4.2 - Arquitectura Física y Especificaciones, v1.0.</w:t>
      </w:r>
    </w:p>
    <w:p>
      <w:pPr>
        <w:pStyle w:val="ListBullet"/>
      </w:pPr>
      <w:r>
        <w:t>OVERFORE S.A. (2026). Subdocumento 5 - Modelo y gestión de datos, v2.1.</w:t>
      </w:r>
    </w:p>
    <w:p>
      <w:pPr>
        <w:pStyle w:val="ListBullet"/>
      </w:pPr>
      <w:r>
        <w:t>OVERFORE S.A. (2026). Formulario T-11, v1.0 y Matriz de Distribución Nube-Faena-CIO, v1.0.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573"/>
        <w:sz w:val="17"/>
      </w:rPr>
      <w:t xml:space="preserve">Presentación de la empresa |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5B6573"/>
        <w:sz w:val="17"/>
      </w:rPr>
      <w:t>OVERFORE S.A. | TFEP-01/2026 | SUBDOCUMENTO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 Caption"/>
    <w:pPr>
      <w:keepNext/>
      <w:spacing w:before="80" w:after="80"/>
    </w:pPr>
    <w:rPr>
      <w:rFonts w:ascii="Calibri" w:hAnsi="Calibri"/>
      <w:i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Subdocumento 1 - Presentación de la empresa</dc:title>
  <dc:subject>TFEP-01/2026 Caso 01 Minería</dc:subject>
  <dc:creator>OVERFORE S.A. - Grupo 3</dc:creator>
  <cp:keywords>empresa, capacidades, alianzas, certificaciones, T-6,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