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b/>
          <w:color w:val="5B6573"/>
          <w:sz w:val="24"/>
        </w:rPr>
        <w:t>OVERFORE S.A.</w:t>
      </w:r>
    </w:p>
    <w:p>
      <w:pPr>
        <w:spacing w:after="80"/>
      </w:pPr>
      <w:r>
        <w:rPr>
          <w:b/>
          <w:color w:val="17365D"/>
          <w:sz w:val="50"/>
        </w:rPr>
        <w:t>SUBDOCUMENTO 4.2</w:t>
      </w:r>
    </w:p>
    <w:p>
      <w:pPr>
        <w:spacing w:after="360"/>
      </w:pPr>
      <w:r>
        <w:rPr>
          <w:color w:val="1F4E78"/>
          <w:sz w:val="30"/>
        </w:rPr>
        <w:t>Arquitectura física y especificaciones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Licitación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TFEP-01/2026 - Caso 01: Minería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Mandante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Compañía Minera Altos de Aranda S.A. (caso académico)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Proponente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OVERFORE S.A. (empresa ficticia para el ejercicio)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Responsables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Grupo 3: Marcelo Flores, Benjamín Rodríguez y Kavon Kermani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Versión / fecha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v1.0 - 3 de septiembre de 2026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Estado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Consolidado para revisión cruzada y diagramación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Decisión congelada. </w:t>
            </w:r>
            <w:r>
              <w:t>La carga central principal se ejecuta en Microsoft Azure Chile Central. Faena sostiene continuidad operacional, integración local y segregación TI/TO. El CIO Antofagasta opera como sitio secundario warm standby de los servicios centrales críticos. Brazil South agrega recuperación regional de nube, sin declararse como par automático de Chile Central.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Propósito, alcance y precedencia</w:t>
      </w:r>
    </w:p>
    <w:p>
      <w:r>
        <w:t>Este subdocumento materializa la arquitectura lógica C-01 a C-22 en ubicaciones, redes, plataformas, equipos, salas técnicas, respaldo y controles. Resume y analiza la infraestructura ofertada; el listado detallado se entrega en el Formulario T-11 v1.0. La versión reemplaza el borrador suelto para efectos de revisión, pero lo conserva como antecedente.</w:t>
      </w:r>
    </w:p>
    <w:p>
      <w:r>
        <w:t>La precedencia aplicada es: Bases Administrativas y Técnicas; Bases del Caso 01; Subdocumento 4.1 v4.2 para componentes e interfaces; Subdocumento 5 v2.1 para motores, retención y ancho de banda; Subdocumento 3 v1.4 para alcance; T-12 v1.3; Registro de supuestos v1.6; y Matriz de Distribución Nube-Faena-CIO v1.0 para el emplazamiento.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Corrección respecto del borrador. </w:t>
            </w:r>
            <w:r>
              <w:t>Faena ya no se presenta como duplicado del plano central cloud ni como clúster genérico de 60 TB. Su capacidad se justifica por C-09, C-10, C-14, C-22 local, seguridad, sincronización y continuidad. El CIO tampoco ejecuta una segunda producción simultánea: se promueve de manera controlada para evitar divergencia.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Restricciones que gobiernan el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Consecuencia física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Operación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24x7x365; 48 h desconectada; sincronización automática &lt;=4 h.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Terreno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3.180 m s. n. m.; -6 a 34 °C; polvo, vibración, viento, radiación y uso con guantes.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Conectividad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Fibra única histórica con 3 a 6 cortes/año de 4 a 20 h; satélite actual sólo para telefonía/correo; radio en relaves y puerto sin SLA suficiente.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TI/TO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Historiador y red de control se mantienen; C-14 lee OPC UA; Write y Call están denegados.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Sistemas vigentes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ERP, despacho, LIMS, planificación, portales de telemetría, básculas, pesaje de a bordo, control de fatiga y torniquetes se integran, no se sustituyen.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Capacidad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Hasta 9.000 personas, 900 concurrentes y 200 TPS peak; 3 TB/año; retenciones de 5, 7 y 10 años según dominio.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Responsabilidad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La obra civil y la compra masiva de hardware de terreno son de cargo del CLIENTE; OVERFORE especifica, coordina, integra y prueba.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Arquitectura híbrida y dominios de falla</w:t>
      </w:r>
    </w:p>
    <w:p>
      <w:r>
        <w:t>El diseño usa cuatro dominios que fallan y se recuperan de forma independiente. Esta separación evita que la pérdida de Internet detenga la captura, y evita que el sitio secundario se convierta en una segunda producción difícil de gobernar.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5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Contenido y límite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Azure Chile Central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Plano central primario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C-01, C-02, C-05 a C-08, C-11 a C-13, C-15 a C-22 según matriz. Servicios HA en dos o más zonas. Portales públicos detrás de DDoS/WAF.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Faena Aranda</w:t>
            </w:r>
          </w:p>
        </w:tc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Site principal on-premise</w:t>
            </w:r>
          </w:p>
        </w:tc>
        <w:tc>
          <w:tcPr>
            <w:tcW w:type="dxa" w:w="5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Integraciones C-09/C-10, plataforma local C-22, gestión de borde, respaldo y DMZ TI/TO. Mantiene operación aun sin cloud.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CIO Antofagasta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Site secundario warm standby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Mantiene C-01, C-02, C-05, C-08, C-15, C-16, C-20 y C-22 listos para promoción. RTO &lt;=4 h; RPO &lt;=15 min.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Brazil South</w:t>
            </w:r>
          </w:p>
        </w:tc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Recuperación regional cloud</w:t>
            </w:r>
          </w:p>
        </w:tc>
        <w:tc>
          <w:tcPr>
            <w:tcW w:type="dxa" w:w="5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Copias inmutables, IaC y capacidad mínima de reconstitución. Es una elección de diseño; no se afirma emparejamiento automático con Chile Central.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Cuatro gabinetes edge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Continuidad local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Una instancia lógica C-04 por Portería, Planta, Depósito de relaves y Acopio de puerto; cada una sobre dos nodos físicos active-passive.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Topología física y segmentación</w:t>
      </w:r>
    </w:p>
    <w:p>
      <w:r>
        <w:t>Cada site usa dos carriers, routers separados, firewalls en alta disponibilidad y core redundante. La conmutación WAN es automática, pero la continuidad no depende de ella: C-03 guarda SQLite cifrado y C-04 persiste PostgreSQL local. Los sitios remotos usan enlace principal y respaldo celular empresarial.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Regla de acceso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Z1 - DMZ pública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WAF/origen de C-06 y C-07. Sin acceso directo a datos.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Z2 - Puerta operacional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VPN/mTLS desde Faena, CIO y edge; límites de tasa y validación técnica.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Z3 - Aplicaciones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Servicios sin estado y consumidores; subred privada.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Z4 - Datos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PostgreSQL, TimescaleDB, objetos, ClickHouse, OpenSearch y Redis; sólo endpoints privados.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Z5 - Gestión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Bastión/PAM, observabilidad, parches, MDM y automatización.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Z6 - TI corporativa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Usuarios, ERP y sistemas administrativos mediante integraciones controladas.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Z7 - DMZ TI/TO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C-14 primario/reserva; allowlist OPC UA; no ruta desde cloud a PLC/DCS.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Z8 - Respaldo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Credenciales separadas, repositorio inmutable y restauración controlada.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Superficie expuesta. </w:t>
            </w:r>
            <w:r>
              <w:t>Sólo C-06 y C-07 reciben tráfico desde Internet, siempre autenticado. Las API operacionales, bases de datos, administración, respaldo y OPC UA no se publican.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Emplazamiento de C-01 a C-22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200"/>
        <w:gridCol w:w="2050"/>
        <w:gridCol w:w="4390"/>
      </w:tblGrid>
      <w:tr>
        <w:trPr>
          <w:tblHeader w:val="true"/>
          <w:cantSplit/>
        </w:trPr>
        <w:tc>
          <w:tcPr>
            <w:tcW w:type="dxa" w:w="7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0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Ubicación normal / DR</w:t>
            </w:r>
          </w:p>
        </w:tc>
        <w:tc>
          <w:tcPr>
            <w:tcW w:type="dxa" w:w="439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Núcleo de trazabilidad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 warm standby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Centraliza eventos; C-04 conserva el origen durante cortes.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C-02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Plan minero versionado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 warm standby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Servicio central; exportaciones y versiones no requieren ejecución en rajo.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Captura en terreno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Dispositivos rugerizados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SQLite cifrado, identificador único, reloj monótono y 48 h offline.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C-04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Nodo de borde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4 edge: Portería, Planta, Relaves y Puerto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PostgreSQL local, cola persistente, autenticación cacheada y sincronización.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Identidad y acreditación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CIO; caché en edge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SSO/MFA central; credencial + PIN cuando corresponda; decisión offline local.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C-06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Portal contratistas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Canal autenticado detrás de WAF; no opera desconectado.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Portal trazabilidad lote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Canal autenticado y filtrado; no expone ley por polígono.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C-08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Motor de conciliación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 warm standby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Consume tres fuentes de tonelaje sin sobrescribir ninguna.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Integración laboratorio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Faena HA; buffer Planta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Capa anticorrupción bidireccional; tolera indisponibilidad del LIMS.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C-10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Integración despacho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Faena HA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Consume ciclos, asignaciones y pesaje de a bordo; despacho no se reemplaza.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Integración planificación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Consume archivos/versiones del plan minero.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C-12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Integración ERP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Bidireccional controlada; SAP sigue siendo registro contable.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Telemetría fabricantes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Azure; filtrado edge cuando aplique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Tres adaptadores independientes y plan alternativo abierto.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C-14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Lectura historiador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E-02 DMZ TI/TO, primario + reserva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OPC UA sólo lectura; incluye balanza de alimentación.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Detenciones/productividad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CIO; captura local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Clasificación central; no agrega tareas al operador.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C-16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Vista única de equipo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 warm standby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Consulta crítica integrada de condición y operación.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Ambiental/carbono/comunidad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Etapa 2; integra mediciones y evidencia con retención de 10 años.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C-18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Seguridad y salud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Azure; captura nace en C-03/C-04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Dato sensible cifrado a nivel de campo; alertas de fatiga en Etapa 2.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Analítica e indicadores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ClickHouse separado del transaccional; latencias 15 min/4 h.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C-20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Administración y auditoría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/ CIO warm standby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Parámetros versionados, segregación, auditoría y doble aprobación.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Migración históricos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Azure staging temporal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Zona controlada; se retira tras aceptación.</w:t>
            </w:r>
          </w:p>
        </w:tc>
      </w:tr>
      <w:tr>
        <w:trPr>
          <w:cantSplit/>
        </w:trPr>
        <w:tc>
          <w:tcPr>
            <w:tcW w:type="dxa" w:w="72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C-22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Plataforma base</w:t>
            </w:r>
          </w:p>
        </w:tc>
        <w:tc>
          <w:tcPr>
            <w:tcW w:type="dxa" w:w="20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Transversal: cloud, Faena, CIO y edge</w:t>
            </w:r>
          </w:p>
        </w:tc>
        <w:tc>
          <w:tcPr>
            <w:tcW w:type="dxa" w:w="439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5"/>
              </w:rPr>
              <w:t>Red, eventos, seguridad técnica, despliegue y observabilidad.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Tecnologías de software y plataforma</w:t>
      </w:r>
    </w:p>
    <w:p>
      <w:r>
        <w:t>Las versiones se fijan como mínimo o como rama soportada vigente a la adjudicación. Esto evita comprometer una versión obsoleta en un contrato de 56 meses sin diluir la verificabilidad técnica.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200"/>
        <w:gridCol w:w="4560"/>
      </w:tblGrid>
      <w:tr>
        <w:trPr>
          <w:tblHeader w:val="true"/>
          <w:cantSplit/>
        </w:trPr>
        <w:tc>
          <w:tcPr>
            <w:tcW w:type="dxa" w:w="1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Producto / versión</w:t>
            </w:r>
          </w:p>
        </w:tc>
        <w:tc>
          <w:tcPr>
            <w:tcW w:type="dxa" w:w="4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Razón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Contenedores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AKS administrado en Azure; runtime compatible OCI en Faena/CIO/edge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Portabilidad e IaC; HA multi-zona en PROD.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Transaccional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PostgreSQL 16 o superior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Fuente de verdad ACID y réplica al CIO.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Series de tiempo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TimescaleDB sobre PostgreSQL 16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 TB/año de series; compresión/particiones.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Analítica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ClickHouse 24.8 LTS o superior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Aísla agregaciones del peak transaccional.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Documental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PostgreSQL 16 + object storage compatible S3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Metadatos relacionales y binarios versionados.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Histórico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PostgreSQL 16, esquema sólo lectura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Misma auditoría y control que el dato vivo.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Búsqueda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OpenSearch soportado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Índice reconstruible sin campos sensibles.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Caché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Redis administrado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No es fuente de verdad; no guarda sensibles en claro.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Borde dispositivo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SQLite cifrado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Registro firmado aun sin señal.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Borde gabinete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PostgreSQL local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Cola y estado C-04 en RAID1.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IaC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Terraform/OpenTofu + Git del CLIENTE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Reproducible y revisable; consola sólo para bootstrap documentado.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Observabilidad</w:t>
            </w:r>
          </w:p>
        </w:tc>
        <w:tc>
          <w:tcPr>
            <w:tcW w:type="dxa" w:w="3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OpenTelemetry + monitor/SIEM administrado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Una vista para cloud, on-premise y edge.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Site principal on-premise - Faena Aranda</w:t>
      </w:r>
    </w:p>
    <w:p>
      <w:r>
        <w:t>Se habilita un recinto técnico exclusivo en el espacio de 40 m² que provea el CLIENTE o, si la adecuación no resulta técnica/económicamente razonable, una sala modular equivalente dentro de faena. La obra civil de separación es del CLIENTE; OVERFORE entrega especificación, coordinación, instalación TI y pruebas.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Especificación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Tipología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Sala técnica principal proporcional: procesa integraciones y continuidad local, pero no duplica Azure.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Cómputo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3 servidores 2U, &gt;=24 núcleos y 256 GB RAM cada uno, RAID1 local, 10/25GbE, TPM y doble PSU; clúster N+1.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24 TB útiles RAID6 de doble controladora para servicios locales; repositorio inmutable separado &gt;=60 TB.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Red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 routers, 2 NGFW, 2 core switches y 2 carriers de 100 Mbps con rutas e ingresos separados.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Racks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 racks de servidores/datos y 1 de comunicaciones; &gt;=30% de U y puertos libres.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Energía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Carga TI de diseño 6,0 kW; factor de potencia &gt;=0,95; PUE objetivo &lt;=1,55; demanda total estimada &lt;=9,3 kW. UPS modular N+1 &gt;=15 kVA y &gt;=30 min; generador &gt;=24 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Ambiente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Climatización de precisión N+1, contención de pasillo, temperatura/humedad/fuga integradas a C-22.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Incendio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Detección por aspiración láser, agente limpio equivalente a FM-200 aprobado y extintores certificados.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Acceso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Facial primaria, AFIS respaldo, estación de enrolamiento, mantrap, bitácora, terceros acompañados y CCTV &gt;=30 días.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Operación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Espacio del personal separado de la sala; 4 puestos con monitores duales; sin ingreso habitual al recinto.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Medios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Custodia e inventario; copia transportable sólo cuando el CLIENTE lo determine; preferencia por copia inmutable regional.</w:t>
            </w:r>
          </w:p>
        </w:tc>
      </w:tr>
    </w:tbl>
    <w:p>
      <w:pPr>
        <w:spacing w:after="20"/>
      </w:pPr>
    </w:p>
    <w:p>
      <w:r>
        <w:t>Las cifras eléctricas son de ingeniería conceptual y deben cerrarse con las potencias nominales cotizadas, medición del recinto y cálculo térmico. No alteran la distribución congelada.</w:t>
      </w:r>
    </w:p>
    <w:p>
      <w:pPr>
        <w:pStyle w:val="Heading1"/>
        <w:keepNext/>
      </w:pPr>
      <w:r>
        <w:t>8. Site secundario - CIO Antofagasta</w:t>
      </w:r>
    </w:p>
    <w:p>
      <w:r>
        <w:t>El CIO se ubica a 145 km de la faena y no comparte el mismo evento físico inmediato. Se adopta activo-pasivo en espera cálida porque cumple RTO/RPO con menor complejidad y costo que activo-activo, y elimina el riesgo de dos escritorios maestros.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Diseño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Capacidad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3 servidores de la misma familia; 40 TB útiles RAID6; repositorio inmutable &gt;=60 TB; 2 routers, 2 NGFW y 2 core switches.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Servicios mínimos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C-01, C-02, C-05, C-08, C-15, C-16, C-20 y C-22. C-09/C-10 continúan en Faena mientras ésta esté disponible.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Réplica continua cifrada; medición/alerta de lag; DNS/rutas y secretos preposicionados.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Objetivos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RTO &lt;=4 h y RPO &lt;=15 min para servicios centrales críticos. La captura de terreno conserva RPO cero eventos por C-03/C-04.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Promoción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Declaración de desastre por jefe de incidente; fencing del primario; promoción única; validación sintética; retorno con reconciliación.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Pruebas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Conmutación real dos veces por año; inyección de falla; medición RTO/RPO; plan de corrección.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Sala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Aplicación proporcional de energía 99,95%, clima, incendio, acceso, CCTV y rutas físicas distintas.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Borde industrial, terreno y básculas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200"/>
        <w:gridCol w:w="3160"/>
      </w:tblGrid>
      <w:tr>
        <w:trPr>
          <w:tblHeader w:val="true"/>
          <w:cantSplit/>
        </w:trPr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Gabinete</w:t>
            </w:r>
          </w:p>
        </w:tc>
        <w:tc>
          <w:tcPr>
            <w:tcW w:type="dxa" w:w="2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Enlaces</w:t>
            </w:r>
          </w:p>
        </w:tc>
        <w:tc>
          <w:tcPr>
            <w:tcW w:type="dxa" w:w="3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E-01 Portería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C-04 + caché C-05 + acceso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Fibra interna + respaldo celular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Habilitación local, credenciales y sincronización.</w:t>
            </w:r>
          </w:p>
        </w:tc>
      </w:tr>
      <w:tr>
        <w:trPr>
          <w:cantSplit/>
        </w:trPr>
        <w:tc>
          <w:tcPr>
            <w:tcW w:type="dxa" w:w="1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E-02 Planta</w:t>
            </w:r>
          </w:p>
        </w:tc>
        <w:tc>
          <w:tcPr>
            <w:tcW w:type="dxa" w:w="23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C-04 + C-14 + buffer C-09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Fibra segregada</w:t>
            </w:r>
          </w:p>
        </w:tc>
        <w:tc>
          <w:tcPr>
            <w:tcW w:type="dxa" w:w="3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Historiador OPC UA sólo lectura; cadena de muestras.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E-03 Relaves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C-04 + adquisición ambiental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Radio existente + respaldo a validar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Intermitencia y obligaciones de monitoreo.</w:t>
            </w:r>
          </w:p>
        </w:tc>
      </w:tr>
      <w:tr>
        <w:trPr>
          <w:cantSplit/>
        </w:trPr>
        <w:tc>
          <w:tcPr>
            <w:tcW w:type="dxa" w:w="1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E-04 Acopio de puerto</w:t>
            </w:r>
          </w:p>
        </w:tc>
        <w:tc>
          <w:tcPr>
            <w:tcW w:type="dxa" w:w="23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C-04 + báscula/muestras</w:t>
            </w:r>
          </w:p>
        </w:tc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VPN tercero + celular independiente</w:t>
            </w:r>
          </w:p>
        </w:tc>
        <w:tc>
          <w:tcPr>
            <w:tcW w:type="dxa" w:w="3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Tercero sin SLA; cola local.</w:t>
            </w:r>
          </w:p>
        </w:tc>
      </w:tr>
    </w:tbl>
    <w:p>
      <w:pPr>
        <w:spacing w:after="20"/>
      </w:pPr>
    </w:p>
    <w:p>
      <w:r>
        <w:t>Cada gabinete tiene dos servidores industriales active-passive, dos routers, dos switches, RAID1, UPS local, sensores y control de acceso; además existe un repuesto precargado en Faena por tipo crítico. Esta redundancia física sostiene RTO de terreno &lt;=1 h aun cuando falle un nodo o un disco.</w:t>
      </w:r>
    </w:p>
    <w:p>
      <w:pPr>
        <w:pStyle w:val="Heading2"/>
        <w:keepNext/>
      </w:pPr>
      <w:r>
        <w:t>9.1 Dispositivos y autenticación</w:t>
      </w:r>
    </w:p>
    <w:p>
      <w:pPr>
        <w:pStyle w:val="ListBullet"/>
      </w:pPr>
      <w:r>
        <w:t>176 tabletas rugerizadas: 160 en operación simultánea y 16 de stock (10%). IP65, caída &gt;=1,2 m, sol directo, guantes, batería de turno, NFC, GNSS, LTE/5G, cifrado y MDM.</w:t>
      </w:r>
    </w:p>
    <w:p>
      <w:pPr>
        <w:pStyle w:val="ListBullet"/>
      </w:pPr>
      <w:r>
        <w:t>9.900 credenciales seguras: peak de 9.000 personas a tres años más 10% de reposición. En terreno basta acercamiento sobre dispositivo inventariado; PIN corto fuera del ciclo productivo cuando corresponda.</w:t>
      </w:r>
    </w:p>
    <w:p>
      <w:pPr>
        <w:pStyle w:val="ListBullet"/>
      </w:pPr>
      <w:r>
        <w:t>10 lectores fijos RFID/código, 77 etiquetas industriales para equipos/camiones, 24 lectores de muestras y 10 impresoras de etiquetas con consumibles para 78.000 muestras/año más 15% de merma.</w:t>
      </w:r>
    </w:p>
    <w:p>
      <w:pPr>
        <w:pStyle w:val="ListBullet"/>
      </w:pPr>
      <w:r>
        <w:t>49 instrumentos ambientales/geotécnicos: expansión neta de 44 (186 a 230) más 5 para repuesto/calibración; compatibilidad final sujeta al levantamiento de protocolos existentes.</w:t>
      </w:r>
    </w:p>
    <w:p>
      <w:pPr>
        <w:pStyle w:val="Heading2"/>
        <w:keepNext/>
      </w:pPr>
      <w:r>
        <w:t>9.2 Representación correcta de las básculas</w:t>
      </w:r>
    </w:p>
    <w:p>
      <w:r>
        <w:t>La báscula no es un componente C-xx. Es un instrumento físico existente. La báscula de salida de descarga y la del despacho a puerto ingresan mediante gateway industrial a C-04, que publica PesajeCapturado hacia C-01/C-08. El pesaje de a bordo entra por C-10. La balanza de alimentación de planta entra por C-14 desde el historiador. Las tres mediciones se conservan con origen, calibración y tiempo; ninguna sobrescribe a otra.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Flujo para el diagrama posterior. </w:t>
            </w:r>
            <w:r>
              <w:t>Báscula -&gt; gateway/interfaz industrial -&gt; switch edge -&gt; C-04 -&gt; puerta operacional C-22 -&gt; C-01/C-08. Balanza de planta -&gt; historiador -&gt; C-14 sólo lectura -&gt; C-22 -&gt; C-01/C-08.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Operación desconectada y sincronización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Disponible 48 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Inicio/cierre de sesión local; acercamiento de credencial; carguío, transporte, descarga, pesaje, inspecciones, incidentes, muestras y movimientos de stock.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No disponible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Alta de contratista, cambios maestros, conciliación/cierre, liberación de lote, publicación externa, tableros centrales y telemetría de portales web.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Persistencia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C-03 SQLite cifrado + C-04 PostgreSQL en RAID1. ID único en origen, firma, reloj monótono y contador visible de pendientes.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Reconexión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Reintento con backoff, lotes y QoS; deduplicación e idempotencia; bitácora de conflictos; término &lt;=4 h sin degradar captura en curso.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Capacidad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1,5 GB en 20 h -&gt; 3,6 GB en 48 h; con 30% de holgura, mínimo 4,68 GB. Los SSD de 1,92 TB en espejo cubren cola, logs y actualizaciones con amplio margen.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Integración OPC UA y segregación TI/TO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Implementación verificable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Ruta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Historiador OT -&gt; firewall industrial -&gt; C-14 en DMZ TI/TO. No existe ruta cloud/TI hacia PLC o DCS.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Identidad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Certificados mutuos, endpoint allowlist y cuenta dedicada de sólo lectura.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Operaciones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Read/Subscribe permitidos según lista; Write y Call denegados y auditados.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Disponibilidad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Dos instancias C-14 sobre nodos distintos; buffer local y supervisión de certificado/latencia.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Prueba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Lectura positiva de señal autorizada; Write/Call negativos; trazado de rutas; revisión IEC 62443.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Capacidad, almacenamiento y comunicaciones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49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Decisión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Usuarios/concurrencia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9.000 registrados; 400 normales; 900 peak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Escalado anticipado en detenciones mayores.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Transacciones</w:t>
            </w:r>
          </w:p>
        </w:tc>
        <w:tc>
          <w:tcPr>
            <w:tcW w:type="dxa" w:w="2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40 TPS normal; 200 TPS peak por 45-60 min</w:t>
            </w:r>
          </w:p>
        </w:tc>
        <w:tc>
          <w:tcPr>
            <w:tcW w:type="dxa" w:w="49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Autoscaling central y consumidores con backpressure.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6 TB históricos + 3 TB/año = 15 TB lógicos a 3 años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Objetivo sin rediseño: 3x15x1,30 = 58,5 TB antes de copias; object storage y archivo absorben retención.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Faena</w:t>
            </w:r>
          </w:p>
        </w:tc>
        <w:tc>
          <w:tcPr>
            <w:tcW w:type="dxa" w:w="2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20 Mbps normal / 50 Mbps peak</w:t>
            </w:r>
          </w:p>
        </w:tc>
        <w:tc>
          <w:tcPr>
            <w:tcW w:type="dxa" w:w="49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Dos enlaces de 100 Mbps; peak &lt;=50% de un enlace.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Sitios remotos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2-5 Mbps estimados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Objetivo 10 Mbps por enlace con respaldo; registro crítico &lt;1 Mbps.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Edge</w:t>
            </w:r>
          </w:p>
        </w:tc>
        <w:tc>
          <w:tcPr>
            <w:tcW w:type="dxa" w:w="2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3,6 GB por 48 h + 30% = 4,68 GB</w:t>
            </w:r>
          </w:p>
        </w:tc>
        <w:tc>
          <w:tcPr>
            <w:tcW w:type="dxa" w:w="49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2x1,92 TB RAID1 por nodo permite cola, logs, caché y margen.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Crecimiento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Triple de volumetría inicial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Escala cloud horizontal; agregar nodos/discos sin cambiar componentes ni contratos.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Alta disponibilidad, respaldo y recuperación</w:t>
      </w:r>
    </w:p>
    <w:p>
      <w:pPr>
        <w:pStyle w:val="ListBullet"/>
      </w:pPr>
      <w:r>
        <w:t>Infraestructura crítica 99,95%; transacción operacional crítica de extremo a extremo 99,9%.</w:t>
      </w:r>
    </w:p>
    <w:p>
      <w:pPr>
        <w:pStyle w:val="ListBullet"/>
      </w:pPr>
      <w:r>
        <w:t>Servidor, core, firewall, router, fuentes, circuitos y carrier críticos sin punto único de falla. Almacenamiento edge RAID1; arrays de sala RAID6 con doble controladora y hot spare.</w:t>
      </w:r>
    </w:p>
    <w:p>
      <w:pPr>
        <w:pStyle w:val="ListBullet"/>
      </w:pPr>
      <w:r>
        <w:t>Respaldo 3-2-1-1-0: producción, copia local y copia fuera de sitio; dos medios; una fuera; una inmutable; cero errores en verificación.</w:t>
      </w:r>
    </w:p>
    <w:p>
      <w:pPr>
        <w:pStyle w:val="ListBullet"/>
      </w:pPr>
      <w:r>
        <w:t>Restauración mensual por muestra y recuperación completa semestral; backup cifrado con llaves y cuentas independientes.</w:t>
      </w:r>
    </w:p>
    <w:p>
      <w:pPr>
        <w:pStyle w:val="ListBullet"/>
      </w:pPr>
      <w:r>
        <w:t>Azure Chile Central usa dos o más zonas para HA. Brazil South conserva recuperación regional; CIO cubre recuperación on-premise de servicios críticos.</w:t>
      </w:r>
    </w:p>
    <w:p>
      <w:pPr>
        <w:pStyle w:val="Heading1"/>
        <w:keepNext/>
      </w:pPr>
      <w:r>
        <w:t>14. Seguridad, operación y ciclo de vida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7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Zero Trust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Denegar por defecto; MFA/PAM; postura de dispositivo; mTLS; microsegmentación; secretos rotados.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Hardening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CIS Benchmarks aplicables, firmware firmado, Secure Boot/TPM, parches centralizados y ventanas acordadas.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EDR/SIEM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Endpoints y cargas cloud/on-premise integrados a SOC/NOC 24x7; 12 meses en línea + 24 en archivo.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Gestión de flota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Inventario, asignación, versión, última sincronización, bloqueo/borrado remoto y actualización por anillos.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Repuestos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&gt;=10% en terreno; componentes críticos en Chile; reemplazo crítico &lt;=4 h y terreno &lt;=24 h.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Ciclo de vida</w:t>
            </w:r>
          </w:p>
        </w:tc>
        <w:tc>
          <w:tcPr>
            <w:tcW w:type="dxa" w:w="7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Recepción, puesta en servicio, mantención, actualización, retiro, sanitización verificable y gestor autorizado de residuos.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Terceros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Acceso acompañado, temporal, aprobado, registrado y sin credenciales permanentes de producción.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Formulario T-11 y responsabilidades</w:t>
      </w:r>
    </w:p>
    <w:p>
      <w:r>
        <w:t>El Formulario T-11 v1.0 contiene 50 ítems trazables. La hoja oficial mantiene Producto/servicio, Ubicación/Lugar, Cantidad y Justificación. Las fichas anexas agregan marca/modelo, versión, responsable, interfaces, redundancia, garantía, repuestos, ciclo de vida y requisito fuente.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1900"/>
        <w:gridCol w:w="47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Ítems</w:t>
            </w:r>
          </w:p>
        </w:tc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Nube/plataforma/datos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OVERFORE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Servicios Azure, plataforma, bases, eventos, seguridad, observabilidad e IaC.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Sites y comunicaciones</w:t>
            </w:r>
          </w:p>
        </w:tc>
        <w:tc>
          <w:tcPr>
            <w:tcW w:type="dxa" w:w="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Mixto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Servidores, storage, backup, red, carriers, racks, energía, clima, incendio, acceso y puestos.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Edge e integración OT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OVERFORE / CLIENTE gabinete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9 servidores, 9 routers, 9 switches, 4 gabinetes y 2 instancias OPC UA.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Terreno nuevo</w:t>
            </w:r>
          </w:p>
        </w:tc>
        <w:tc>
          <w:tcPr>
            <w:tcW w:type="dxa" w:w="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CLIENTE compra; OVERFORE especifica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Tabletas, credenciales, lectores, etiquetas, muestras, instrumentos y conectividad.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Equipamiento existente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CLIENTE mantiene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Básculas, pesaje de a bordo y balanza/historiador; integración sin reemplazo.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Tratamiento de precios. </w:t>
            </w:r>
            <w:r>
              <w:t>Las Bases Administrativas prohíben precios en los formularios técnicos del Sobre N.º 2. Por ello el T-11 técnico no contiene montos. El costo unitario estimado de RT-08.10 se traspasará al sobre económico usando los mismos ID T11, sin alterar cantidades ni modelos.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Decisiones, supuestos y validaciones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  <w:cantSplit/>
        </w:trPr>
        <w:tc>
          <w:tcPr>
            <w:tcW w:type="dxa" w:w="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Cierre requerido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Sala Faena/CIO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Levantamiento eléctrico, térmico, estructural, incendio, superficie y rutas. Ajusta potencia/modelos, no roles.</w:t>
            </w:r>
          </w:p>
        </w:tc>
      </w:tr>
      <w:tr>
        <w:trPr>
          <w:cantSplit/>
        </w:trPr>
        <w:tc>
          <w:tcPr>
            <w:tcW w:type="dxa" w:w="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VAL-02</w:t>
            </w:r>
          </w:p>
        </w:tc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Cobertura RF</w:t>
            </w:r>
          </w:p>
        </w:tc>
        <w:tc>
          <w:tcPr>
            <w:tcW w:type="dxa" w:w="66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Mapa de sombras y evolución del rajo. La construcción de red sigue fuera del alcance de OVERFORE.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Protocolos existentes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Versiones e interfaces de básculas, LIMS, despacho, historiador, torniquetes y sensores.</w:t>
            </w:r>
          </w:p>
        </w:tc>
      </w:tr>
      <w:tr>
        <w:trPr>
          <w:cantSplit/>
        </w:trPr>
        <w:tc>
          <w:tcPr>
            <w:tcW w:type="dxa" w:w="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VAL-04</w:t>
            </w:r>
          </w:p>
        </w:tc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Credenciales</w:t>
            </w:r>
          </w:p>
        </w:tc>
        <w:tc>
          <w:tcPr>
            <w:tcW w:type="dxa" w:w="66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Compatibilidad de la tecnología actual. Si cumple criptografía y operación offline, se reutiliza y se reduce compra.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Cargas reales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Perfil CPU/RAM/IOPS, payload y retención por prueba de concepto; gatillo de expansión al 70% sostenido.</w:t>
            </w:r>
          </w:p>
        </w:tc>
      </w:tr>
      <w:tr>
        <w:trPr>
          <w:cantSplit/>
        </w:trPr>
        <w:tc>
          <w:tcPr>
            <w:tcW w:type="dxa" w:w="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VAL-06</w:t>
            </w:r>
          </w:p>
        </w:tc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Diversidad WAN</w:t>
            </w:r>
          </w:p>
        </w:tc>
        <w:tc>
          <w:tcPr>
            <w:tcW w:type="dxa" w:w="66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Trazas físicas y puntos de entrada de carriers; contratos distintos no prueban ductos distintos.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VAL-07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Modelos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Disponibilidad, soporte y altura/rango térmico al cotizar; se acepta equivalente que supere ficha.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Criterios de aceptación del diseño físico</w:t>
      </w:r>
    </w:p>
    <w:p>
      <w:pPr>
        <w:pStyle w:val="ListBullet"/>
      </w:pPr>
      <w:r>
        <w:t>Cada C-01 a C-22 aparece una sola vez como componente lógico, con todas sus réplicas/ubicaciones físicas identificadas.</w:t>
      </w:r>
    </w:p>
    <w:p>
      <w:pPr>
        <w:pStyle w:val="ListBullet"/>
      </w:pPr>
      <w:r>
        <w:t>No existe ruta directa Internet-datos ni cloud/TI-PLC/DCS; las pruebas Write/Call OPC UA son denegadas y auditadas.</w:t>
      </w:r>
    </w:p>
    <w:p>
      <w:pPr>
        <w:pStyle w:val="ListBullet"/>
      </w:pPr>
      <w:r>
        <w:t>La pérdida de un nodo, disco, switch, firewall, fuente, circuito o carrier no detiene la captura operacional.</w:t>
      </w:r>
    </w:p>
    <w:p>
      <w:pPr>
        <w:pStyle w:val="ListBullet"/>
      </w:pPr>
      <w:r>
        <w:t>Los cuatro C-04 operan 48 h sin enlace y vacían la cola en &lt;=4 h, sin duplicados, pérdida ni intervención manual.</w:t>
      </w:r>
    </w:p>
    <w:p>
      <w:pPr>
        <w:pStyle w:val="ListBullet"/>
      </w:pPr>
      <w:r>
        <w:t>La promoción del CIO alcanza RTO &lt;=4 h y RPO &lt;=15 min; el retorno evita split-brain y reconcilia cambios.</w:t>
      </w:r>
    </w:p>
    <w:p>
      <w:pPr>
        <w:pStyle w:val="ListBullet"/>
      </w:pPr>
      <w:r>
        <w:t>El dimensionamiento demuestra 200 TPS, 900 concurrentes, triple volumetría y margen de enlaces/almacenamiento.</w:t>
      </w:r>
    </w:p>
    <w:p>
      <w:pPr>
        <w:pStyle w:val="ListBullet"/>
      </w:pPr>
      <w:r>
        <w:t>T-11 y oferta económica conservan los mismos ID, cantidades, responsables y modelos de referencia.</w:t>
      </w:r>
    </w:p>
    <w:p>
      <w:pPr>
        <w:pStyle w:val="ListBullet"/>
      </w:pPr>
      <w:r>
        <w:t>Sala principal/secundaria acreditan planos, rack occupancy, kW/PF/PUE, energía, clima, incendio, acceso, CCTV y rutas.</w:t>
      </w:r>
    </w:p>
    <w:p>
      <w:pPr>
        <w:pStyle w:val="Heading1"/>
        <w:keepNext/>
      </w:pPr>
      <w:r>
        <w:t>18. Referencias</w:t>
      </w:r>
    </w:p>
    <w:p>
      <w:pPr>
        <w:pStyle w:val="ListBullet"/>
      </w:pPr>
      <w:r>
        <w:t>Pontificia Universidad Católica de Valparaíso. (2026). Bases Administrativas TFEP-01/2026.</w:t>
      </w:r>
    </w:p>
    <w:p>
      <w:pPr>
        <w:pStyle w:val="ListBullet"/>
      </w:pPr>
      <w:r>
        <w:t>Pontificia Universidad Católica de Valparaíso. (2026). Bases Técnicas Transversales TFEP-01/2026.</w:t>
      </w:r>
    </w:p>
    <w:p>
      <w:pPr>
        <w:pStyle w:val="ListBullet"/>
      </w:pPr>
      <w:r>
        <w:t>Pontificia Universidad Católica de Valparaíso. (2026). Caso 01 - Minería: Bases Técnicas del Caso.</w:t>
      </w:r>
    </w:p>
    <w:p>
      <w:pPr>
        <w:pStyle w:val="ListBullet"/>
      </w:pPr>
      <w:r>
        <w:t>OVERFORE S.A. (2026). Subdocumento 4.1 - Arquitectura Lógica, v4.2.</w:t>
      </w:r>
    </w:p>
    <w:p>
      <w:pPr>
        <w:pStyle w:val="ListBullet"/>
      </w:pPr>
      <w:r>
        <w:t>OVERFORE S.A. (2026). Subdocumento 5 - Modelo y gestión de datos, v2.1.</w:t>
      </w:r>
    </w:p>
    <w:p>
      <w:pPr>
        <w:pStyle w:val="ListBullet"/>
      </w:pPr>
      <w:r>
        <w:t>OVERFORE S.A. (2026). Matriz de Distribución Nube-Faena-CIO, v1.0.</w:t>
      </w:r>
    </w:p>
    <w:p>
      <w:pPr>
        <w:pStyle w:val="ListBullet"/>
      </w:pPr>
      <w:r>
        <w:t>International Electrotechnical Commission. IEC 62443 - Security for industrial automation and control systems.</w:t>
      </w:r>
    </w:p>
    <w:p>
      <w:pPr>
        <w:pStyle w:val="ListBullet"/>
      </w:pPr>
      <w:r>
        <w:t>National Institute of Standards and Technology. NIST SP 800-207 - Zero Trust Architecture.</w:t>
      </w:r>
    </w:p>
    <w:p>
      <w:pPr>
        <w:pStyle w:val="ListBullet"/>
      </w:pPr>
      <w:r>
        <w:t>Microsoft. Azure regions list. https://learn.microsoft.com/azure/reliability/regions-list</w:t>
      </w:r>
    </w:p>
    <w:p>
      <w:pPr>
        <w:pStyle w:val="ListBullet"/>
      </w:pPr>
      <w:r>
        <w:t>Microsoft. Azure availability zones overview. https://learn.microsoft.com/azure/reliability/availability-zones-overview</w:t>
      </w:r>
    </w:p>
    <w:p>
      <w:pPr>
        <w:pStyle w:val="ListBullet"/>
      </w:pPr>
      <w:r>
        <w:t>Dell Technologies. PowerEdge XR4000 documentation. https://www.dell.com/support/product-details/en-us/product/poweredge-xr4000/docs</w:t>
      </w:r>
    </w:p>
    <w:p>
      <w:pPr>
        <w:pStyle w:val="ListBullet"/>
      </w:pPr>
      <w:r>
        <w:t>Cisco. Catalyst IE3400 Rugged Series. https://www.cisco.com/c/en/us/products/switches/catalyst-ie3400-rugged-series/index.html</w:t>
      </w:r>
    </w:p>
    <w:p>
      <w:pPr>
        <w:pStyle w:val="ListBullet"/>
      </w:pPr>
      <w:r>
        <w:t>Cisco. Catalyst IR1101 Rugged Series Router. https://www.cisco.com/c/en/us/products/routers/catalyst-ir1101-rugged-series-router/index.html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7"/>
      </w:rPr>
      <w:t xml:space="preserve">Arquitectura física y especificaciones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7"/>
      </w:rPr>
      <w:t>OVERFORE S.A. | TFEP-01/2026 | SUBDOCUMENTO 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80" w:after="80"/>
    </w:pPr>
    <w:rPr>
      <w:rFonts w:ascii="Calibri" w:hAnsi="Calibr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Subdocumento 4.2 - Arquitectura física y especificaciones</dc:title>
  <dc:subject>TFEP-01/2026 Caso 01 Minería</dc:subject>
  <dc:creator>OVERFORE S.A. - Grupo 3</dc:creator>
  <cp:keywords>arquitectura física, Azure, edge, CIO, OPC UA, T-11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