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D2B45"/>
          <w:sz w:val="38"/>
        </w:rPr>
        <w:t>Subdocumento 5 — Modelo y gestión de datos</w:t>
      </w:r>
    </w:p>
    <w:p>
      <w:pPr>
        <w:jc w:val="both"/>
      </w:pPr>
      <w:r>
        <w:rPr>
          <w:color w:val="5B6878"/>
          <w:sz w:val="23"/>
        </w:rPr>
        <w:t>Licitación TFEP-01/2026 · Caso 01 Minería · Compañía Minera Altos de Aranda S.A.</w:t>
      </w:r>
    </w:p>
    <w:tbl>
      <w:tblPr>
        <w:tblStyle w:val="TableGrid"/>
        <w:tblW w:type="auto" w:w="0"/>
        <w:jc w:val="center"/>
        <w:tblLook w:firstColumn="1" w:firstRow="1" w:lastColumn="0" w:lastRow="0" w:noHBand="0" w:noVBand="1" w:val="04A0"/>
      </w:tblPr>
      <w:tblGrid>
        <w:gridCol w:w="4876"/>
        <w:gridCol w:w="4876"/>
      </w:tblGrid>
      <w:tr>
        <w:tc>
          <w:tcPr>
            <w:tcW w:type="dxa" w:w="4876"/>
            <w:shd w:val="clear" w:fill="F4F7FB"/>
          </w:tcPr>
          <w:p>
            <w:pPr>
              <w:spacing w:after="20"/>
            </w:pPr>
            <w:r/>
            <w:r>
              <w:rPr>
                <w:sz w:val="17"/>
              </w:rPr>
              <w:t>Proponente</w:t>
            </w:r>
          </w:p>
        </w:tc>
        <w:tc>
          <w:tcPr>
            <w:tcW w:type="dxa" w:w="4876"/>
          </w:tcPr>
          <w:p>
            <w:pPr>
              <w:spacing w:after="20"/>
            </w:pPr>
            <w:r/>
            <w:r>
              <w:rPr>
                <w:sz w:val="17"/>
              </w:rPr>
              <w:t>OVERFORE S.A.</w:t>
            </w:r>
          </w:p>
        </w:tc>
      </w:tr>
      <w:tr>
        <w:tc>
          <w:tcPr>
            <w:tcW w:type="dxa" w:w="4876"/>
            <w:shd w:val="clear" w:fill="F4F7FB"/>
          </w:tcPr>
          <w:p>
            <w:pPr>
              <w:spacing w:after="20"/>
            </w:pPr>
            <w:r/>
            <w:r>
              <w:rPr>
                <w:sz w:val="17"/>
              </w:rPr>
              <w:t>Contenido</w:t>
            </w:r>
          </w:p>
        </w:tc>
        <w:tc>
          <w:tcPr>
            <w:tcW w:type="dxa" w:w="4876"/>
          </w:tcPr>
          <w:p>
            <w:pPr>
              <w:spacing w:after="20"/>
            </w:pPr>
            <w:r/>
            <w:r>
              <w:rPr>
                <w:sz w:val="17"/>
              </w:rPr>
              <w:t>Dominio de información · Selección del motor y del paradigma de persistencia · Estrategia de migración, saneamiento, validación y conciliación de los datos históricos · Estrategia de desempeño · Separación transaccional y analítica, y modelo de explotación · Calidad de datos, retención, archivado y eliminación segura</w:t>
            </w:r>
          </w:p>
        </w:tc>
      </w:tr>
      <w:tr>
        <w:tc>
          <w:tcPr>
            <w:tcW w:type="dxa" w:w="4876"/>
            <w:shd w:val="clear" w:fill="F4F7FB"/>
          </w:tcPr>
          <w:p>
            <w:pPr>
              <w:spacing w:after="20"/>
            </w:pPr>
            <w:r/>
            <w:r>
              <w:rPr>
                <w:sz w:val="17"/>
              </w:rPr>
              <w:t>Anexo</w:t>
            </w:r>
          </w:p>
        </w:tc>
        <w:tc>
          <w:tcPr>
            <w:tcW w:type="dxa" w:w="4876"/>
          </w:tcPr>
          <w:p>
            <w:pPr>
              <w:spacing w:after="20"/>
            </w:pPr>
            <w:r/>
            <w:r>
              <w:rPr>
                <w:sz w:val="17"/>
              </w:rPr>
              <w:t xml:space="preserve">Diccionario de datos: planilla </w:t>
            </w:r>
            <w:r>
              <w:rPr>
                <w:rFonts w:ascii="Consolas" w:hAnsi="Consolas"/>
                <w:sz w:val="15"/>
              </w:rPr>
              <w:t>Diccionario_Datos_Overfore_v2.1.xlsx</w:t>
            </w:r>
            <w:r>
              <w:rPr>
                <w:sz w:val="17"/>
              </w:rPr>
              <w:t>, con las hojas Diccionario, Entidades, Dominios y Decisiones 16.1</w:t>
            </w:r>
          </w:p>
        </w:tc>
      </w:tr>
      <w:tr>
        <w:tc>
          <w:tcPr>
            <w:tcW w:type="dxa" w:w="4876"/>
            <w:shd w:val="clear" w:fill="F4F7FB"/>
          </w:tcPr>
          <w:p>
            <w:pPr>
              <w:spacing w:after="20"/>
            </w:pPr>
            <w:r/>
            <w:r>
              <w:rPr>
                <w:sz w:val="17"/>
              </w:rPr>
              <w:t>Versión</w:t>
            </w:r>
          </w:p>
        </w:tc>
        <w:tc>
          <w:tcPr>
            <w:tcW w:type="dxa" w:w="4876"/>
          </w:tcPr>
          <w:p>
            <w:pPr>
              <w:spacing w:after="20"/>
            </w:pPr>
            <w:r/>
            <w:r>
              <w:rPr>
                <w:sz w:val="17"/>
              </w:rPr>
              <w:t>2.1 — 2 de septiembre de 2026</w:t>
            </w:r>
          </w:p>
        </w:tc>
      </w:tr>
    </w:tbl>
    <w:p>
      <w:pPr>
        <w:spacing w:after="40"/>
      </w:pPr>
    </w:p>
    <w:p>
      <w:pPr>
        <w:keepNext/>
        <w:spacing w:before="280" w:after="80"/>
      </w:pPr>
      <w:r>
        <w:rPr>
          <w:b/>
          <w:color w:val="0D2B45"/>
          <w:sz w:val="28"/>
        </w:rPr>
        <w:t>1. Dominio de información</w:t>
      </w:r>
    </w:p>
    <w:p>
      <w:pPr>
        <w:keepNext/>
        <w:spacing w:before="200" w:after="80"/>
      </w:pPr>
      <w:r>
        <w:rPr>
          <w:b/>
          <w:color w:val="1F4D75"/>
          <w:sz w:val="23"/>
        </w:rPr>
        <w:t>1.1 Los nueve dominios de datos</w:t>
      </w:r>
    </w:p>
    <w:p>
      <w:pPr>
        <w:jc w:val="both"/>
      </w:pPr>
      <w:r>
        <w:rPr>
          <w:sz w:val="20"/>
        </w:rPr>
        <w:t>El dominio de datos coincide con el límite de contexto de la arquitectura lógica: cada uno tiene un agregado raíz, un propietario funcional y una frontera declarada. Es la unidad sobre la que se declaran el paradigma de persistencia, la posición CAP y la retención.</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shd w:val="clear" w:fill="E7EEF6"/>
          </w:tcPr>
          <w:p>
            <w:pPr>
              <w:spacing w:after="20"/>
            </w:pPr>
            <w:r/>
            <w:r>
              <w:rPr>
                <w:b/>
                <w:sz w:val="17"/>
              </w:rPr>
              <w:t>Dominio</w:t>
            </w:r>
          </w:p>
        </w:tc>
        <w:tc>
          <w:tcPr>
            <w:tcW w:type="dxa" w:w="1950"/>
            <w:shd w:val="clear" w:fill="E7EEF6"/>
          </w:tcPr>
          <w:p>
            <w:pPr>
              <w:spacing w:after="20"/>
            </w:pPr>
            <w:r/>
            <w:r>
              <w:rPr>
                <w:b/>
                <w:sz w:val="17"/>
              </w:rPr>
              <w:t>Agregado raíz</w:t>
            </w:r>
          </w:p>
        </w:tc>
        <w:tc>
          <w:tcPr>
            <w:tcW w:type="dxa" w:w="1950"/>
            <w:shd w:val="clear" w:fill="E7EEF6"/>
          </w:tcPr>
          <w:p>
            <w:pPr>
              <w:spacing w:after="20"/>
            </w:pPr>
            <w:r/>
            <w:r>
              <w:rPr>
                <w:b/>
                <w:sz w:val="17"/>
              </w:rPr>
              <w:t>Qué contiene</w:t>
            </w:r>
          </w:p>
        </w:tc>
        <w:tc>
          <w:tcPr>
            <w:tcW w:type="dxa" w:w="1950"/>
            <w:shd w:val="clear" w:fill="E7EEF6"/>
          </w:tcPr>
          <w:p>
            <w:pPr>
              <w:spacing w:after="20"/>
            </w:pPr>
            <w:r/>
            <w:r>
              <w:rPr>
                <w:b/>
                <w:sz w:val="17"/>
              </w:rPr>
              <w:t>Propietario funcional</w:t>
            </w:r>
          </w:p>
        </w:tc>
        <w:tc>
          <w:tcPr>
            <w:tcW w:type="dxa" w:w="1950"/>
            <w:shd w:val="clear" w:fill="E7EEF6"/>
          </w:tcPr>
          <w:p>
            <w:pPr>
              <w:spacing w:after="20"/>
            </w:pPr>
            <w:r/>
            <w:r>
              <w:rPr>
                <w:b/>
                <w:sz w:val="17"/>
              </w:rPr>
              <w:t>Retención</w:t>
            </w:r>
          </w:p>
        </w:tc>
      </w:tr>
      <w:tr>
        <w:tc>
          <w:tcPr>
            <w:tcW w:type="dxa" w:w="1950"/>
          </w:tcPr>
          <w:p>
            <w:pPr>
              <w:spacing w:after="20"/>
            </w:pPr>
            <w:r/>
            <w:r>
              <w:rPr>
                <w:sz w:val="17"/>
              </w:rPr>
              <w:t>Mineral</w:t>
            </w:r>
          </w:p>
        </w:tc>
        <w:tc>
          <w:tcPr>
            <w:tcW w:type="dxa" w:w="1950"/>
          </w:tcPr>
          <w:p>
            <w:pPr>
              <w:spacing w:after="20"/>
            </w:pPr>
            <w:r/>
            <w:r>
              <w:rPr>
                <w:sz w:val="17"/>
              </w:rPr>
              <w:t>El viaje de camión de extracción</w:t>
            </w:r>
          </w:p>
        </w:tc>
        <w:tc>
          <w:tcPr>
            <w:tcW w:type="dxa" w:w="1950"/>
          </w:tcPr>
          <w:p>
            <w:pPr>
              <w:spacing w:after="20"/>
            </w:pPr>
            <w:r/>
            <w:r>
              <w:rPr>
                <w:sz w:val="17"/>
              </w:rPr>
              <w:t>Polígono, viaje, pesaje, stock, aporte, retoma, lote de chancado, lote comercial, plan versionado, conciliación</w:t>
            </w:r>
          </w:p>
        </w:tc>
        <w:tc>
          <w:tcPr>
            <w:tcW w:type="dxa" w:w="1950"/>
          </w:tcPr>
          <w:p>
            <w:pPr>
              <w:spacing w:after="20"/>
            </w:pPr>
            <w:r/>
            <w:r>
              <w:rPr>
                <w:sz w:val="17"/>
              </w:rPr>
              <w:t>Superintendencia de Planificación Minera y Gerencia de Operaciones Mina</w:t>
            </w:r>
          </w:p>
        </w:tc>
        <w:tc>
          <w:tcPr>
            <w:tcW w:type="dxa" w:w="1950"/>
          </w:tcPr>
          <w:p>
            <w:pPr>
              <w:spacing w:after="20"/>
            </w:pPr>
            <w:r/>
            <w:r>
              <w:rPr>
                <w:sz w:val="17"/>
              </w:rPr>
              <w:t>10 años</w:t>
            </w:r>
          </w:p>
        </w:tc>
      </w:tr>
      <w:tr>
        <w:tc>
          <w:tcPr>
            <w:tcW w:type="dxa" w:w="1950"/>
          </w:tcPr>
          <w:p>
            <w:pPr>
              <w:spacing w:after="20"/>
            </w:pPr>
            <w:r/>
            <w:r>
              <w:rPr>
                <w:sz w:val="17"/>
              </w:rPr>
              <w:t>Terreno</w:t>
            </w:r>
          </w:p>
        </w:tc>
        <w:tc>
          <w:tcPr>
            <w:tcW w:type="dxa" w:w="1950"/>
          </w:tcPr>
          <w:p>
            <w:pPr>
              <w:spacing w:after="20"/>
            </w:pPr>
            <w:r/>
            <w:r>
              <w:rPr>
                <w:sz w:val="17"/>
              </w:rPr>
              <w:t>El evento de terreno</w:t>
            </w:r>
          </w:p>
        </w:tc>
        <w:tc>
          <w:tcPr>
            <w:tcW w:type="dxa" w:w="1950"/>
          </w:tcPr>
          <w:p>
            <w:pPr>
              <w:spacing w:after="20"/>
            </w:pPr>
            <w:r/>
            <w:r>
              <w:rPr>
                <w:sz w:val="17"/>
              </w:rPr>
              <w:t>Evento firmado con identificador de dispositivo, sesión de operador, cola de sincronización</w:t>
            </w:r>
          </w:p>
        </w:tc>
        <w:tc>
          <w:tcPr>
            <w:tcW w:type="dxa" w:w="1950"/>
          </w:tcPr>
          <w:p>
            <w:pPr>
              <w:spacing w:after="20"/>
            </w:pPr>
            <w:r/>
            <w:r>
              <w:rPr>
                <w:sz w:val="17"/>
              </w:rPr>
              <w:t>Gerencia de Operaciones Mina</w:t>
            </w:r>
          </w:p>
        </w:tc>
        <w:tc>
          <w:tcPr>
            <w:tcW w:type="dxa" w:w="1950"/>
          </w:tcPr>
          <w:p>
            <w:pPr>
              <w:spacing w:after="20"/>
            </w:pPr>
            <w:r/>
            <w:r>
              <w:rPr>
                <w:sz w:val="17"/>
              </w:rPr>
              <w:t>5 años</w:t>
            </w:r>
          </w:p>
        </w:tc>
      </w:tr>
      <w:tr>
        <w:tc>
          <w:tcPr>
            <w:tcW w:type="dxa" w:w="1950"/>
          </w:tcPr>
          <w:p>
            <w:pPr>
              <w:spacing w:after="20"/>
            </w:pPr>
            <w:r/>
            <w:r>
              <w:rPr>
                <w:sz w:val="17"/>
              </w:rPr>
              <w:t>Personas</w:t>
            </w:r>
          </w:p>
        </w:tc>
        <w:tc>
          <w:tcPr>
            <w:tcW w:type="dxa" w:w="1950"/>
          </w:tcPr>
          <w:p>
            <w:pPr>
              <w:spacing w:after="20"/>
            </w:pPr>
            <w:r/>
            <w:r>
              <w:rPr>
                <w:sz w:val="17"/>
              </w:rPr>
              <w:t>La persona habilitada</w:t>
            </w:r>
          </w:p>
        </w:tc>
        <w:tc>
          <w:tcPr>
            <w:tcW w:type="dxa" w:w="1950"/>
          </w:tcPr>
          <w:p>
            <w:pPr>
              <w:spacing w:after="20"/>
            </w:pPr>
            <w:r/>
            <w:r>
              <w:rPr>
                <w:sz w:val="17"/>
              </w:rPr>
              <w:t>Persona, habilitación, credencial, empresa contratista</w:t>
            </w:r>
          </w:p>
        </w:tc>
        <w:tc>
          <w:tcPr>
            <w:tcW w:type="dxa" w:w="1950"/>
          </w:tcPr>
          <w:p>
            <w:pPr>
              <w:spacing w:after="20"/>
            </w:pPr>
            <w:r/>
            <w:r>
              <w:rPr>
                <w:sz w:val="17"/>
              </w:rPr>
              <w:t>Área de Seguridad y Salud Ocupacional</w:t>
            </w:r>
          </w:p>
        </w:tc>
        <w:tc>
          <w:tcPr>
            <w:tcW w:type="dxa" w:w="1950"/>
          </w:tcPr>
          <w:p>
            <w:pPr>
              <w:spacing w:after="20"/>
            </w:pPr>
            <w:r/>
            <w:r>
              <w:rPr>
                <w:sz w:val="17"/>
              </w:rPr>
              <w:t>10 años</w:t>
            </w:r>
          </w:p>
        </w:tc>
      </w:tr>
      <w:tr>
        <w:tc>
          <w:tcPr>
            <w:tcW w:type="dxa" w:w="1950"/>
          </w:tcPr>
          <w:p>
            <w:pPr>
              <w:spacing w:after="20"/>
            </w:pPr>
            <w:r/>
            <w:r>
              <w:rPr>
                <w:sz w:val="17"/>
              </w:rPr>
              <w:t>Calidad</w:t>
            </w:r>
          </w:p>
        </w:tc>
        <w:tc>
          <w:tcPr>
            <w:tcW w:type="dxa" w:w="1950"/>
          </w:tcPr>
          <w:p>
            <w:pPr>
              <w:spacing w:after="20"/>
            </w:pPr>
            <w:r/>
            <w:r>
              <w:rPr>
                <w:sz w:val="17"/>
              </w:rPr>
              <w:t>La muestra y su análisis</w:t>
            </w:r>
          </w:p>
        </w:tc>
        <w:tc>
          <w:tcPr>
            <w:tcW w:type="dxa" w:w="1950"/>
          </w:tcPr>
          <w:p>
            <w:pPr>
              <w:spacing w:after="20"/>
            </w:pPr>
            <w:r/>
            <w:r>
              <w:rPr>
                <w:sz w:val="17"/>
              </w:rPr>
              <w:t>Punto de muestreo, muestra, análisis, laboratorio, arbitraje</w:t>
            </w:r>
          </w:p>
        </w:tc>
        <w:tc>
          <w:tcPr>
            <w:tcW w:type="dxa" w:w="1950"/>
          </w:tcPr>
          <w:p>
            <w:pPr>
              <w:spacing w:after="20"/>
            </w:pPr>
            <w:r/>
            <w:r>
              <w:rPr>
                <w:sz w:val="17"/>
              </w:rPr>
              <w:t>Superintendencia de Planta Concentradora y Laboratorio</w:t>
            </w:r>
          </w:p>
        </w:tc>
        <w:tc>
          <w:tcPr>
            <w:tcW w:type="dxa" w:w="1950"/>
          </w:tcPr>
          <w:p>
            <w:pPr>
              <w:spacing w:after="20"/>
            </w:pPr>
            <w:r/>
            <w:r>
              <w:rPr>
                <w:sz w:val="17"/>
              </w:rPr>
              <w:t>10 años</w:t>
            </w:r>
          </w:p>
        </w:tc>
      </w:tr>
      <w:tr>
        <w:tc>
          <w:tcPr>
            <w:tcW w:type="dxa" w:w="1950"/>
          </w:tcPr>
          <w:p>
            <w:pPr>
              <w:spacing w:after="20"/>
            </w:pPr>
            <w:r/>
            <w:r>
              <w:rPr>
                <w:sz w:val="17"/>
              </w:rPr>
              <w:t>Activos</w:t>
            </w:r>
          </w:p>
        </w:tc>
        <w:tc>
          <w:tcPr>
            <w:tcW w:type="dxa" w:w="1950"/>
          </w:tcPr>
          <w:p>
            <w:pPr>
              <w:spacing w:after="20"/>
            </w:pPr>
            <w:r/>
            <w:r>
              <w:rPr>
                <w:sz w:val="17"/>
              </w:rPr>
              <w:t>El equipo y su línea de tiempo de estados</w:t>
            </w:r>
          </w:p>
        </w:tc>
        <w:tc>
          <w:tcPr>
            <w:tcW w:type="dxa" w:w="1950"/>
          </w:tcPr>
          <w:p>
            <w:pPr>
              <w:spacing w:after="20"/>
            </w:pPr>
            <w:r/>
            <w:r>
              <w:rPr>
                <w:sz w:val="17"/>
              </w:rPr>
              <w:t>Equipo, detención, turno, pauta de mantenimiento, alarma de fabricante</w:t>
            </w:r>
          </w:p>
        </w:tc>
        <w:tc>
          <w:tcPr>
            <w:tcW w:type="dxa" w:w="1950"/>
          </w:tcPr>
          <w:p>
            <w:pPr>
              <w:spacing w:after="20"/>
            </w:pPr>
            <w:r/>
            <w:r>
              <w:rPr>
                <w:sz w:val="17"/>
              </w:rPr>
              <w:t>Jefatura de Mantenimiento</w:t>
            </w:r>
          </w:p>
        </w:tc>
        <w:tc>
          <w:tcPr>
            <w:tcW w:type="dxa" w:w="1950"/>
          </w:tcPr>
          <w:p>
            <w:pPr>
              <w:spacing w:after="20"/>
            </w:pPr>
            <w:r/>
            <w:r>
              <w:rPr>
                <w:sz w:val="17"/>
              </w:rPr>
              <w:t>5 años</w:t>
            </w:r>
          </w:p>
        </w:tc>
      </w:tr>
      <w:tr>
        <w:tc>
          <w:tcPr>
            <w:tcW w:type="dxa" w:w="1950"/>
          </w:tcPr>
          <w:p>
            <w:pPr>
              <w:spacing w:after="20"/>
            </w:pPr>
            <w:r/>
            <w:r>
              <w:rPr>
                <w:sz w:val="17"/>
              </w:rPr>
              <w:t>Cumplimiento</w:t>
            </w:r>
          </w:p>
        </w:tc>
        <w:tc>
          <w:tcPr>
            <w:tcW w:type="dxa" w:w="1950"/>
          </w:tcPr>
          <w:p>
            <w:pPr>
              <w:spacing w:after="20"/>
            </w:pPr>
            <w:r/>
            <w:r>
              <w:rPr>
                <w:sz w:val="17"/>
              </w:rPr>
              <w:t>El compromiso y su evidencia</w:t>
            </w:r>
          </w:p>
        </w:tc>
        <w:tc>
          <w:tcPr>
            <w:tcW w:type="dxa" w:w="1950"/>
          </w:tcPr>
          <w:p>
            <w:pPr>
              <w:spacing w:after="20"/>
            </w:pPr>
            <w:r/>
            <w:r>
              <w:rPr>
                <w:sz w:val="17"/>
              </w:rPr>
              <w:t>Compromiso, medición ambiental, incidente, inspección, alerta de fatiga</w:t>
            </w:r>
          </w:p>
        </w:tc>
        <w:tc>
          <w:tcPr>
            <w:tcW w:type="dxa" w:w="1950"/>
          </w:tcPr>
          <w:p>
            <w:pPr>
              <w:spacing w:after="20"/>
            </w:pPr>
            <w:r/>
            <w:r>
              <w:rPr>
                <w:sz w:val="17"/>
              </w:rPr>
              <w:t>Gerencia de Sustentabilidad y Área de Seguridad y Salud Ocupacional</w:t>
            </w:r>
          </w:p>
        </w:tc>
        <w:tc>
          <w:tcPr>
            <w:tcW w:type="dxa" w:w="1950"/>
          </w:tcPr>
          <w:p>
            <w:pPr>
              <w:spacing w:after="20"/>
            </w:pPr>
            <w:r/>
            <w:r>
              <w:rPr>
                <w:sz w:val="17"/>
              </w:rPr>
              <w:t>10 años</w:t>
            </w:r>
          </w:p>
        </w:tc>
      </w:tr>
      <w:tr>
        <w:tc>
          <w:tcPr>
            <w:tcW w:type="dxa" w:w="1950"/>
          </w:tcPr>
          <w:p>
            <w:pPr>
              <w:spacing w:after="20"/>
            </w:pPr>
            <w:r/>
            <w:r>
              <w:rPr>
                <w:sz w:val="17"/>
              </w:rPr>
              <w:t>Comercial</w:t>
            </w:r>
          </w:p>
        </w:tc>
        <w:tc>
          <w:tcPr>
            <w:tcW w:type="dxa" w:w="1950"/>
          </w:tcPr>
          <w:p>
            <w:pPr>
              <w:spacing w:after="20"/>
            </w:pPr>
            <w:r/>
            <w:r>
              <w:rPr>
                <w:sz w:val="17"/>
              </w:rPr>
              <w:t>El certificado derivado de un lote embarcado</w:t>
            </w:r>
          </w:p>
        </w:tc>
        <w:tc>
          <w:tcPr>
            <w:tcW w:type="dxa" w:w="1950"/>
          </w:tcPr>
          <w:p>
            <w:pPr>
              <w:spacing w:after="20"/>
            </w:pPr>
            <w:r/>
            <w:r>
              <w:rPr>
                <w:sz w:val="17"/>
              </w:rPr>
              <w:t>Embarque, liquidación, certificado derivado, devolución de concentrado</w:t>
            </w:r>
          </w:p>
        </w:tc>
        <w:tc>
          <w:tcPr>
            <w:tcW w:type="dxa" w:w="1950"/>
          </w:tcPr>
          <w:p>
            <w:pPr>
              <w:spacing w:after="20"/>
            </w:pPr>
            <w:r/>
            <w:r>
              <w:rPr>
                <w:sz w:val="17"/>
              </w:rPr>
              <w:t>Área comercial</w:t>
            </w:r>
          </w:p>
        </w:tc>
        <w:tc>
          <w:tcPr>
            <w:tcW w:type="dxa" w:w="1950"/>
          </w:tcPr>
          <w:p>
            <w:pPr>
              <w:spacing w:after="20"/>
            </w:pPr>
            <w:r/>
            <w:r>
              <w:rPr>
                <w:sz w:val="17"/>
              </w:rPr>
              <w:t>10 años</w:t>
            </w:r>
          </w:p>
        </w:tc>
      </w:tr>
      <w:tr>
        <w:tc>
          <w:tcPr>
            <w:tcW w:type="dxa" w:w="1950"/>
          </w:tcPr>
          <w:p>
            <w:pPr>
              <w:spacing w:after="20"/>
            </w:pPr>
            <w:r/>
            <w:r>
              <w:rPr>
                <w:sz w:val="17"/>
              </w:rPr>
              <w:t>Analítico</w:t>
            </w:r>
          </w:p>
        </w:tc>
        <w:tc>
          <w:tcPr>
            <w:tcW w:type="dxa" w:w="1950"/>
          </w:tcPr>
          <w:p>
            <w:pPr>
              <w:spacing w:after="20"/>
            </w:pPr>
            <w:r/>
            <w:r>
              <w:rPr>
                <w:sz w:val="17"/>
              </w:rPr>
              <w:t>El indicador con su definición versionada</w:t>
            </w:r>
          </w:p>
        </w:tc>
        <w:tc>
          <w:tcPr>
            <w:tcW w:type="dxa" w:w="1950"/>
          </w:tcPr>
          <w:p>
            <w:pPr>
              <w:spacing w:after="20"/>
            </w:pPr>
            <w:r/>
            <w:r>
              <w:rPr>
                <w:sz w:val="17"/>
              </w:rPr>
              <w:t>Indicadores por turno, conciliación, series de cumplimiento</w:t>
            </w:r>
          </w:p>
        </w:tc>
        <w:tc>
          <w:tcPr>
            <w:tcW w:type="dxa" w:w="1950"/>
          </w:tcPr>
          <w:p>
            <w:pPr>
              <w:spacing w:after="20"/>
            </w:pPr>
            <w:r/>
            <w:r>
              <w:rPr>
                <w:sz w:val="17"/>
              </w:rPr>
              <w:t>Centro Integrado de Operaciones</w:t>
            </w:r>
          </w:p>
        </w:tc>
        <w:tc>
          <w:tcPr>
            <w:tcW w:type="dxa" w:w="1950"/>
          </w:tcPr>
          <w:p>
            <w:pPr>
              <w:spacing w:after="20"/>
            </w:pPr>
            <w:r/>
            <w:r>
              <w:rPr>
                <w:sz w:val="17"/>
              </w:rPr>
              <w:t>5 años</w:t>
            </w:r>
          </w:p>
        </w:tc>
      </w:tr>
      <w:tr>
        <w:tc>
          <w:tcPr>
            <w:tcW w:type="dxa" w:w="1950"/>
          </w:tcPr>
          <w:p>
            <w:pPr>
              <w:spacing w:after="20"/>
            </w:pPr>
            <w:r/>
            <w:r>
              <w:rPr>
                <w:sz w:val="17"/>
              </w:rPr>
              <w:t>Plataforma</w:t>
            </w:r>
          </w:p>
        </w:tc>
        <w:tc>
          <w:tcPr>
            <w:tcW w:type="dxa" w:w="1950"/>
          </w:tcPr>
          <w:p>
            <w:pPr>
              <w:spacing w:after="20"/>
            </w:pPr>
            <w:r/>
            <w:r>
              <w:rPr>
                <w:sz w:val="17"/>
              </w:rPr>
              <w:t>El parámetro versionado y el asiento de auditoría</w:t>
            </w:r>
          </w:p>
        </w:tc>
        <w:tc>
          <w:tcPr>
            <w:tcW w:type="dxa" w:w="1950"/>
          </w:tcPr>
          <w:p>
            <w:pPr>
              <w:spacing w:after="20"/>
            </w:pPr>
            <w:r/>
            <w:r>
              <w:rPr>
                <w:sz w:val="17"/>
              </w:rPr>
              <w:t>Parámetro y regla con vigencia, asiento de auditoría, dispositivo inventariado</w:t>
            </w:r>
          </w:p>
        </w:tc>
        <w:tc>
          <w:tcPr>
            <w:tcW w:type="dxa" w:w="1950"/>
          </w:tcPr>
          <w:p>
            <w:pPr>
              <w:spacing w:after="20"/>
            </w:pPr>
            <w:r/>
            <w:r>
              <w:rPr>
                <w:sz w:val="17"/>
              </w:rPr>
              <w:t>Equipo de tecnologías de información del CLIENTE</w:t>
            </w:r>
          </w:p>
        </w:tc>
        <w:tc>
          <w:tcPr>
            <w:tcW w:type="dxa" w:w="1950"/>
          </w:tcPr>
          <w:p>
            <w:pPr>
              <w:spacing w:after="20"/>
            </w:pPr>
            <w:r/>
            <w:r>
              <w:rPr>
                <w:sz w:val="17"/>
              </w:rPr>
              <w:t>10 años</w:t>
            </w:r>
          </w:p>
        </w:tc>
      </w:tr>
    </w:tbl>
    <w:p>
      <w:pPr>
        <w:spacing w:after="40"/>
      </w:pPr>
    </w:p>
    <w:p>
      <w:pPr>
        <w:keepNext/>
        <w:spacing w:before="200" w:after="80"/>
      </w:pPr>
      <w:r>
        <w:rPr>
          <w:b/>
          <w:color w:val="1F4D75"/>
          <w:sz w:val="23"/>
        </w:rPr>
        <w:t>1.2 Entidades</w:t>
      </w:r>
    </w:p>
    <w:p>
      <w:pPr>
        <w:jc w:val="both"/>
      </w:pPr>
      <w:r>
        <w:rPr>
          <w:sz w:val="20"/>
        </w:rPr>
        <w:t>Cuarenta y dos entidades: treinta principales, nueve de soporte y tres asociativas. El diccionario de datos, con el nombre, el tipo, el dominio de valores, la obligatoriedad, el propietario, la sensibilidad y el linaje de cada atributo, se entrega en la planilla anexa.</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Dominio</w:t>
            </w:r>
          </w:p>
        </w:tc>
        <w:tc>
          <w:tcPr>
            <w:tcW w:type="dxa" w:w="3251"/>
            <w:shd w:val="clear" w:fill="E7EEF6"/>
          </w:tcPr>
          <w:p>
            <w:pPr>
              <w:spacing w:after="20"/>
            </w:pPr>
            <w:r/>
            <w:r>
              <w:rPr>
                <w:b/>
                <w:sz w:val="17"/>
              </w:rPr>
              <w:t>Entidades principales</w:t>
            </w:r>
          </w:p>
        </w:tc>
        <w:tc>
          <w:tcPr>
            <w:tcW w:type="dxa" w:w="3251"/>
            <w:shd w:val="clear" w:fill="E7EEF6"/>
          </w:tcPr>
          <w:p>
            <w:pPr>
              <w:spacing w:after="20"/>
            </w:pPr>
            <w:r/>
            <w:r>
              <w:rPr>
                <w:b/>
                <w:sz w:val="17"/>
              </w:rPr>
              <w:t>De soporte y asociativas</w:t>
            </w:r>
          </w:p>
        </w:tc>
      </w:tr>
      <w:tr>
        <w:tc>
          <w:tcPr>
            <w:tcW w:type="dxa" w:w="3251"/>
          </w:tcPr>
          <w:p>
            <w:pPr>
              <w:spacing w:after="20"/>
            </w:pPr>
            <w:r/>
            <w:r>
              <w:rPr>
                <w:sz w:val="17"/>
              </w:rPr>
              <w:t>Mineral</w:t>
            </w:r>
          </w:p>
        </w:tc>
        <w:tc>
          <w:tcPr>
            <w:tcW w:type="dxa" w:w="3251"/>
          </w:tcPr>
          <w:p>
            <w:pPr>
              <w:spacing w:after="20"/>
            </w:pPr>
            <w:r/>
            <w:r>
              <w:rPr>
                <w:sz w:val="17"/>
              </w:rPr>
              <w:t>Polígono · Viaje · Pesaje · Stock · Aporte a stock · Retoma de stock · Lote de chancado · Lote comercial · Plan minero (versión) · Conciliación</w:t>
            </w:r>
          </w:p>
        </w:tc>
        <w:tc>
          <w:tcPr>
            <w:tcW w:type="dxa" w:w="3251"/>
          </w:tcPr>
          <w:p>
            <w:pPr>
              <w:spacing w:after="20"/>
            </w:pPr>
            <w:r/>
            <w:r>
              <w:rPr>
                <w:sz w:val="17"/>
              </w:rPr>
              <w:t>Composición de lote · Origen de retoma</w:t>
            </w:r>
          </w:p>
        </w:tc>
      </w:tr>
      <w:tr>
        <w:tc>
          <w:tcPr>
            <w:tcW w:type="dxa" w:w="3251"/>
          </w:tcPr>
          <w:p>
            <w:pPr>
              <w:spacing w:after="20"/>
            </w:pPr>
            <w:r/>
            <w:r>
              <w:rPr>
                <w:sz w:val="17"/>
              </w:rPr>
              <w:t>Terreno</w:t>
            </w:r>
          </w:p>
        </w:tc>
        <w:tc>
          <w:tcPr>
            <w:tcW w:type="dxa" w:w="3251"/>
          </w:tcPr>
          <w:p>
            <w:pPr>
              <w:spacing w:after="20"/>
            </w:pPr>
            <w:r/>
            <w:r>
              <w:rPr>
                <w:sz w:val="17"/>
              </w:rPr>
              <w:t>Evento de terreno · Sesión de operador</w:t>
            </w:r>
          </w:p>
        </w:tc>
        <w:tc>
          <w:tcPr>
            <w:tcW w:type="dxa" w:w="3251"/>
          </w:tcPr>
          <w:p>
            <w:pPr>
              <w:spacing w:after="20"/>
            </w:pPr>
            <w:r/>
            <w:r>
              <w:rPr>
                <w:sz w:val="17"/>
              </w:rPr>
              <w:t>—</w:t>
            </w:r>
          </w:p>
        </w:tc>
      </w:tr>
      <w:tr>
        <w:tc>
          <w:tcPr>
            <w:tcW w:type="dxa" w:w="3251"/>
          </w:tcPr>
          <w:p>
            <w:pPr>
              <w:spacing w:after="20"/>
            </w:pPr>
            <w:r/>
            <w:r>
              <w:rPr>
                <w:sz w:val="17"/>
              </w:rPr>
              <w:t>Personas</w:t>
            </w:r>
          </w:p>
        </w:tc>
        <w:tc>
          <w:tcPr>
            <w:tcW w:type="dxa" w:w="3251"/>
          </w:tcPr>
          <w:p>
            <w:pPr>
              <w:spacing w:after="20"/>
            </w:pPr>
            <w:r/>
            <w:r>
              <w:rPr>
                <w:sz w:val="17"/>
              </w:rPr>
              <w:t>Persona · Habilitación · Empresa contratista</w:t>
            </w:r>
          </w:p>
        </w:tc>
        <w:tc>
          <w:tcPr>
            <w:tcW w:type="dxa" w:w="3251"/>
          </w:tcPr>
          <w:p>
            <w:pPr>
              <w:spacing w:after="20"/>
            </w:pPr>
            <w:r/>
            <w:r>
              <w:rPr>
                <w:sz w:val="17"/>
              </w:rPr>
              <w:t>Credencial</w:t>
            </w:r>
          </w:p>
        </w:tc>
      </w:tr>
      <w:tr>
        <w:tc>
          <w:tcPr>
            <w:tcW w:type="dxa" w:w="3251"/>
          </w:tcPr>
          <w:p>
            <w:pPr>
              <w:spacing w:after="20"/>
            </w:pPr>
            <w:r/>
            <w:r>
              <w:rPr>
                <w:sz w:val="17"/>
              </w:rPr>
              <w:t>Calidad</w:t>
            </w:r>
          </w:p>
        </w:tc>
        <w:tc>
          <w:tcPr>
            <w:tcW w:type="dxa" w:w="3251"/>
          </w:tcPr>
          <w:p>
            <w:pPr>
              <w:spacing w:after="20"/>
            </w:pPr>
            <w:r/>
            <w:r>
              <w:rPr>
                <w:sz w:val="17"/>
              </w:rPr>
              <w:t>Muestra · Análisis · Arbitraje de laboratorio</w:t>
            </w:r>
          </w:p>
        </w:tc>
        <w:tc>
          <w:tcPr>
            <w:tcW w:type="dxa" w:w="3251"/>
          </w:tcPr>
          <w:p>
            <w:pPr>
              <w:spacing w:after="20"/>
            </w:pPr>
            <w:r/>
            <w:r>
              <w:rPr>
                <w:sz w:val="17"/>
              </w:rPr>
              <w:t>Punto de muestreo · Laboratorio</w:t>
            </w:r>
          </w:p>
        </w:tc>
      </w:tr>
      <w:tr>
        <w:tc>
          <w:tcPr>
            <w:tcW w:type="dxa" w:w="3251"/>
          </w:tcPr>
          <w:p>
            <w:pPr>
              <w:spacing w:after="20"/>
            </w:pPr>
            <w:r/>
            <w:r>
              <w:rPr>
                <w:sz w:val="17"/>
              </w:rPr>
              <w:t>Activos</w:t>
            </w:r>
          </w:p>
        </w:tc>
        <w:tc>
          <w:tcPr>
            <w:tcW w:type="dxa" w:w="3251"/>
          </w:tcPr>
          <w:p>
            <w:pPr>
              <w:spacing w:after="20"/>
            </w:pPr>
            <w:r/>
            <w:r>
              <w:rPr>
                <w:sz w:val="17"/>
              </w:rPr>
              <w:t>Equipo · Detención · Turno</w:t>
            </w:r>
          </w:p>
        </w:tc>
        <w:tc>
          <w:tcPr>
            <w:tcW w:type="dxa" w:w="3251"/>
          </w:tcPr>
          <w:p>
            <w:pPr>
              <w:spacing w:after="20"/>
            </w:pPr>
            <w:r/>
            <w:r>
              <w:rPr>
                <w:sz w:val="17"/>
              </w:rPr>
              <w:t>Pauta de mantenimiento · Alarma de fabricante</w:t>
            </w:r>
          </w:p>
        </w:tc>
      </w:tr>
      <w:tr>
        <w:tc>
          <w:tcPr>
            <w:tcW w:type="dxa" w:w="3251"/>
          </w:tcPr>
          <w:p>
            <w:pPr>
              <w:spacing w:after="20"/>
            </w:pPr>
            <w:r/>
            <w:r>
              <w:rPr>
                <w:sz w:val="17"/>
              </w:rPr>
              <w:t>Cumplimiento</w:t>
            </w:r>
          </w:p>
        </w:tc>
        <w:tc>
          <w:tcPr>
            <w:tcW w:type="dxa" w:w="3251"/>
          </w:tcPr>
          <w:p>
            <w:pPr>
              <w:spacing w:after="20"/>
            </w:pPr>
            <w:r/>
            <w:r>
              <w:rPr>
                <w:sz w:val="17"/>
              </w:rPr>
              <w:t>Compromiso · Medición ambiental · Incidente · Inspección</w:t>
            </w:r>
          </w:p>
        </w:tc>
        <w:tc>
          <w:tcPr>
            <w:tcW w:type="dxa" w:w="3251"/>
          </w:tcPr>
          <w:p>
            <w:pPr>
              <w:spacing w:after="20"/>
            </w:pPr>
            <w:r/>
            <w:r>
              <w:rPr>
                <w:sz w:val="17"/>
              </w:rPr>
              <w:t>Alerta de fatiga · Participación en incidente</w:t>
            </w:r>
          </w:p>
        </w:tc>
      </w:tr>
      <w:tr>
        <w:tc>
          <w:tcPr>
            <w:tcW w:type="dxa" w:w="3251"/>
          </w:tcPr>
          <w:p>
            <w:pPr>
              <w:spacing w:after="20"/>
            </w:pPr>
            <w:r/>
            <w:r>
              <w:rPr>
                <w:sz w:val="17"/>
              </w:rPr>
              <w:t>Comercial</w:t>
            </w:r>
          </w:p>
        </w:tc>
        <w:tc>
          <w:tcPr>
            <w:tcW w:type="dxa" w:w="3251"/>
          </w:tcPr>
          <w:p>
            <w:pPr>
              <w:spacing w:after="20"/>
            </w:pPr>
            <w:r/>
            <w:r>
              <w:rPr>
                <w:sz w:val="17"/>
              </w:rPr>
              <w:t>Embarque · Certificado derivado · Devolución de concentrado</w:t>
            </w:r>
          </w:p>
        </w:tc>
        <w:tc>
          <w:tcPr>
            <w:tcW w:type="dxa" w:w="3251"/>
          </w:tcPr>
          <w:p>
            <w:pPr>
              <w:spacing w:after="20"/>
            </w:pPr>
            <w:r/>
            <w:r>
              <w:rPr>
                <w:sz w:val="17"/>
              </w:rPr>
              <w:t>Liquidación</w:t>
            </w:r>
          </w:p>
        </w:tc>
      </w:tr>
      <w:tr>
        <w:tc>
          <w:tcPr>
            <w:tcW w:type="dxa" w:w="3251"/>
          </w:tcPr>
          <w:p>
            <w:pPr>
              <w:spacing w:after="20"/>
            </w:pPr>
            <w:r/>
            <w:r>
              <w:rPr>
                <w:sz w:val="17"/>
              </w:rPr>
              <w:t>Analítico</w:t>
            </w:r>
          </w:p>
        </w:tc>
        <w:tc>
          <w:tcPr>
            <w:tcW w:type="dxa" w:w="3251"/>
          </w:tcPr>
          <w:p>
            <w:pPr>
              <w:spacing w:after="20"/>
            </w:pPr>
            <w:r/>
            <w:r>
              <w:rPr>
                <w:sz w:val="17"/>
              </w:rPr>
              <w:t>Indicador (definición versionada)</w:t>
            </w:r>
          </w:p>
        </w:tc>
        <w:tc>
          <w:tcPr>
            <w:tcW w:type="dxa" w:w="3251"/>
          </w:tcPr>
          <w:p>
            <w:pPr>
              <w:spacing w:after="20"/>
            </w:pPr>
            <w:r/>
            <w:r>
              <w:rPr>
                <w:sz w:val="17"/>
              </w:rPr>
              <w:t>—</w:t>
            </w:r>
          </w:p>
        </w:tc>
      </w:tr>
      <w:tr>
        <w:tc>
          <w:tcPr>
            <w:tcW w:type="dxa" w:w="3251"/>
          </w:tcPr>
          <w:p>
            <w:pPr>
              <w:spacing w:after="20"/>
            </w:pPr>
            <w:r/>
            <w:r>
              <w:rPr>
                <w:sz w:val="17"/>
              </w:rPr>
              <w:t>Plataforma</w:t>
            </w:r>
          </w:p>
        </w:tc>
        <w:tc>
          <w:tcPr>
            <w:tcW w:type="dxa" w:w="3251"/>
          </w:tcPr>
          <w:p>
            <w:pPr>
              <w:spacing w:after="20"/>
            </w:pPr>
            <w:r/>
            <w:r>
              <w:rPr>
                <w:sz w:val="17"/>
              </w:rPr>
              <w:t>Parámetro / Regla</w:t>
            </w:r>
          </w:p>
        </w:tc>
        <w:tc>
          <w:tcPr>
            <w:tcW w:type="dxa" w:w="3251"/>
          </w:tcPr>
          <w:p>
            <w:pPr>
              <w:spacing w:after="20"/>
            </w:pPr>
            <w:r/>
            <w:r>
              <w:rPr>
                <w:sz w:val="17"/>
              </w:rPr>
              <w:t>Asiento de auditoría · Dispositivo inventariado</w:t>
            </w:r>
          </w:p>
        </w:tc>
      </w:tr>
    </w:tbl>
    <w:p>
      <w:pPr>
        <w:spacing w:after="40"/>
      </w:pPr>
    </w:p>
    <w:p>
      <w:pPr>
        <w:jc w:val="both"/>
      </w:pPr>
      <w:r>
        <w:rPr>
          <w:sz w:val="20"/>
        </w:rPr>
        <w:t>Las catorce decisiones de diseño que el numeral 16.1 del caso deja abiertas quedan resueltas en este modelo; el mapa de cada decisión con su resolución está en la hoja «Decisiones 16.1» de la planilla anexa.</w:t>
      </w:r>
    </w:p>
    <w:p>
      <w:pPr>
        <w:jc w:val="both"/>
      </w:pPr>
      <w:r>
        <w:rPr>
          <w:sz w:val="20"/>
        </w:rPr>
        <w:t xml:space="preserve">Dos entidades resuelven situaciones que hoy no tienen procedimiento. La </w:t>
      </w:r>
      <w:r>
        <w:rPr>
          <w:b/>
          <w:sz w:val="20"/>
        </w:rPr>
        <w:t>devolución de concentrado</w:t>
      </w:r>
      <w:r>
        <w:rPr>
          <w:sz w:val="20"/>
        </w:rPr>
        <w:t xml:space="preserve"> registra el rechazo total o parcial de un embarque, con motivo de lista cerrada, tonelaje devuelto y destino de reincorporación; el lote que recibe ese material conserva la referencia a la devolución, de modo que no se cuenta dos veces en la conciliación ni pierde su historia previa. El </w:t>
      </w:r>
      <w:r>
        <w:rPr>
          <w:b/>
          <w:sz w:val="20"/>
        </w:rPr>
        <w:t>arbitraje de laboratorio</w:t>
      </w:r>
      <w:r>
        <w:rPr>
          <w:sz w:val="20"/>
        </w:rPr>
        <w:t xml:space="preserve"> registra la discrepancia entre el análisis del CLIENTE y el del comprador, el laboratorio árbitro que la dirime y el valor dirimido: el análisis original nunca se modifica y el efecto se materializa como ajuste de liquidación.</w:t>
      </w:r>
    </w:p>
    <w:p>
      <w:pPr>
        <w:keepNext/>
        <w:spacing w:before="200" w:after="80"/>
      </w:pPr>
      <w:r>
        <w:rPr>
          <w:b/>
          <w:color w:val="1F4D75"/>
          <w:sz w:val="23"/>
        </w:rPr>
        <w:t>1.3 Clasificación de la información</w:t>
      </w:r>
    </w:p>
    <w:p>
      <w:pPr>
        <w:jc w:val="both"/>
      </w:pPr>
      <w:r>
        <w:rPr>
          <w:sz w:val="20"/>
        </w:rPr>
        <w:t>La clasificación es atributo del dato y viaja con él: la heredan el evento, el índice de búsqueda, la exportación, la réplica analítica y el respaldo.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Nivel</w:t>
            </w:r>
          </w:p>
        </w:tc>
        <w:tc>
          <w:tcPr>
            <w:tcW w:type="dxa" w:w="3251"/>
            <w:shd w:val="clear" w:fill="E7EEF6"/>
          </w:tcPr>
          <w:p>
            <w:pPr>
              <w:spacing w:after="20"/>
            </w:pPr>
            <w:r/>
            <w:r>
              <w:rPr>
                <w:b/>
                <w:sz w:val="17"/>
              </w:rPr>
              <w:t>Qué comprende</w:t>
            </w:r>
          </w:p>
        </w:tc>
        <w:tc>
          <w:tcPr>
            <w:tcW w:type="dxa" w:w="3251"/>
            <w:shd w:val="clear" w:fill="E7EEF6"/>
          </w:tcPr>
          <w:p>
            <w:pPr>
              <w:spacing w:after="20"/>
            </w:pPr>
            <w:r/>
            <w:r>
              <w:rPr>
                <w:b/>
                <w:sz w:val="17"/>
              </w:rPr>
              <w:t>Control diferenciado</w:t>
            </w:r>
          </w:p>
        </w:tc>
      </w:tr>
      <w:tr>
        <w:tc>
          <w:tcPr>
            <w:tcW w:type="dxa" w:w="3251"/>
          </w:tcPr>
          <w:p>
            <w:pPr>
              <w:spacing w:after="20"/>
            </w:pPr>
            <w:r/>
            <w:r>
              <w:rPr>
                <w:sz w:val="17"/>
              </w:rPr>
              <w:t>Público</w:t>
            </w:r>
          </w:p>
        </w:tc>
        <w:tc>
          <w:tcPr>
            <w:tcW w:type="dxa" w:w="3251"/>
          </w:tcPr>
          <w:p>
            <w:pPr>
              <w:spacing w:after="20"/>
            </w:pPr>
            <w:r/>
            <w:r>
              <w:rPr>
                <w:sz w:val="17"/>
              </w:rPr>
              <w:t>Nivel vacío por decisión de diseño: no existe portal abierto a la ciudadanía</w:t>
            </w:r>
          </w:p>
        </w:tc>
        <w:tc>
          <w:tcPr>
            <w:tcW w:type="dxa" w:w="3251"/>
          </w:tcPr>
          <w:p>
            <w:pPr>
              <w:spacing w:after="20"/>
            </w:pPr>
            <w:r/>
            <w:r>
              <w:rPr>
                <w:sz w:val="17"/>
              </w:rPr>
              <w:t>No aplica</w:t>
            </w:r>
          </w:p>
        </w:tc>
      </w:tr>
      <w:tr>
        <w:tc>
          <w:tcPr>
            <w:tcW w:type="dxa" w:w="3251"/>
          </w:tcPr>
          <w:p>
            <w:pPr>
              <w:spacing w:after="20"/>
            </w:pPr>
            <w:r/>
            <w:r>
              <w:rPr>
                <w:sz w:val="17"/>
              </w:rPr>
              <w:t>Interno</w:t>
            </w:r>
          </w:p>
        </w:tc>
        <w:tc>
          <w:tcPr>
            <w:tcW w:type="dxa" w:w="3251"/>
          </w:tcPr>
          <w:p>
            <w:pPr>
              <w:spacing w:after="20"/>
            </w:pPr>
            <w:r/>
            <w:r>
              <w:rPr>
                <w:sz w:val="17"/>
              </w:rPr>
              <w:t>Registro operacional: viajes, pesajes, detenciones, inspecciones, estados de equipo, indicadores</w:t>
            </w:r>
          </w:p>
        </w:tc>
        <w:tc>
          <w:tcPr>
            <w:tcW w:type="dxa" w:w="3251"/>
          </w:tcPr>
          <w:p>
            <w:pPr>
              <w:spacing w:after="20"/>
            </w:pPr>
            <w:r/>
            <w:r>
              <w:rPr>
                <w:sz w:val="17"/>
              </w:rPr>
              <w:t>Cifrado en tránsito y en reposo; control de acceso por rol, área y sitio; auditoría de modificación</w:t>
            </w:r>
          </w:p>
        </w:tc>
      </w:tr>
      <w:tr>
        <w:tc>
          <w:tcPr>
            <w:tcW w:type="dxa" w:w="3251"/>
          </w:tcPr>
          <w:p>
            <w:pPr>
              <w:spacing w:after="20"/>
            </w:pPr>
            <w:r/>
            <w:r>
              <w:rPr>
                <w:sz w:val="17"/>
              </w:rPr>
              <w:t>Confidencial</w:t>
            </w:r>
          </w:p>
        </w:tc>
        <w:tc>
          <w:tcPr>
            <w:tcW w:type="dxa" w:w="3251"/>
          </w:tcPr>
          <w:p>
            <w:pPr>
              <w:spacing w:after="20"/>
            </w:pPr>
            <w:r/>
            <w:r>
              <w:rPr>
                <w:sz w:val="17"/>
              </w:rPr>
              <w:t>Ley por polígono, modelo de bloques, plan versionado, liquidaciones, penalizaciones y márgenes</w:t>
            </w:r>
          </w:p>
        </w:tc>
        <w:tc>
          <w:tcPr>
            <w:tcW w:type="dxa" w:w="3251"/>
          </w:tcPr>
          <w:p>
            <w:pPr>
              <w:spacing w:after="20"/>
            </w:pPr>
            <w:r/>
            <w:r>
              <w:rPr>
                <w:sz w:val="17"/>
              </w:rPr>
              <w:t>Lo anterior, más prohibición de exposición externa en cualquier forma derivada, aprobación comercial para publicar, registro de toda consulta y exportación restringida por rol</w:t>
            </w:r>
          </w:p>
        </w:tc>
      </w:tr>
      <w:tr>
        <w:tc>
          <w:tcPr>
            <w:tcW w:type="dxa" w:w="3251"/>
          </w:tcPr>
          <w:p>
            <w:pPr>
              <w:spacing w:after="20"/>
            </w:pPr>
            <w:r/>
            <w:r>
              <w:rPr>
                <w:sz w:val="17"/>
              </w:rPr>
              <w:t>Personal sensible</w:t>
            </w:r>
          </w:p>
        </w:tc>
        <w:tc>
          <w:tcPr>
            <w:tcW w:type="dxa" w:w="3251"/>
          </w:tcPr>
          <w:p>
            <w:pPr>
              <w:spacing w:after="20"/>
            </w:pPr>
            <w:r/>
            <w:r>
              <w:rPr>
                <w:sz w:val="17"/>
              </w:rPr>
              <w:t>Habilitación y su resultado, salud ocupacional, control de fatiga, control de alcohol y drogas, y el relato de incidentes</w:t>
            </w:r>
          </w:p>
        </w:tc>
        <w:tc>
          <w:tcPr>
            <w:tcW w:type="dxa" w:w="3251"/>
          </w:tcPr>
          <w:p>
            <w:pPr>
              <w:spacing w:after="20"/>
            </w:pPr>
            <w:r/>
            <w:r>
              <w:rPr>
                <w:sz w:val="17"/>
              </w:rPr>
              <w:t>Lo anterior, más cifrado a nivel de campo, auditoría de la consulta además de la modificación, prohibición en registros de la solución y en ambientes no productivos, y retención de 10 años sin borrado anticipado</w:t>
            </w:r>
          </w:p>
        </w:tc>
      </w:tr>
    </w:tbl>
    <w:p>
      <w:pPr>
        <w:spacing w:after="40"/>
      </w:pPr>
    </w:p>
    <w:p>
      <w:pPr>
        <w:keepNext/>
        <w:spacing w:before="200" w:after="80"/>
      </w:pPr>
      <w:r>
        <w:rPr>
          <w:b/>
          <w:color w:val="1F4D75"/>
          <w:sz w:val="23"/>
        </w:rPr>
        <w:t>1.4 Datos maestros y regla de precedencia</w:t>
      </w:r>
    </w:p>
    <w:p>
      <w:pPr>
        <w:jc w:val="both"/>
      </w:pPr>
      <w:r>
        <w:rPr>
          <w:sz w:val="20"/>
        </w:rPr>
        <w:t>Seis entidades son compartidas con sistemas del CLIENTE. Para cada una se declara el sistema que manda y qué queda prohibido. No se incorpora un producto de gestión de datos maestros: agregaría una pieza de infraestructura y una especialidad que el equipo de once personas del CLIENTE no tiene, para resolver seis entidades con maestro ya identificado y sin conflicto de escritura.</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Entidad</w:t>
            </w:r>
          </w:p>
        </w:tc>
        <w:tc>
          <w:tcPr>
            <w:tcW w:type="dxa" w:w="2438"/>
            <w:shd w:val="clear" w:fill="E7EEF6"/>
          </w:tcPr>
          <w:p>
            <w:pPr>
              <w:spacing w:after="20"/>
            </w:pPr>
            <w:r/>
            <w:r>
              <w:rPr>
                <w:b/>
                <w:sz w:val="17"/>
              </w:rPr>
              <w:t>Sistema maestro</w:t>
            </w:r>
          </w:p>
        </w:tc>
        <w:tc>
          <w:tcPr>
            <w:tcW w:type="dxa" w:w="2438"/>
            <w:shd w:val="clear" w:fill="E7EEF6"/>
          </w:tcPr>
          <w:p>
            <w:pPr>
              <w:spacing w:after="20"/>
            </w:pPr>
            <w:r/>
            <w:r>
              <w:rPr>
                <w:b/>
                <w:sz w:val="17"/>
              </w:rPr>
              <w:t>Regla de precedencia</w:t>
            </w:r>
          </w:p>
        </w:tc>
        <w:tc>
          <w:tcPr>
            <w:tcW w:type="dxa" w:w="2438"/>
            <w:shd w:val="clear" w:fill="E7EEF6"/>
          </w:tcPr>
          <w:p>
            <w:pPr>
              <w:spacing w:after="20"/>
            </w:pPr>
            <w:r/>
            <w:r>
              <w:rPr>
                <w:b/>
                <w:sz w:val="17"/>
              </w:rPr>
              <w:t>Prohibido</w:t>
            </w:r>
          </w:p>
        </w:tc>
      </w:tr>
      <w:tr>
        <w:tc>
          <w:tcPr>
            <w:tcW w:type="dxa" w:w="2438"/>
          </w:tcPr>
          <w:p>
            <w:pPr>
              <w:spacing w:after="20"/>
            </w:pPr>
            <w:r/>
            <w:r>
              <w:rPr>
                <w:sz w:val="17"/>
              </w:rPr>
              <w:t>Persona (propia)</w:t>
            </w:r>
          </w:p>
        </w:tc>
        <w:tc>
          <w:tcPr>
            <w:tcW w:type="dxa" w:w="2438"/>
          </w:tcPr>
          <w:p>
            <w:pPr>
              <w:spacing w:after="20"/>
            </w:pPr>
            <w:r/>
            <w:r>
              <w:rPr>
                <w:sz w:val="17"/>
              </w:rPr>
              <w:t>ERP corporativo (C-12)</w:t>
            </w:r>
          </w:p>
        </w:tc>
        <w:tc>
          <w:tcPr>
            <w:tcW w:type="dxa" w:w="2438"/>
          </w:tcPr>
          <w:p>
            <w:pPr>
              <w:spacing w:after="20"/>
            </w:pPr>
            <w:r/>
            <w:r>
              <w:rPr>
                <w:sz w:val="17"/>
              </w:rPr>
              <w:t>El ERP manda en identidad, vínculo laboral y término de relación</w:t>
            </w:r>
          </w:p>
        </w:tc>
        <w:tc>
          <w:tcPr>
            <w:tcW w:type="dxa" w:w="2438"/>
          </w:tcPr>
          <w:p>
            <w:pPr>
              <w:spacing w:after="20"/>
            </w:pPr>
            <w:r/>
            <w:r>
              <w:rPr>
                <w:sz w:val="17"/>
              </w:rPr>
              <w:t>Crear o modificar personal propio desde la solución</w:t>
            </w:r>
          </w:p>
        </w:tc>
      </w:tr>
      <w:tr>
        <w:tc>
          <w:tcPr>
            <w:tcW w:type="dxa" w:w="2438"/>
          </w:tcPr>
          <w:p>
            <w:pPr>
              <w:spacing w:after="20"/>
            </w:pPr>
            <w:r/>
            <w:r>
              <w:rPr>
                <w:sz w:val="17"/>
              </w:rPr>
              <w:t>Persona (contratista)</w:t>
            </w:r>
          </w:p>
        </w:tc>
        <w:tc>
          <w:tcPr>
            <w:tcW w:type="dxa" w:w="2438"/>
          </w:tcPr>
          <w:p>
            <w:pPr>
              <w:spacing w:after="20"/>
            </w:pPr>
            <w:r/>
            <w:r>
              <w:rPr>
                <w:sz w:val="17"/>
              </w:rPr>
              <w:t>Portal de contratistas (C-06)</w:t>
            </w:r>
          </w:p>
        </w:tc>
        <w:tc>
          <w:tcPr>
            <w:tcW w:type="dxa" w:w="2438"/>
          </w:tcPr>
          <w:p>
            <w:pPr>
              <w:spacing w:after="20"/>
            </w:pPr>
            <w:r/>
            <w:r>
              <w:rPr>
                <w:sz w:val="17"/>
              </w:rPr>
              <w:t>La empresa manda en identidad y documentación; el CLIENTE, en el estado de acreditación</w:t>
            </w:r>
          </w:p>
        </w:tc>
        <w:tc>
          <w:tcPr>
            <w:tcW w:type="dxa" w:w="2438"/>
          </w:tcPr>
          <w:p>
            <w:pPr>
              <w:spacing w:after="20"/>
            </w:pPr>
            <w:r/>
            <w:r>
              <w:rPr>
                <w:sz w:val="17"/>
              </w:rPr>
              <w:t>Duplicar una persona que ya existe como propia</w:t>
            </w:r>
          </w:p>
        </w:tc>
      </w:tr>
      <w:tr>
        <w:tc>
          <w:tcPr>
            <w:tcW w:type="dxa" w:w="2438"/>
          </w:tcPr>
          <w:p>
            <w:pPr>
              <w:spacing w:after="20"/>
            </w:pPr>
            <w:r/>
            <w:r>
              <w:rPr>
                <w:sz w:val="17"/>
              </w:rPr>
              <w:t>Equipo</w:t>
            </w:r>
          </w:p>
        </w:tc>
        <w:tc>
          <w:tcPr>
            <w:tcW w:type="dxa" w:w="2438"/>
          </w:tcPr>
          <w:p>
            <w:pPr>
              <w:spacing w:after="20"/>
            </w:pPr>
            <w:r/>
            <w:r>
              <w:rPr>
                <w:sz w:val="17"/>
              </w:rPr>
              <w:t>Despacho (C-10) y ERP (C-12)</w:t>
            </w:r>
          </w:p>
        </w:tc>
        <w:tc>
          <w:tcPr>
            <w:tcW w:type="dxa" w:w="2438"/>
          </w:tcPr>
          <w:p>
            <w:pPr>
              <w:spacing w:after="20"/>
            </w:pPr>
            <w:r/>
            <w:r>
              <w:rPr>
                <w:sz w:val="17"/>
              </w:rPr>
              <w:t>El despacho manda en estado operacional y posición; el ERP, en ficha de activo y pautas</w:t>
            </w:r>
          </w:p>
        </w:tc>
        <w:tc>
          <w:tcPr>
            <w:tcW w:type="dxa" w:w="2438"/>
          </w:tcPr>
          <w:p>
            <w:pPr>
              <w:spacing w:after="20"/>
            </w:pPr>
            <w:r/>
            <w:r>
              <w:rPr>
                <w:sz w:val="17"/>
              </w:rPr>
              <w:t>Crear un equipo inexistente en ambos</w:t>
            </w:r>
          </w:p>
        </w:tc>
      </w:tr>
      <w:tr>
        <w:tc>
          <w:tcPr>
            <w:tcW w:type="dxa" w:w="2438"/>
          </w:tcPr>
          <w:p>
            <w:pPr>
              <w:spacing w:after="20"/>
            </w:pPr>
            <w:r/>
            <w:r>
              <w:rPr>
                <w:sz w:val="17"/>
              </w:rPr>
              <w:t>Polígono y plan</w:t>
            </w:r>
          </w:p>
        </w:tc>
        <w:tc>
          <w:tcPr>
            <w:tcW w:type="dxa" w:w="2438"/>
          </w:tcPr>
          <w:p>
            <w:pPr>
              <w:spacing w:after="20"/>
            </w:pPr>
            <w:r/>
            <w:r>
              <w:rPr>
                <w:sz w:val="17"/>
              </w:rPr>
              <w:t>Planificación minera (C-11)</w:t>
            </w:r>
          </w:p>
        </w:tc>
        <w:tc>
          <w:tcPr>
            <w:tcW w:type="dxa" w:w="2438"/>
          </w:tcPr>
          <w:p>
            <w:pPr>
              <w:spacing w:after="20"/>
            </w:pPr>
            <w:r/>
            <w:r>
              <w:rPr>
                <w:sz w:val="17"/>
              </w:rPr>
              <w:t>Planificación manda siempre; la solución consume la versión publicada</w:t>
            </w:r>
          </w:p>
        </w:tc>
        <w:tc>
          <w:tcPr>
            <w:tcW w:type="dxa" w:w="2438"/>
          </w:tcPr>
          <w:p>
            <w:pPr>
              <w:spacing w:after="20"/>
            </w:pPr>
            <w:r/>
            <w:r>
              <w:rPr>
                <w:sz w:val="17"/>
              </w:rPr>
              <w:t>Editar un polígono o una versión de plan</w:t>
            </w:r>
          </w:p>
        </w:tc>
      </w:tr>
      <w:tr>
        <w:tc>
          <w:tcPr>
            <w:tcW w:type="dxa" w:w="2438"/>
          </w:tcPr>
          <w:p>
            <w:pPr>
              <w:spacing w:after="20"/>
            </w:pPr>
            <w:r/>
            <w:r>
              <w:rPr>
                <w:sz w:val="17"/>
              </w:rPr>
              <w:t>Resultado de análisis</w:t>
            </w:r>
          </w:p>
        </w:tc>
        <w:tc>
          <w:tcPr>
            <w:tcW w:type="dxa" w:w="2438"/>
          </w:tcPr>
          <w:p>
            <w:pPr>
              <w:spacing w:after="20"/>
            </w:pPr>
            <w:r/>
            <w:r>
              <w:rPr>
                <w:sz w:val="17"/>
              </w:rPr>
              <w:t>Laboratorio (C-09)</w:t>
            </w:r>
          </w:p>
        </w:tc>
        <w:tc>
          <w:tcPr>
            <w:tcW w:type="dxa" w:w="2438"/>
          </w:tcPr>
          <w:p>
            <w:pPr>
              <w:spacing w:after="20"/>
            </w:pPr>
            <w:r/>
            <w:r>
              <w:rPr>
                <w:sz w:val="17"/>
              </w:rPr>
              <w:t>El laboratorio es la fuente de verdad de la ley medida; el arbitraje no lo modifica, lo dirime</w:t>
            </w:r>
          </w:p>
        </w:tc>
        <w:tc>
          <w:tcPr>
            <w:tcW w:type="dxa" w:w="2438"/>
          </w:tcPr>
          <w:p>
            <w:pPr>
              <w:spacing w:after="20"/>
            </w:pPr>
            <w:r/>
            <w:r>
              <w:rPr>
                <w:sz w:val="17"/>
              </w:rPr>
              <w:t>Sobrescribir un resultado de laboratorio</w:t>
            </w:r>
          </w:p>
        </w:tc>
      </w:tr>
      <w:tr>
        <w:tc>
          <w:tcPr>
            <w:tcW w:type="dxa" w:w="2438"/>
          </w:tcPr>
          <w:p>
            <w:pPr>
              <w:spacing w:after="20"/>
            </w:pPr>
            <w:r/>
            <w:r>
              <w:rPr>
                <w:sz w:val="17"/>
              </w:rPr>
              <w:t>Parámetro y regla</w:t>
            </w:r>
          </w:p>
        </w:tc>
        <w:tc>
          <w:tcPr>
            <w:tcW w:type="dxa" w:w="2438"/>
          </w:tcPr>
          <w:p>
            <w:pPr>
              <w:spacing w:after="20"/>
            </w:pPr>
            <w:r/>
            <w:r>
              <w:rPr>
                <w:sz w:val="17"/>
              </w:rPr>
              <w:t>La propia solución (C-20)</w:t>
            </w:r>
          </w:p>
        </w:tc>
        <w:tc>
          <w:tcPr>
            <w:tcW w:type="dxa" w:w="2438"/>
          </w:tcPr>
          <w:p>
            <w:pPr>
              <w:spacing w:after="20"/>
            </w:pPr>
            <w:r/>
            <w:r>
              <w:rPr>
                <w:sz w:val="17"/>
              </w:rPr>
              <w:t>La solución es maestro; ningún sistema externo lo modifica</w:t>
            </w:r>
          </w:p>
        </w:tc>
        <w:tc>
          <w:tcPr>
            <w:tcW w:type="dxa" w:w="2438"/>
          </w:tcPr>
          <w:p>
            <w:pPr>
              <w:spacing w:after="20"/>
            </w:pPr>
            <w:r/>
            <w:r>
              <w:rPr>
                <w:sz w:val="17"/>
              </w:rPr>
              <w:t>Cambiar un umbral mediante despliegue de código</w:t>
            </w:r>
          </w:p>
        </w:tc>
      </w:tr>
    </w:tbl>
    <w:p>
      <w:pPr>
        <w:spacing w:after="40"/>
      </w:pPr>
    </w:p>
    <w:p>
      <w:pPr>
        <w:jc w:val="both"/>
      </w:pPr>
      <w:r>
        <w:rPr>
          <w:sz w:val="20"/>
        </w:rPr>
        <w:t>Regla transversal: para los hechos observados en terreno prevalece el evento de terreno; para los datos maestros prevalece el registro central. Un evento que referencia un maestro inexistente entra en cuarentena y se resuelve al reconciliar; no se descarta ni autocrea el maestro.</w:t>
      </w:r>
    </w:p>
    <w:p>
      <w:pPr>
        <w:keepNext/>
        <w:spacing w:before="200" w:after="80"/>
      </w:pPr>
      <w:r>
        <w:rPr>
          <w:b/>
          <w:color w:val="1F4D75"/>
          <w:sz w:val="23"/>
        </w:rPr>
        <w:t>1.5 Interfaces de entrada</w:t>
      </w:r>
    </w:p>
    <w:p>
      <w:pPr>
        <w:jc w:val="both"/>
      </w:pPr>
      <w:r>
        <w:rPr>
          <w:sz w:val="20"/>
        </w:rPr>
        <w:t>Cada dato entra por una interfaz declarada, con capa anticorrupción y adaptador reemplazable. Las tres mediciones de tonelaje que la solución conserva provienen de tres caminos distintos, y eso importa porque una de ellas es la fuente de verdad.</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Fuente</w:t>
            </w:r>
          </w:p>
        </w:tc>
        <w:tc>
          <w:tcPr>
            <w:tcW w:type="dxa" w:w="2438"/>
            <w:shd w:val="clear" w:fill="E7EEF6"/>
          </w:tcPr>
          <w:p>
            <w:pPr>
              <w:spacing w:after="20"/>
            </w:pPr>
            <w:r/>
            <w:r>
              <w:rPr>
                <w:b/>
                <w:sz w:val="17"/>
              </w:rPr>
              <w:t>Componente</w:t>
            </w:r>
          </w:p>
        </w:tc>
        <w:tc>
          <w:tcPr>
            <w:tcW w:type="dxa" w:w="2438"/>
            <w:shd w:val="clear" w:fill="E7EEF6"/>
          </w:tcPr>
          <w:p>
            <w:pPr>
              <w:spacing w:after="20"/>
            </w:pPr>
            <w:r/>
            <w:r>
              <w:rPr>
                <w:b/>
                <w:sz w:val="17"/>
              </w:rPr>
              <w:t>Qué entrega</w:t>
            </w:r>
          </w:p>
        </w:tc>
        <w:tc>
          <w:tcPr>
            <w:tcW w:type="dxa" w:w="2438"/>
            <w:shd w:val="clear" w:fill="E7EEF6"/>
          </w:tcPr>
          <w:p>
            <w:pPr>
              <w:spacing w:after="20"/>
            </w:pPr>
            <w:r/>
            <w:r>
              <w:rPr>
                <w:b/>
                <w:sz w:val="17"/>
              </w:rPr>
              <w:t>Sentido</w:t>
            </w:r>
          </w:p>
        </w:tc>
      </w:tr>
      <w:tr>
        <w:tc>
          <w:tcPr>
            <w:tcW w:type="dxa" w:w="2438"/>
          </w:tcPr>
          <w:p>
            <w:pPr>
              <w:spacing w:after="20"/>
            </w:pPr>
            <w:r/>
            <w:r>
              <w:rPr>
                <w:sz w:val="17"/>
              </w:rPr>
              <w:t>Despacho de flota</w:t>
            </w:r>
          </w:p>
        </w:tc>
        <w:tc>
          <w:tcPr>
            <w:tcW w:type="dxa" w:w="2438"/>
          </w:tcPr>
          <w:p>
            <w:pPr>
              <w:spacing w:after="20"/>
            </w:pPr>
            <w:r/>
            <w:r>
              <w:rPr>
                <w:sz w:val="17"/>
              </w:rPr>
              <w:t>C-10</w:t>
            </w:r>
          </w:p>
        </w:tc>
        <w:tc>
          <w:tcPr>
            <w:tcW w:type="dxa" w:w="2438"/>
          </w:tcPr>
          <w:p>
            <w:pPr>
              <w:spacing w:after="20"/>
            </w:pPr>
            <w:r/>
            <w:r>
              <w:rPr>
                <w:sz w:val="17"/>
              </w:rPr>
              <w:t xml:space="preserve">Ciclo mina: pala, destino, posición, hora y </w:t>
            </w:r>
            <w:r>
              <w:rPr>
                <w:b/>
                <w:sz w:val="17"/>
              </w:rPr>
              <w:t>pesaje de a bordo</w:t>
            </w:r>
          </w:p>
        </w:tc>
        <w:tc>
          <w:tcPr>
            <w:tcW w:type="dxa" w:w="2438"/>
          </w:tcPr>
          <w:p>
            <w:pPr>
              <w:spacing w:after="20"/>
            </w:pPr>
            <w:r/>
            <w:r>
              <w:rPr>
                <w:sz w:val="17"/>
              </w:rPr>
              <w:t>Lectura continua; escritura sólo de la marca de estado que el despacho admita</w:t>
            </w:r>
          </w:p>
        </w:tc>
      </w:tr>
      <w:tr>
        <w:tc>
          <w:tcPr>
            <w:tcW w:type="dxa" w:w="2438"/>
          </w:tcPr>
          <w:p>
            <w:pPr>
              <w:spacing w:after="20"/>
            </w:pPr>
            <w:r/>
            <w:r>
              <w:rPr>
                <w:sz w:val="17"/>
              </w:rPr>
              <w:t>Sistema de gestión de laboratorio</w:t>
            </w:r>
          </w:p>
        </w:tc>
        <w:tc>
          <w:tcPr>
            <w:tcW w:type="dxa" w:w="2438"/>
          </w:tcPr>
          <w:p>
            <w:pPr>
              <w:spacing w:after="20"/>
            </w:pPr>
            <w:r/>
            <w:r>
              <w:rPr>
                <w:sz w:val="17"/>
              </w:rPr>
              <w:t>C-09</w:t>
            </w:r>
          </w:p>
        </w:tc>
        <w:tc>
          <w:tcPr>
            <w:tcW w:type="dxa" w:w="2438"/>
          </w:tcPr>
          <w:p>
            <w:pPr>
              <w:spacing w:after="20"/>
            </w:pPr>
            <w:r/>
            <w:r>
              <w:rPr>
                <w:sz w:val="17"/>
              </w:rPr>
              <w:t>Solicitud de análisis y resultado validado, incluido el del laboratorio árbitro</w:t>
            </w:r>
          </w:p>
        </w:tc>
        <w:tc>
          <w:tcPr>
            <w:tcW w:type="dxa" w:w="2438"/>
          </w:tcPr>
          <w:p>
            <w:pPr>
              <w:spacing w:after="20"/>
            </w:pPr>
            <w:r/>
            <w:r>
              <w:rPr>
                <w:sz w:val="17"/>
              </w:rPr>
              <w:t>Bidireccional</w:t>
            </w:r>
          </w:p>
        </w:tc>
      </w:tr>
      <w:tr>
        <w:tc>
          <w:tcPr>
            <w:tcW w:type="dxa" w:w="2438"/>
          </w:tcPr>
          <w:p>
            <w:pPr>
              <w:spacing w:after="20"/>
            </w:pPr>
            <w:r/>
            <w:r>
              <w:rPr>
                <w:sz w:val="17"/>
              </w:rPr>
              <w:t>Planificación minera</w:t>
            </w:r>
          </w:p>
        </w:tc>
        <w:tc>
          <w:tcPr>
            <w:tcW w:type="dxa" w:w="2438"/>
          </w:tcPr>
          <w:p>
            <w:pPr>
              <w:spacing w:after="20"/>
            </w:pPr>
            <w:r/>
            <w:r>
              <w:rPr>
                <w:sz w:val="17"/>
              </w:rPr>
              <w:t>C-11</w:t>
            </w:r>
          </w:p>
        </w:tc>
        <w:tc>
          <w:tcPr>
            <w:tcW w:type="dxa" w:w="2438"/>
          </w:tcPr>
          <w:p>
            <w:pPr>
              <w:spacing w:after="20"/>
            </w:pPr>
            <w:r/>
            <w:r>
              <w:rPr>
                <w:sz w:val="17"/>
              </w:rPr>
              <w:t>Versión vigente del plan y polígonos</w:t>
            </w:r>
          </w:p>
        </w:tc>
        <w:tc>
          <w:tcPr>
            <w:tcW w:type="dxa" w:w="2438"/>
          </w:tcPr>
          <w:p>
            <w:pPr>
              <w:spacing w:after="20"/>
            </w:pPr>
            <w:r/>
            <w:r>
              <w:rPr>
                <w:sz w:val="17"/>
              </w:rPr>
              <w:t>Sólo lectura</w:t>
            </w:r>
          </w:p>
        </w:tc>
      </w:tr>
      <w:tr>
        <w:tc>
          <w:tcPr>
            <w:tcW w:type="dxa" w:w="2438"/>
          </w:tcPr>
          <w:p>
            <w:pPr>
              <w:spacing w:after="20"/>
            </w:pPr>
            <w:r/>
            <w:r>
              <w:rPr>
                <w:sz w:val="17"/>
              </w:rPr>
              <w:t>ERP corporativo</w:t>
            </w:r>
          </w:p>
        </w:tc>
        <w:tc>
          <w:tcPr>
            <w:tcW w:type="dxa" w:w="2438"/>
          </w:tcPr>
          <w:p>
            <w:pPr>
              <w:spacing w:after="20"/>
            </w:pPr>
            <w:r/>
            <w:r>
              <w:rPr>
                <w:sz w:val="17"/>
              </w:rPr>
              <w:t>C-12</w:t>
            </w:r>
          </w:p>
        </w:tc>
        <w:tc>
          <w:tcPr>
            <w:tcW w:type="dxa" w:w="2438"/>
          </w:tcPr>
          <w:p>
            <w:pPr>
              <w:spacing w:after="20"/>
            </w:pPr>
            <w:r/>
            <w:r>
              <w:rPr>
                <w:sz w:val="17"/>
              </w:rPr>
              <w:t>Maestro de personal, ficha de activos y cifra contable</w:t>
            </w:r>
          </w:p>
        </w:tc>
        <w:tc>
          <w:tcPr>
            <w:tcW w:type="dxa" w:w="2438"/>
          </w:tcPr>
          <w:p>
            <w:pPr>
              <w:spacing w:after="20"/>
            </w:pPr>
            <w:r/>
            <w:r>
              <w:rPr>
                <w:sz w:val="17"/>
              </w:rPr>
              <w:t>Bidireccional</w:t>
            </w:r>
          </w:p>
        </w:tc>
      </w:tr>
      <w:tr>
        <w:tc>
          <w:tcPr>
            <w:tcW w:type="dxa" w:w="2438"/>
          </w:tcPr>
          <w:p>
            <w:pPr>
              <w:spacing w:after="20"/>
            </w:pPr>
            <w:r/>
            <w:r>
              <w:rPr>
                <w:sz w:val="17"/>
              </w:rPr>
              <w:t>Telemetría de fabricante</w:t>
            </w:r>
          </w:p>
        </w:tc>
        <w:tc>
          <w:tcPr>
            <w:tcW w:type="dxa" w:w="2438"/>
          </w:tcPr>
          <w:p>
            <w:pPr>
              <w:spacing w:after="20"/>
            </w:pPr>
            <w:r/>
            <w:r>
              <w:rPr>
                <w:sz w:val="17"/>
              </w:rPr>
              <w:t>C-13</w:t>
            </w:r>
          </w:p>
        </w:tc>
        <w:tc>
          <w:tcPr>
            <w:tcW w:type="dxa" w:w="2438"/>
          </w:tcPr>
          <w:p>
            <w:pPr>
              <w:spacing w:after="20"/>
            </w:pPr>
            <w:r/>
            <w:r>
              <w:rPr>
                <w:sz w:val="17"/>
              </w:rPr>
              <w:t>Estado, posición, horómetro y alarmas</w:t>
            </w:r>
          </w:p>
        </w:tc>
        <w:tc>
          <w:tcPr>
            <w:tcW w:type="dxa" w:w="2438"/>
          </w:tcPr>
          <w:p>
            <w:pPr>
              <w:spacing w:after="20"/>
            </w:pPr>
            <w:r/>
            <w:r>
              <w:rPr>
                <w:sz w:val="17"/>
              </w:rPr>
              <w:t>Sólo lectura, un adaptador por fabricante</w:t>
            </w:r>
          </w:p>
        </w:tc>
      </w:tr>
      <w:tr>
        <w:tc>
          <w:tcPr>
            <w:tcW w:type="dxa" w:w="2438"/>
          </w:tcPr>
          <w:p>
            <w:pPr>
              <w:spacing w:after="20"/>
            </w:pPr>
            <w:r/>
            <w:r>
              <w:rPr>
                <w:sz w:val="17"/>
              </w:rPr>
              <w:t>Historiador de proceso de planta</w:t>
            </w:r>
          </w:p>
        </w:tc>
        <w:tc>
          <w:tcPr>
            <w:tcW w:type="dxa" w:w="2438"/>
          </w:tcPr>
          <w:p>
            <w:pPr>
              <w:spacing w:after="20"/>
            </w:pPr>
            <w:r/>
            <w:r>
              <w:rPr>
                <w:sz w:val="17"/>
              </w:rPr>
              <w:t>C-14</w:t>
            </w:r>
          </w:p>
        </w:tc>
        <w:tc>
          <w:tcPr>
            <w:tcW w:type="dxa" w:w="2438"/>
          </w:tcPr>
          <w:p>
            <w:pPr>
              <w:spacing w:after="20"/>
            </w:pPr>
            <w:r/>
            <w:r>
              <w:rPr>
                <w:b/>
                <w:sz w:val="17"/>
              </w:rPr>
              <w:t>Balanza de alimentación</w:t>
            </w:r>
            <w:r>
              <w:rPr>
                <w:sz w:val="17"/>
              </w:rPr>
              <w:t>, fuente de verdad del tonelaje, y variables de proceso</w:t>
            </w:r>
          </w:p>
        </w:tc>
        <w:tc>
          <w:tcPr>
            <w:tcW w:type="dxa" w:w="2438"/>
          </w:tcPr>
          <w:p>
            <w:pPr>
              <w:spacing w:after="20"/>
            </w:pPr>
            <w:r/>
            <w:r>
              <w:rPr>
                <w:sz w:val="17"/>
              </w:rPr>
              <w:t>OPC UA con segregación IEC 62443. Sólo lectura: no se escribe en la red de control</w:t>
            </w:r>
          </w:p>
        </w:tc>
      </w:tr>
      <w:tr>
        <w:tc>
          <w:tcPr>
            <w:tcW w:type="dxa" w:w="2438"/>
          </w:tcPr>
          <w:p>
            <w:pPr>
              <w:spacing w:after="20"/>
            </w:pPr>
            <w:r/>
            <w:r>
              <w:rPr>
                <w:sz w:val="17"/>
              </w:rPr>
              <w:t>Sistema de control de fatiga</w:t>
            </w:r>
          </w:p>
        </w:tc>
        <w:tc>
          <w:tcPr>
            <w:tcW w:type="dxa" w:w="2438"/>
          </w:tcPr>
          <w:p>
            <w:pPr>
              <w:spacing w:after="20"/>
            </w:pPr>
            <w:r/>
            <w:r>
              <w:rPr>
                <w:sz w:val="17"/>
              </w:rPr>
              <w:t>C-18</w:t>
            </w:r>
          </w:p>
        </w:tc>
        <w:tc>
          <w:tcPr>
            <w:tcW w:type="dxa" w:w="2438"/>
          </w:tcPr>
          <w:p>
            <w:pPr>
              <w:spacing w:after="20"/>
            </w:pPr>
            <w:r/>
            <w:r>
              <w:rPr>
                <w:sz w:val="17"/>
              </w:rPr>
              <w:t>Alertas emitidas</w:t>
            </w:r>
          </w:p>
        </w:tc>
        <w:tc>
          <w:tcPr>
            <w:tcW w:type="dxa" w:w="2438"/>
          </w:tcPr>
          <w:p>
            <w:pPr>
              <w:spacing w:after="20"/>
            </w:pPr>
            <w:r/>
            <w:r>
              <w:rPr>
                <w:sz w:val="17"/>
              </w:rPr>
              <w:t>Sólo lectura; dato personal sensible, cifrado a nivel de campo</w:t>
            </w:r>
          </w:p>
        </w:tc>
      </w:tr>
      <w:tr>
        <w:tc>
          <w:tcPr>
            <w:tcW w:type="dxa" w:w="2438"/>
          </w:tcPr>
          <w:p>
            <w:pPr>
              <w:spacing w:after="20"/>
            </w:pPr>
            <w:r/>
            <w:r>
              <w:rPr>
                <w:sz w:val="17"/>
              </w:rPr>
              <w:t>Instrumentación de pesaje de faena</w:t>
            </w:r>
          </w:p>
        </w:tc>
        <w:tc>
          <w:tcPr>
            <w:tcW w:type="dxa" w:w="2438"/>
          </w:tcPr>
          <w:p>
            <w:pPr>
              <w:spacing w:after="20"/>
            </w:pPr>
            <w:r/>
            <w:r>
              <w:rPr>
                <w:sz w:val="17"/>
              </w:rPr>
              <w:t>C-23</w:t>
            </w:r>
          </w:p>
        </w:tc>
        <w:tc>
          <w:tcPr>
            <w:tcW w:type="dxa" w:w="2438"/>
          </w:tcPr>
          <w:p>
            <w:pPr>
              <w:spacing w:after="20"/>
            </w:pPr>
            <w:r/>
            <w:r>
              <w:rPr>
                <w:b/>
                <w:sz w:val="17"/>
              </w:rPr>
              <w:t>Báscula de camiones</w:t>
            </w:r>
            <w:r>
              <w:rPr>
                <w:sz w:val="17"/>
              </w:rPr>
              <w:t>, que pesa una muestra de los viajes y actúa como punto de calibración</w:t>
            </w:r>
          </w:p>
        </w:tc>
        <w:tc>
          <w:tcPr>
            <w:tcW w:type="dxa" w:w="2438"/>
          </w:tcPr>
          <w:p>
            <w:pPr>
              <w:spacing w:after="20"/>
            </w:pPr>
            <w:r/>
            <w:r>
              <w:rPr>
                <w:sz w:val="17"/>
              </w:rPr>
              <w:t>Sólo lectura. El hardware lo adquiere el CLIENTE</w:t>
            </w:r>
          </w:p>
        </w:tc>
      </w:tr>
    </w:tbl>
    <w:p>
      <w:pPr>
        <w:spacing w:after="40"/>
      </w:pPr>
    </w:p>
    <w:p>
      <w:pPr>
        <w:keepNext/>
        <w:spacing w:before="200" w:after="80"/>
      </w:pPr>
      <w:r>
        <w:rPr>
          <w:b/>
          <w:color w:val="1F4D75"/>
          <w:sz w:val="23"/>
        </w:rPr>
        <w:t>1.6 Modelo lógico</w:t>
      </w:r>
    </w:p>
    <w:tbl>
      <w:tblPr>
        <w:tblStyle w:val="TableGrid"/>
        <w:tblW w:type="auto" w:w="0"/>
        <w:tblLook w:firstColumn="1" w:firstRow="1" w:lastColumn="0" w:lastRow="0" w:noHBand="0" w:noVBand="1" w:val="04A0"/>
      </w:tblPr>
      <w:tblGrid>
        <w:gridCol w:w="9752"/>
      </w:tblGrid>
      <w:tr>
        <w:trPr>
          <w:trHeight w:val="6236"/>
        </w:trPr>
        <w:tc>
          <w:tcPr>
            <w:tcW w:type="dxa" w:w="9752"/>
          </w:tcPr>
          <w:p>
            <w:pPr>
              <w:jc w:val="center"/>
            </w:pPr>
            <w:r/>
            <w:r>
              <w:rPr>
                <w:i/>
                <w:color w:val="5B6878"/>
                <w:sz w:val="19"/>
              </w:rPr>
              <w:t>[ Figura 1 · Modelo lógico de datos — insertar diagrama ]</w:t>
            </w:r>
          </w:p>
        </w:tc>
      </w:tr>
    </w:tbl>
    <w:p>
      <w:pPr>
        <w:spacing w:after="40"/>
      </w:pPr>
    </w:p>
    <w:p>
      <w:pPr>
        <w:jc w:val="both"/>
      </w:pPr>
      <w:r>
        <w:rPr>
          <w:color w:val="5B6878"/>
          <w:sz w:val="17"/>
        </w:rPr>
        <w:t>Figura 1. Modelo lógico de datos. Cuarenta y dos entidades en tercera forma normal, con clave primaria opaca, integridad referencial declarada y sin borrado en cascada.</w:t>
      </w:r>
    </w:p>
    <w:p>
      <w:r>
        <w:br w:type="page"/>
      </w:r>
    </w:p>
    <w:p>
      <w:pPr>
        <w:keepNext/>
        <w:spacing w:before="280" w:after="80"/>
      </w:pPr>
      <w:r>
        <w:rPr>
          <w:b/>
          <w:color w:val="0D2B45"/>
          <w:sz w:val="28"/>
        </w:rPr>
        <w:t>2. Selección del motor y del paradigma de persistencia</w:t>
      </w:r>
    </w:p>
    <w:p>
      <w:pPr>
        <w:keepNext/>
        <w:spacing w:before="200" w:after="80"/>
      </w:pPr>
      <w:r>
        <w:rPr>
          <w:b/>
          <w:color w:val="1F4D75"/>
          <w:sz w:val="23"/>
        </w:rPr>
        <w:t>2.1 Decisión</w:t>
      </w:r>
    </w:p>
    <w:p>
      <w:pPr>
        <w:jc w:val="both"/>
      </w:pPr>
      <w:r>
        <w:rPr>
          <w:sz w:val="20"/>
        </w:rPr>
        <w:t>No se adopta un motor único: las naturalezas de dato del caso tienen patrones de escritura, volúmenes y garantías incompatibles, y forzarlas a un solo almacén obligaría a dimensionar todo contra el peor caso. Son seis naturalezas de persistencia, y la familia PostgreSQL cubre cuatro de ellas, con lo que el CLIENTE termina operando tres productos y no seis.</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Naturaleza</w:t>
            </w:r>
          </w:p>
        </w:tc>
        <w:tc>
          <w:tcPr>
            <w:tcW w:type="dxa" w:w="2438"/>
            <w:shd w:val="clear" w:fill="E7EEF6"/>
          </w:tcPr>
          <w:p>
            <w:pPr>
              <w:spacing w:after="20"/>
            </w:pPr>
            <w:r/>
            <w:r>
              <w:rPr>
                <w:b/>
                <w:sz w:val="17"/>
              </w:rPr>
              <w:t>Paradigma</w:t>
            </w:r>
          </w:p>
        </w:tc>
        <w:tc>
          <w:tcPr>
            <w:tcW w:type="dxa" w:w="2438"/>
            <w:shd w:val="clear" w:fill="E7EEF6"/>
          </w:tcPr>
          <w:p>
            <w:pPr>
              <w:spacing w:after="20"/>
            </w:pPr>
            <w:r/>
            <w:r>
              <w:rPr>
                <w:b/>
                <w:sz w:val="17"/>
              </w:rPr>
              <w:t>Motor</w:t>
            </w:r>
          </w:p>
        </w:tc>
        <w:tc>
          <w:tcPr>
            <w:tcW w:type="dxa" w:w="2438"/>
            <w:shd w:val="clear" w:fill="E7EEF6"/>
          </w:tcPr>
          <w:p>
            <w:pPr>
              <w:spacing w:after="20"/>
            </w:pPr>
            <w:r/>
            <w:r>
              <w:rPr>
                <w:b/>
                <w:sz w:val="17"/>
              </w:rPr>
              <w:t>Justificación</w:t>
            </w:r>
          </w:p>
        </w:tc>
      </w:tr>
      <w:tr>
        <w:tc>
          <w:tcPr>
            <w:tcW w:type="dxa" w:w="2438"/>
          </w:tcPr>
          <w:p>
            <w:pPr>
              <w:spacing w:after="20"/>
            </w:pPr>
            <w:r/>
            <w:r>
              <w:rPr>
                <w:sz w:val="17"/>
              </w:rPr>
              <w:t>Transaccional</w:t>
            </w:r>
          </w:p>
        </w:tc>
        <w:tc>
          <w:tcPr>
            <w:tcW w:type="dxa" w:w="2438"/>
          </w:tcPr>
          <w:p>
            <w:pPr>
              <w:spacing w:after="20"/>
            </w:pPr>
            <w:r/>
            <w:r>
              <w:rPr>
                <w:sz w:val="17"/>
              </w:rPr>
              <w:t>Relacional</w:t>
            </w:r>
          </w:p>
        </w:tc>
        <w:tc>
          <w:tcPr>
            <w:tcW w:type="dxa" w:w="2438"/>
          </w:tcPr>
          <w:p>
            <w:pPr>
              <w:spacing w:after="20"/>
            </w:pPr>
            <w:r/>
            <w:r>
              <w:rPr>
                <w:sz w:val="17"/>
              </w:rPr>
              <w:t>PostgreSQL 16 o superior</w:t>
            </w:r>
          </w:p>
        </w:tc>
        <w:tc>
          <w:tcPr>
            <w:tcW w:type="dxa" w:w="2438"/>
          </w:tcPr>
          <w:p>
            <w:pPr>
              <w:spacing w:after="20"/>
            </w:pPr>
            <w:r/>
            <w:r>
              <w:rPr>
                <w:sz w:val="17"/>
              </w:rPr>
              <w:t>El árbol de trazabilidad exige integridad referencial demostrable ante un tercero: un lote cuyas proporciones no suman uno no es un dato incompleto, es un dato falso. Aporta ACID, aislamiento serializable para el cierre contable, particionamiento declarativo e índices parciales</w:t>
            </w:r>
          </w:p>
        </w:tc>
      </w:tr>
      <w:tr>
        <w:tc>
          <w:tcPr>
            <w:tcW w:type="dxa" w:w="2438"/>
          </w:tcPr>
          <w:p>
            <w:pPr>
              <w:spacing w:after="20"/>
            </w:pPr>
            <w:r/>
            <w:r>
              <w:rPr>
                <w:sz w:val="17"/>
              </w:rPr>
              <w:t>Series de tiempo</w:t>
            </w:r>
          </w:p>
        </w:tc>
        <w:tc>
          <w:tcPr>
            <w:tcW w:type="dxa" w:w="2438"/>
          </w:tcPr>
          <w:p>
            <w:pPr>
              <w:spacing w:after="20"/>
            </w:pPr>
            <w:r/>
            <w:r>
              <w:rPr>
                <w:sz w:val="17"/>
              </w:rPr>
              <w:t>Relacional con extensión columnar</w:t>
            </w:r>
          </w:p>
        </w:tc>
        <w:tc>
          <w:tcPr>
            <w:tcW w:type="dxa" w:w="2438"/>
          </w:tcPr>
          <w:p>
            <w:pPr>
              <w:spacing w:after="20"/>
            </w:pPr>
            <w:r/>
            <w:r>
              <w:rPr>
                <w:sz w:val="17"/>
              </w:rPr>
              <w:t>TimescaleDB sobre PostgreSQL 16</w:t>
            </w:r>
          </w:p>
        </w:tc>
        <w:tc>
          <w:tcPr>
            <w:tcW w:type="dxa" w:w="2438"/>
          </w:tcPr>
          <w:p>
            <w:pPr>
              <w:spacing w:after="20"/>
            </w:pPr>
            <w:r/>
            <w:r>
              <w:rPr>
                <w:sz w:val="17"/>
              </w:rPr>
              <w:t>2 TB al año de telemetría e historiador, con escritura por anexado y consulta por ventana. La extensión evita un motor distinto: mismo respaldo, mismo control de acceso y mismo perfil de administración</w:t>
            </w:r>
          </w:p>
        </w:tc>
      </w:tr>
      <w:tr>
        <w:tc>
          <w:tcPr>
            <w:tcW w:type="dxa" w:w="2438"/>
          </w:tcPr>
          <w:p>
            <w:pPr>
              <w:spacing w:after="20"/>
            </w:pPr>
            <w:r/>
            <w:r>
              <w:rPr>
                <w:sz w:val="17"/>
              </w:rPr>
              <w:t>Analítica</w:t>
            </w:r>
          </w:p>
        </w:tc>
        <w:tc>
          <w:tcPr>
            <w:tcW w:type="dxa" w:w="2438"/>
          </w:tcPr>
          <w:p>
            <w:pPr>
              <w:spacing w:after="20"/>
            </w:pPr>
            <w:r/>
            <w:r>
              <w:rPr>
                <w:sz w:val="17"/>
              </w:rPr>
              <w:t>Columnar</w:t>
            </w:r>
          </w:p>
        </w:tc>
        <w:tc>
          <w:tcPr>
            <w:tcW w:type="dxa" w:w="2438"/>
          </w:tcPr>
          <w:p>
            <w:pPr>
              <w:spacing w:after="20"/>
            </w:pPr>
            <w:r/>
            <w:r>
              <w:rPr>
                <w:sz w:val="17"/>
              </w:rPr>
              <w:t>ClickHouse 24.8 LTS o superior</w:t>
            </w:r>
          </w:p>
        </w:tc>
        <w:tc>
          <w:tcPr>
            <w:tcW w:type="dxa" w:w="2438"/>
          </w:tcPr>
          <w:p>
            <w:pPr>
              <w:spacing w:after="20"/>
            </w:pPr>
            <w:r/>
            <w:r>
              <w:rPr>
                <w:sz w:val="17"/>
              </w:rPr>
              <w:t>Agregación sobre millones de filas con latencia de minutos, separada físicamente del transaccional. Reutilizar PostgreSQL aquí haría competir el recálculo de indicadores con el peak de cambio de turno</w:t>
            </w:r>
          </w:p>
        </w:tc>
      </w:tr>
      <w:tr>
        <w:tc>
          <w:tcPr>
            <w:tcW w:type="dxa" w:w="2438"/>
          </w:tcPr>
          <w:p>
            <w:pPr>
              <w:spacing w:after="20"/>
            </w:pPr>
            <w:r/>
            <w:r>
              <w:rPr>
                <w:sz w:val="17"/>
              </w:rPr>
              <w:t>Documental</w:t>
            </w:r>
          </w:p>
        </w:tc>
        <w:tc>
          <w:tcPr>
            <w:tcW w:type="dxa" w:w="2438"/>
          </w:tcPr>
          <w:p>
            <w:pPr>
              <w:spacing w:after="20"/>
            </w:pPr>
            <w:r/>
            <w:r>
              <w:rPr>
                <w:sz w:val="17"/>
              </w:rPr>
              <w:t>Metadatos relacionales más objeto</w:t>
            </w:r>
          </w:p>
        </w:tc>
        <w:tc>
          <w:tcPr>
            <w:tcW w:type="dxa" w:w="2438"/>
          </w:tcPr>
          <w:p>
            <w:pPr>
              <w:spacing w:after="20"/>
            </w:pPr>
            <w:r/>
            <w:r>
              <w:rPr>
                <w:sz w:val="17"/>
              </w:rPr>
              <w:t>PostgreSQL 16 y almacén compatible con S3</w:t>
            </w:r>
          </w:p>
        </w:tc>
        <w:tc>
          <w:tcPr>
            <w:tcW w:type="dxa" w:w="2438"/>
          </w:tcPr>
          <w:p>
            <w:pPr>
              <w:spacing w:after="20"/>
            </w:pPr>
            <w:r/>
            <w:r>
              <w:rPr>
                <w:sz w:val="17"/>
              </w:rPr>
              <w:t>Certificados, respaldos de habilitación y reportes firmados, con versionado y búsqueda por contenido. El binario no vive en el transaccional</w:t>
            </w:r>
          </w:p>
        </w:tc>
      </w:tr>
      <w:tr>
        <w:tc>
          <w:tcPr>
            <w:tcW w:type="dxa" w:w="2438"/>
          </w:tcPr>
          <w:p>
            <w:pPr>
              <w:spacing w:after="20"/>
            </w:pPr>
            <w:r/>
            <w:r>
              <w:rPr>
                <w:sz w:val="17"/>
              </w:rPr>
              <w:t>Archivos</w:t>
            </w:r>
          </w:p>
        </w:tc>
        <w:tc>
          <w:tcPr>
            <w:tcW w:type="dxa" w:w="2438"/>
          </w:tcPr>
          <w:p>
            <w:pPr>
              <w:spacing w:after="20"/>
            </w:pPr>
            <w:r/>
            <w:r>
              <w:rPr>
                <w:sz w:val="17"/>
              </w:rPr>
              <w:t>Almacén de objetos</w:t>
            </w:r>
          </w:p>
        </w:tc>
        <w:tc>
          <w:tcPr>
            <w:tcW w:type="dxa" w:w="2438"/>
          </w:tcPr>
          <w:p>
            <w:pPr>
              <w:spacing w:after="20"/>
            </w:pPr>
            <w:r/>
            <w:r>
              <w:rPr>
                <w:sz w:val="17"/>
              </w:rPr>
              <w:t>Compatible con S3, con bloqueo de objeto</w:t>
            </w:r>
          </w:p>
        </w:tc>
        <w:tc>
          <w:tcPr>
            <w:tcW w:type="dxa" w:w="2438"/>
          </w:tcPr>
          <w:p>
            <w:pPr>
              <w:spacing w:after="20"/>
            </w:pPr>
            <w:r/>
            <w:r>
              <w:rPr>
                <w:sz w:val="17"/>
              </w:rPr>
              <w:t>Evidencia fotográfica de inspecciones e incidentes. El bloqueo de objeto materializa la inmutabilidad y la política de ciclo de vida materializa el archivado</w:t>
            </w:r>
          </w:p>
        </w:tc>
      </w:tr>
      <w:tr>
        <w:tc>
          <w:tcPr>
            <w:tcW w:type="dxa" w:w="2438"/>
          </w:tcPr>
          <w:p>
            <w:pPr>
              <w:spacing w:after="20"/>
            </w:pPr>
            <w:r/>
            <w:r>
              <w:rPr>
                <w:sz w:val="17"/>
              </w:rPr>
              <w:t>Repositorio de consulta histórica</w:t>
            </w:r>
          </w:p>
        </w:tc>
        <w:tc>
          <w:tcPr>
            <w:tcW w:type="dxa" w:w="2438"/>
          </w:tcPr>
          <w:p>
            <w:pPr>
              <w:spacing w:after="20"/>
            </w:pPr>
            <w:r/>
            <w:r>
              <w:rPr>
                <w:sz w:val="17"/>
              </w:rPr>
              <w:t>Relacional, sólo lectura</w:t>
            </w:r>
          </w:p>
        </w:tc>
        <w:tc>
          <w:tcPr>
            <w:tcW w:type="dxa" w:w="2438"/>
          </w:tcPr>
          <w:p>
            <w:pPr>
              <w:spacing w:after="20"/>
            </w:pPr>
            <w:r/>
            <w:r>
              <w:rPr>
                <w:sz w:val="17"/>
              </w:rPr>
              <w:t>Esquema separado en PostgreSQL 16</w:t>
            </w:r>
          </w:p>
        </w:tc>
        <w:tc>
          <w:tcPr>
            <w:tcW w:type="dxa" w:w="2438"/>
          </w:tcPr>
          <w:p>
            <w:pPr>
              <w:spacing w:after="20"/>
            </w:pPr>
            <w:r/>
            <w:r>
              <w:rPr>
                <w:sz w:val="17"/>
              </w:rPr>
              <w:t>Los datos anteriores a la ventana de migración, con el mismo control de acceso y la misma auditoría que el registro vivo</w:t>
            </w:r>
          </w:p>
        </w:tc>
      </w:tr>
    </w:tbl>
    <w:p>
      <w:pPr>
        <w:spacing w:after="40"/>
      </w:pPr>
    </w:p>
    <w:p>
      <w:pPr>
        <w:jc w:val="both"/>
      </w:pPr>
      <w:r>
        <w:rPr>
          <w:sz w:val="20"/>
        </w:rPr>
        <w:t xml:space="preserve">Existen además tres copias derivadas, que no son fuente de verdad y son reconstruibles, pero contienen dato del CLIENTE y por eso entran en el alcance de la eliminación segura: la </w:t>
      </w:r>
      <w:r>
        <w:rPr>
          <w:b/>
          <w:sz w:val="20"/>
        </w:rPr>
        <w:t>réplica de borde</w:t>
      </w:r>
      <w:r>
        <w:rPr>
          <w:sz w:val="20"/>
        </w:rPr>
        <w:t xml:space="preserve"> (SQLite en el dispositivo y PostgreSQL en el nodo de borde), que sostiene 48 horas de operación sin enlace; el </w:t>
      </w:r>
      <w:r>
        <w:rPr>
          <w:b/>
          <w:sz w:val="20"/>
        </w:rPr>
        <w:t>índice de búsqueda</w:t>
      </w:r>
      <w:r>
        <w:rPr>
          <w:sz w:val="20"/>
        </w:rPr>
        <w:t xml:space="preserve"> (OpenSearch), que no indexa atributos personales sensibles; y la </w:t>
      </w:r>
      <w:r>
        <w:rPr>
          <w:b/>
          <w:sz w:val="20"/>
        </w:rPr>
        <w:t>caché</w:t>
      </w:r>
      <w:r>
        <w:rPr>
          <w:sz w:val="20"/>
        </w:rPr>
        <w:t xml:space="preserve"> (Redis), que mantiene fuera de memoria el estado de sesión y no guarda dato sensible en claro.</w:t>
      </w:r>
    </w:p>
    <w:p>
      <w:pPr>
        <w:jc w:val="both"/>
      </w:pPr>
      <w:r>
        <w:rPr>
          <w:color w:val="5B6878"/>
          <w:sz w:val="17"/>
        </w:rPr>
        <w:t>Las versiones son mínimas. El dimensionamiento, la alta disponibilidad y el emplazamiento en nube o faena se declaran en el Subdocumento 4.2.</w:t>
      </w:r>
    </w:p>
    <w:p>
      <w:pPr>
        <w:keepNext/>
        <w:spacing w:before="200" w:after="80"/>
      </w:pPr>
      <w:r>
        <w:rPr>
          <w:b/>
          <w:color w:val="1F4D75"/>
          <w:sz w:val="23"/>
        </w:rPr>
        <w:t>2.2 Por qué relacional en el núcleo</w:t>
      </w:r>
    </w:p>
    <w:p>
      <w:pPr>
        <w:jc w:val="both"/>
      </w:pPr>
      <w:r>
        <w:rPr>
          <w:sz w:val="20"/>
        </w:rPr>
        <w:t>Un almacén documental ofrecería esquema flexible frente a ocho interfaces externas mal documentadas, y fue la alternativa evaluada. Se descarta porque sin integridad referencial declarada el árbol de trazabilidad deja de ser demostrable: reconstruir el origen de un lote embarcado es recorrer una relación padre-hijo con proporciones que deben sumar exactamente uno, y esa garantía no puede quedar entregada a la disciplina de la aplicación cuando el resultado se entrega a un comprador o a la autoridad. La flexibilidad de esquema se resuelve en los adaptadores, no en el núcleo.</w:t>
      </w:r>
    </w:p>
    <w:p>
      <w:pPr>
        <w:keepNext/>
        <w:spacing w:before="200" w:after="80"/>
      </w:pPr>
      <w:r>
        <w:rPr>
          <w:b/>
          <w:color w:val="1F4D75"/>
          <w:sz w:val="23"/>
        </w:rPr>
        <w:t>2.3 Garantías transaccionales</w:t>
      </w:r>
    </w:p>
    <w:tbl>
      <w:tblPr>
        <w:tblStyle w:val="TableGrid"/>
        <w:tblW w:type="auto" w:w="0"/>
        <w:jc w:val="center"/>
        <w:tblLook w:firstColumn="1" w:firstRow="1" w:lastColumn="0" w:lastRow="0" w:noHBand="0" w:noVBand="1" w:val="04A0"/>
      </w:tblPr>
      <w:tblGrid>
        <w:gridCol w:w="4876"/>
        <w:gridCol w:w="4876"/>
      </w:tblGrid>
      <w:tr>
        <w:tc>
          <w:tcPr>
            <w:tcW w:type="dxa" w:w="4876"/>
            <w:shd w:val="clear" w:fill="E7EEF6"/>
          </w:tcPr>
          <w:p>
            <w:pPr>
              <w:spacing w:after="20"/>
            </w:pPr>
            <w:r/>
            <w:r>
              <w:rPr>
                <w:b/>
                <w:sz w:val="17"/>
              </w:rPr>
              <w:t>Garantía</w:t>
            </w:r>
          </w:p>
        </w:tc>
        <w:tc>
          <w:tcPr>
            <w:tcW w:type="dxa" w:w="4876"/>
            <w:shd w:val="clear" w:fill="E7EEF6"/>
          </w:tcPr>
          <w:p>
            <w:pPr>
              <w:spacing w:after="20"/>
            </w:pPr>
            <w:r/>
            <w:r>
              <w:rPr>
                <w:b/>
                <w:sz w:val="17"/>
              </w:rPr>
              <w:t>Cómo se cumple</w:t>
            </w:r>
          </w:p>
        </w:tc>
      </w:tr>
      <w:tr>
        <w:tc>
          <w:tcPr>
            <w:tcW w:type="dxa" w:w="4876"/>
          </w:tcPr>
          <w:p>
            <w:pPr>
              <w:spacing w:after="20"/>
            </w:pPr>
            <w:r/>
            <w:r>
              <w:rPr>
                <w:sz w:val="17"/>
              </w:rPr>
              <w:t>Atomicidad e integridad</w:t>
            </w:r>
          </w:p>
        </w:tc>
        <w:tc>
          <w:tcPr>
            <w:tcW w:type="dxa" w:w="4876"/>
          </w:tcPr>
          <w:p>
            <w:pPr>
              <w:spacing w:after="20"/>
            </w:pPr>
            <w:r/>
            <w:r>
              <w:rPr>
                <w:sz w:val="17"/>
              </w:rPr>
              <w:t>Toda operación sobre el árbol de trazabilidad se ejecuta en una transacción única. Las claves foráneas se declaran en el motor y ninguna admite borrado en cascada</w:t>
            </w:r>
          </w:p>
        </w:tc>
      </w:tr>
      <w:tr>
        <w:tc>
          <w:tcPr>
            <w:tcW w:type="dxa" w:w="4876"/>
          </w:tcPr>
          <w:p>
            <w:pPr>
              <w:spacing w:after="20"/>
            </w:pPr>
            <w:r/>
            <w:r>
              <w:rPr>
                <w:sz w:val="17"/>
              </w:rPr>
              <w:t>Aislamiento</w:t>
            </w:r>
          </w:p>
        </w:tc>
        <w:tc>
          <w:tcPr>
            <w:tcW w:type="dxa" w:w="4876"/>
          </w:tcPr>
          <w:p>
            <w:pPr>
              <w:spacing w:after="20"/>
            </w:pPr>
            <w:r/>
            <w:r>
              <w:rPr>
                <w:sz w:val="17"/>
              </w:rPr>
              <w:t>Lectura confirmada por omisión; serializable en el cierre contable y en la conciliación, donde una lectura sucia produciría una cifra que después se informa</w:t>
            </w:r>
          </w:p>
        </w:tc>
      </w:tr>
      <w:tr>
        <w:tc>
          <w:tcPr>
            <w:tcW w:type="dxa" w:w="4876"/>
          </w:tcPr>
          <w:p>
            <w:pPr>
              <w:spacing w:after="20"/>
            </w:pPr>
            <w:r/>
            <w:r>
              <w:rPr>
                <w:sz w:val="17"/>
              </w:rPr>
              <w:t>Idempotencia</w:t>
            </w:r>
          </w:p>
        </w:tc>
        <w:tc>
          <w:tcPr>
            <w:tcW w:type="dxa" w:w="4876"/>
          </w:tcPr>
          <w:p>
            <w:pPr>
              <w:spacing w:after="20"/>
            </w:pPr>
            <w:r/>
            <w:r>
              <w:rPr>
                <w:sz w:val="17"/>
              </w:rPr>
              <w:t>Toda escritura expuesta a reintentos lleva clave de idempotencia. En terreno es el identificador del evento generado en el dispositivo, con ventana de deduplicación documentada</w:t>
            </w:r>
          </w:p>
        </w:tc>
      </w:tr>
      <w:tr>
        <w:tc>
          <w:tcPr>
            <w:tcW w:type="dxa" w:w="4876"/>
          </w:tcPr>
          <w:p>
            <w:pPr>
              <w:spacing w:after="20"/>
            </w:pPr>
            <w:r/>
            <w:r>
              <w:rPr>
                <w:sz w:val="17"/>
              </w:rPr>
              <w:t>Inmutabilidad</w:t>
            </w:r>
          </w:p>
        </w:tc>
        <w:tc>
          <w:tcPr>
            <w:tcW w:type="dxa" w:w="4876"/>
          </w:tcPr>
          <w:p>
            <w:pPr>
              <w:spacing w:after="20"/>
            </w:pPr>
            <w:r/>
            <w:r>
              <w:rPr>
                <w:sz w:val="17"/>
              </w:rPr>
              <w:t>La trazabilidad se almacena por anexado: toda corrección es un evento nuevo y ninguna fila se actualiza ni se borra. El asiento de auditoría lleva sello criptográfico de integridad</w:t>
            </w:r>
          </w:p>
        </w:tc>
      </w:tr>
      <w:tr>
        <w:tc>
          <w:tcPr>
            <w:tcW w:type="dxa" w:w="4876"/>
          </w:tcPr>
          <w:p>
            <w:pPr>
              <w:spacing w:after="20"/>
            </w:pPr>
            <w:r/>
            <w:r>
              <w:rPr>
                <w:sz w:val="17"/>
              </w:rPr>
              <w:t>Vigencia temporal</w:t>
            </w:r>
          </w:p>
        </w:tc>
        <w:tc>
          <w:tcPr>
            <w:tcW w:type="dxa" w:w="4876"/>
          </w:tcPr>
          <w:p>
            <w:pPr>
              <w:spacing w:after="20"/>
            </w:pPr>
            <w:r/>
            <w:r>
              <w:rPr>
                <w:sz w:val="17"/>
              </w:rPr>
              <w:t>Plan minero, parámetro, regla y definición de indicador se identifican por entidad y versión y nunca se actualizan: un período anterior se recalcula con la versión que regía</w:t>
            </w:r>
          </w:p>
        </w:tc>
      </w:tr>
      <w:tr>
        <w:tc>
          <w:tcPr>
            <w:tcW w:type="dxa" w:w="4876"/>
          </w:tcPr>
          <w:p>
            <w:pPr>
              <w:spacing w:after="20"/>
            </w:pPr>
            <w:r/>
            <w:r>
              <w:rPr>
                <w:sz w:val="17"/>
              </w:rPr>
              <w:t>Entrega de eventos</w:t>
            </w:r>
          </w:p>
        </w:tc>
        <w:tc>
          <w:tcPr>
            <w:tcW w:type="dxa" w:w="4876"/>
          </w:tcPr>
          <w:p>
            <w:pPr>
              <w:spacing w:after="20"/>
            </w:pPr>
            <w:r/>
            <w:r>
              <w:rPr>
                <w:sz w:val="17"/>
              </w:rPr>
              <w:t>Bus con persistencia, entrega al menos una vez, deduplicación en el consumidor y orden dentro del agregado cuando el proceso lo exige. No se pretende orden global</w:t>
            </w:r>
          </w:p>
        </w:tc>
      </w:tr>
    </w:tbl>
    <w:p>
      <w:pPr>
        <w:spacing w:after="40"/>
      </w:pPr>
    </w:p>
    <w:p>
      <w:pPr>
        <w:keepNext/>
        <w:spacing w:before="200" w:after="80"/>
      </w:pPr>
      <w:r>
        <w:rPr>
          <w:b/>
          <w:color w:val="1F4D75"/>
          <w:sz w:val="23"/>
        </w:rPr>
        <w:t>2.4 Posición CAP por dominio</w:t>
      </w:r>
    </w:p>
    <w:p>
      <w:pPr>
        <w:jc w:val="both"/>
      </w:pPr>
      <w:r>
        <w:rPr>
          <w:sz w:val="20"/>
        </w:rPr>
        <w:t>La partición está garantizada por contrato: el enlace de fibra tiene un único proveedor, con tres a seis cortes al año de cuatro a veinte horas, y la operación no puede detenerse. Con la partición dada, cada dominio escoge entre consistencia y disponibilidad.</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Dominio</w:t>
            </w:r>
          </w:p>
        </w:tc>
        <w:tc>
          <w:tcPr>
            <w:tcW w:type="dxa" w:w="3251"/>
            <w:shd w:val="clear" w:fill="E7EEF6"/>
          </w:tcPr>
          <w:p>
            <w:pPr>
              <w:spacing w:after="20"/>
            </w:pPr>
            <w:r/>
            <w:r>
              <w:rPr>
                <w:b/>
                <w:sz w:val="17"/>
              </w:rPr>
              <w:t>Posición CAP</w:t>
            </w:r>
          </w:p>
        </w:tc>
        <w:tc>
          <w:tcPr>
            <w:tcW w:type="dxa" w:w="3251"/>
            <w:shd w:val="clear" w:fill="E7EEF6"/>
          </w:tcPr>
          <w:p>
            <w:pPr>
              <w:spacing w:after="20"/>
            </w:pPr>
            <w:r/>
            <w:r>
              <w:rPr>
                <w:b/>
                <w:sz w:val="17"/>
              </w:rPr>
              <w:t>Fundamento</w:t>
            </w:r>
          </w:p>
        </w:tc>
      </w:tr>
      <w:tr>
        <w:tc>
          <w:tcPr>
            <w:tcW w:type="dxa" w:w="3251"/>
          </w:tcPr>
          <w:p>
            <w:pPr>
              <w:spacing w:after="20"/>
            </w:pPr>
            <w:r/>
            <w:r>
              <w:rPr>
                <w:sz w:val="17"/>
              </w:rPr>
              <w:t>Mineral</w:t>
            </w:r>
          </w:p>
        </w:tc>
        <w:tc>
          <w:tcPr>
            <w:tcW w:type="dxa" w:w="3251"/>
          </w:tcPr>
          <w:p>
            <w:pPr>
              <w:spacing w:after="20"/>
            </w:pPr>
            <w:r/>
            <w:r>
              <w:rPr>
                <w:sz w:val="17"/>
              </w:rPr>
              <w:t>CP</w:t>
            </w:r>
          </w:p>
        </w:tc>
        <w:tc>
          <w:tcPr>
            <w:tcW w:type="dxa" w:w="3251"/>
          </w:tcPr>
          <w:p>
            <w:pPr>
              <w:spacing w:after="20"/>
            </w:pPr>
            <w:r/>
            <w:r>
              <w:rPr>
                <w:sz w:val="17"/>
              </w:rPr>
              <w:t>Un árbol de trazabilidad con proporciones divergentes no es evidencia, y el cierre contable no tolera lectura sucia</w:t>
            </w:r>
          </w:p>
        </w:tc>
      </w:tr>
      <w:tr>
        <w:tc>
          <w:tcPr>
            <w:tcW w:type="dxa" w:w="3251"/>
          </w:tcPr>
          <w:p>
            <w:pPr>
              <w:spacing w:after="20"/>
            </w:pPr>
            <w:r/>
            <w:r>
              <w:rPr>
                <w:sz w:val="17"/>
              </w:rPr>
              <w:t>Terreno</w:t>
            </w:r>
          </w:p>
        </w:tc>
        <w:tc>
          <w:tcPr>
            <w:tcW w:type="dxa" w:w="3251"/>
          </w:tcPr>
          <w:p>
            <w:pPr>
              <w:spacing w:after="20"/>
            </w:pPr>
            <w:r/>
            <w:r>
              <w:rPr>
                <w:sz w:val="17"/>
              </w:rPr>
              <w:t>AP</w:t>
            </w:r>
          </w:p>
        </w:tc>
        <w:tc>
          <w:tcPr>
            <w:tcW w:type="dxa" w:w="3251"/>
          </w:tcPr>
          <w:p>
            <w:pPr>
              <w:spacing w:after="20"/>
            </w:pPr>
            <w:r/>
            <w:r>
              <w:rPr>
                <w:sz w:val="17"/>
              </w:rPr>
              <w:t>El registro nunca se rechaza: rechazar un hecho observado detendría la operación. Se acepta divergencia temporal y se reconcilia al restablecer el enlace</w:t>
            </w:r>
          </w:p>
        </w:tc>
      </w:tr>
      <w:tr>
        <w:tc>
          <w:tcPr>
            <w:tcW w:type="dxa" w:w="3251"/>
          </w:tcPr>
          <w:p>
            <w:pPr>
              <w:spacing w:after="20"/>
            </w:pPr>
            <w:r/>
            <w:r>
              <w:rPr>
                <w:sz w:val="17"/>
              </w:rPr>
              <w:t>Personas</w:t>
            </w:r>
          </w:p>
        </w:tc>
        <w:tc>
          <w:tcPr>
            <w:tcW w:type="dxa" w:w="3251"/>
          </w:tcPr>
          <w:p>
            <w:pPr>
              <w:spacing w:after="20"/>
            </w:pPr>
            <w:r/>
            <w:r>
              <w:rPr>
                <w:sz w:val="17"/>
              </w:rPr>
              <w:t>CP en el maestro, AP en la caché de borde</w:t>
            </w:r>
          </w:p>
        </w:tc>
        <w:tc>
          <w:tcPr>
            <w:tcW w:type="dxa" w:w="3251"/>
          </w:tcPr>
          <w:p>
            <w:pPr>
              <w:spacing w:after="20"/>
            </w:pPr>
            <w:r/>
            <w:r>
              <w:rPr>
                <w:sz w:val="17"/>
              </w:rPr>
              <w:t>La validación de habilitación responde en 1,5 segundos incluso sin enlace, con caché de vigencia máxima de 72 horas. El maestro es CP porque la revocación no admite dos verdades</w:t>
            </w:r>
          </w:p>
        </w:tc>
      </w:tr>
      <w:tr>
        <w:tc>
          <w:tcPr>
            <w:tcW w:type="dxa" w:w="3251"/>
          </w:tcPr>
          <w:p>
            <w:pPr>
              <w:spacing w:after="20"/>
            </w:pPr>
            <w:r/>
            <w:r>
              <w:rPr>
                <w:sz w:val="17"/>
              </w:rPr>
              <w:t>Calidad</w:t>
            </w:r>
          </w:p>
        </w:tc>
        <w:tc>
          <w:tcPr>
            <w:tcW w:type="dxa" w:w="3251"/>
          </w:tcPr>
          <w:p>
            <w:pPr>
              <w:spacing w:after="20"/>
            </w:pPr>
            <w:r/>
            <w:r>
              <w:rPr>
                <w:sz w:val="17"/>
              </w:rPr>
              <w:t>CP</w:t>
            </w:r>
          </w:p>
        </w:tc>
        <w:tc>
          <w:tcPr>
            <w:tcW w:type="dxa" w:w="3251"/>
          </w:tcPr>
          <w:p>
            <w:pPr>
              <w:spacing w:after="20"/>
            </w:pPr>
            <w:r/>
            <w:r>
              <w:rPr>
                <w:sz w:val="17"/>
              </w:rPr>
              <w:t>Ningún lote se libera sin análisis válido y vigente, y la regla no admite excepción manual: una lectura obsoleta liberaría un lote que no corresponde</w:t>
            </w:r>
          </w:p>
        </w:tc>
      </w:tr>
      <w:tr>
        <w:tc>
          <w:tcPr>
            <w:tcW w:type="dxa" w:w="3251"/>
          </w:tcPr>
          <w:p>
            <w:pPr>
              <w:spacing w:after="20"/>
            </w:pPr>
            <w:r/>
            <w:r>
              <w:rPr>
                <w:sz w:val="17"/>
              </w:rPr>
              <w:t>Activos</w:t>
            </w:r>
          </w:p>
        </w:tc>
        <w:tc>
          <w:tcPr>
            <w:tcW w:type="dxa" w:w="3251"/>
          </w:tcPr>
          <w:p>
            <w:pPr>
              <w:spacing w:after="20"/>
            </w:pPr>
            <w:r/>
            <w:r>
              <w:rPr>
                <w:sz w:val="17"/>
              </w:rPr>
              <w:t>AP en telemetría, CP en estados</w:t>
            </w:r>
          </w:p>
        </w:tc>
        <w:tc>
          <w:tcPr>
            <w:tcW w:type="dxa" w:w="3251"/>
          </w:tcPr>
          <w:p>
            <w:pPr>
              <w:spacing w:after="20"/>
            </w:pPr>
            <w:r/>
            <w:r>
              <w:rPr>
                <w:sz w:val="17"/>
              </w:rPr>
              <w:t>Perder una muestra de telemetría degrada un indicador; perder una detención sin clasificar rompe el compromiso de clasificación antes del cierre del turno siguiente</w:t>
            </w:r>
          </w:p>
        </w:tc>
      </w:tr>
      <w:tr>
        <w:tc>
          <w:tcPr>
            <w:tcW w:type="dxa" w:w="3251"/>
          </w:tcPr>
          <w:p>
            <w:pPr>
              <w:spacing w:after="20"/>
            </w:pPr>
            <w:r/>
            <w:r>
              <w:rPr>
                <w:sz w:val="17"/>
              </w:rPr>
              <w:t>Cumplimiento</w:t>
            </w:r>
          </w:p>
        </w:tc>
        <w:tc>
          <w:tcPr>
            <w:tcW w:type="dxa" w:w="3251"/>
          </w:tcPr>
          <w:p>
            <w:pPr>
              <w:spacing w:after="20"/>
            </w:pPr>
            <w:r/>
            <w:r>
              <w:rPr>
                <w:sz w:val="17"/>
              </w:rPr>
              <w:t>CP</w:t>
            </w:r>
          </w:p>
        </w:tc>
        <w:tc>
          <w:tcPr>
            <w:tcW w:type="dxa" w:w="3251"/>
          </w:tcPr>
          <w:p>
            <w:pPr>
              <w:spacing w:after="20"/>
            </w:pPr>
            <w:r/>
            <w:r>
              <w:rPr>
                <w:sz w:val="17"/>
              </w:rPr>
              <w:t>Todo reporte a la autoridad debe reproducirse exactamente y cada cifra debe ser navegable hasta su medición de origen</w:t>
            </w:r>
          </w:p>
        </w:tc>
      </w:tr>
      <w:tr>
        <w:tc>
          <w:tcPr>
            <w:tcW w:type="dxa" w:w="3251"/>
          </w:tcPr>
          <w:p>
            <w:pPr>
              <w:spacing w:after="20"/>
            </w:pPr>
            <w:r/>
            <w:r>
              <w:rPr>
                <w:sz w:val="17"/>
              </w:rPr>
              <w:t>Comercial</w:t>
            </w:r>
          </w:p>
        </w:tc>
        <w:tc>
          <w:tcPr>
            <w:tcW w:type="dxa" w:w="3251"/>
          </w:tcPr>
          <w:p>
            <w:pPr>
              <w:spacing w:after="20"/>
            </w:pPr>
            <w:r/>
            <w:r>
              <w:rPr>
                <w:sz w:val="17"/>
              </w:rPr>
              <w:t>CP</w:t>
            </w:r>
          </w:p>
        </w:tc>
        <w:tc>
          <w:tcPr>
            <w:tcW w:type="dxa" w:w="3251"/>
          </w:tcPr>
          <w:p>
            <w:pPr>
              <w:spacing w:after="20"/>
            </w:pPr>
            <w:r/>
            <w:r>
              <w:rPr>
                <w:sz w:val="17"/>
              </w:rPr>
              <w:t>El certificado se emite sobre el estado confirmado del lote: se prefiere no responder antes que informar un origen que después cambie</w:t>
            </w:r>
          </w:p>
        </w:tc>
      </w:tr>
      <w:tr>
        <w:tc>
          <w:tcPr>
            <w:tcW w:type="dxa" w:w="3251"/>
          </w:tcPr>
          <w:p>
            <w:pPr>
              <w:spacing w:after="20"/>
            </w:pPr>
            <w:r/>
            <w:r>
              <w:rPr>
                <w:sz w:val="17"/>
              </w:rPr>
              <w:t>Analítico</w:t>
            </w:r>
          </w:p>
        </w:tc>
        <w:tc>
          <w:tcPr>
            <w:tcW w:type="dxa" w:w="3251"/>
          </w:tcPr>
          <w:p>
            <w:pPr>
              <w:spacing w:after="20"/>
            </w:pPr>
            <w:r/>
            <w:r>
              <w:rPr>
                <w:sz w:val="17"/>
              </w:rPr>
              <w:t>AP</w:t>
            </w:r>
          </w:p>
        </w:tc>
        <w:tc>
          <w:tcPr>
            <w:tcW w:type="dxa" w:w="3251"/>
          </w:tcPr>
          <w:p>
            <w:pPr>
              <w:spacing w:after="20"/>
            </w:pPr>
            <w:r/>
            <w:r>
              <w:rPr>
                <w:sz w:val="17"/>
              </w:rPr>
              <w:t>Consistencia eventual con latencia comprometida: 15 minutos para indicadores de turno y 4 horas para gestión. El tablero degradado es aceptable; el registro degradado no</w:t>
            </w:r>
          </w:p>
        </w:tc>
      </w:tr>
      <w:tr>
        <w:tc>
          <w:tcPr>
            <w:tcW w:type="dxa" w:w="3251"/>
          </w:tcPr>
          <w:p>
            <w:pPr>
              <w:spacing w:after="20"/>
            </w:pPr>
            <w:r/>
            <w:r>
              <w:rPr>
                <w:sz w:val="17"/>
              </w:rPr>
              <w:t>Plataforma</w:t>
            </w:r>
          </w:p>
        </w:tc>
        <w:tc>
          <w:tcPr>
            <w:tcW w:type="dxa" w:w="3251"/>
          </w:tcPr>
          <w:p>
            <w:pPr>
              <w:spacing w:after="20"/>
            </w:pPr>
            <w:r/>
            <w:r>
              <w:rPr>
                <w:sz w:val="17"/>
              </w:rPr>
              <w:t>CP</w:t>
            </w:r>
          </w:p>
        </w:tc>
        <w:tc>
          <w:tcPr>
            <w:tcW w:type="dxa" w:w="3251"/>
          </w:tcPr>
          <w:p>
            <w:pPr>
              <w:spacing w:after="20"/>
            </w:pPr>
            <w:r/>
            <w:r>
              <w:rPr>
                <w:sz w:val="17"/>
              </w:rPr>
              <w:t>Dos versiones simultáneas del mismo parámetro romperían el recálculo retroactivo</w:t>
            </w:r>
          </w:p>
        </w:tc>
      </w:tr>
    </w:tbl>
    <w:p>
      <w:pPr>
        <w:spacing w:after="40"/>
      </w:pPr>
    </w:p>
    <w:p>
      <w:pPr>
        <w:jc w:val="both"/>
      </w:pPr>
      <w:r>
        <w:rPr>
          <w:sz w:val="20"/>
        </w:rPr>
        <w:t>Ambas posiciones conviven porque la frontera entre ellas es un evento y no una transacción distribuida: el terreno publica, el núcleo consume y reconcilia. No existe confirmación en dos fases entre la faena y el centro de datos.</w:t>
      </w:r>
    </w:p>
    <w:p>
      <w:r>
        <w:br w:type="page"/>
      </w:r>
    </w:p>
    <w:p>
      <w:pPr>
        <w:keepNext/>
        <w:spacing w:before="280" w:after="80"/>
      </w:pPr>
      <w:r>
        <w:rPr>
          <w:b/>
          <w:color w:val="0D2B45"/>
          <w:sz w:val="28"/>
        </w:rPr>
        <w:t>3. Estrategia de migración, saneamiento, validación y conciliación</w:t>
      </w:r>
    </w:p>
    <w:p>
      <w:pPr>
        <w:keepNext/>
        <w:spacing w:before="200" w:after="80"/>
      </w:pPr>
      <w:r>
        <w:rPr>
          <w:b/>
          <w:color w:val="1F4D75"/>
          <w:sz w:val="23"/>
        </w:rPr>
        <w:t>3.1 Alcance y ventana</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Origen</w:t>
            </w:r>
          </w:p>
        </w:tc>
        <w:tc>
          <w:tcPr>
            <w:tcW w:type="dxa" w:w="2438"/>
            <w:shd w:val="clear" w:fill="E7EEF6"/>
          </w:tcPr>
          <w:p>
            <w:pPr>
              <w:spacing w:after="20"/>
            </w:pPr>
            <w:r/>
            <w:r>
              <w:rPr>
                <w:b/>
                <w:sz w:val="17"/>
              </w:rPr>
              <w:t>Qué se migra</w:t>
            </w:r>
          </w:p>
        </w:tc>
        <w:tc>
          <w:tcPr>
            <w:tcW w:type="dxa" w:w="2438"/>
            <w:shd w:val="clear" w:fill="E7EEF6"/>
          </w:tcPr>
          <w:p>
            <w:pPr>
              <w:spacing w:after="20"/>
            </w:pPr>
            <w:r/>
            <w:r>
              <w:rPr>
                <w:b/>
                <w:sz w:val="17"/>
              </w:rPr>
              <w:t>Ventana en línea</w:t>
            </w:r>
          </w:p>
        </w:tc>
        <w:tc>
          <w:tcPr>
            <w:tcW w:type="dxa" w:w="2438"/>
            <w:shd w:val="clear" w:fill="E7EEF6"/>
          </w:tcPr>
          <w:p>
            <w:pPr>
              <w:spacing w:after="20"/>
            </w:pPr>
            <w:r/>
            <w:r>
              <w:rPr>
                <w:b/>
                <w:sz w:val="17"/>
              </w:rPr>
              <w:t>Destino del resto</w:t>
            </w:r>
          </w:p>
        </w:tc>
      </w:tr>
      <w:tr>
        <w:tc>
          <w:tcPr>
            <w:tcW w:type="dxa" w:w="2438"/>
          </w:tcPr>
          <w:p>
            <w:pPr>
              <w:spacing w:after="20"/>
            </w:pPr>
            <w:r/>
            <w:r>
              <w:rPr>
                <w:sz w:val="17"/>
              </w:rPr>
              <w:t>Planillas de turno y registros ofimáticos</w:t>
            </w:r>
          </w:p>
        </w:tc>
        <w:tc>
          <w:tcPr>
            <w:tcW w:type="dxa" w:w="2438"/>
          </w:tcPr>
          <w:p>
            <w:pPr>
              <w:spacing w:after="20"/>
            </w:pPr>
            <w:r/>
            <w:r>
              <w:rPr>
                <w:sz w:val="17"/>
              </w:rPr>
              <w:t>Trazabilidad de mineral y movimientos de stock</w:t>
            </w:r>
          </w:p>
        </w:tc>
        <w:tc>
          <w:tcPr>
            <w:tcW w:type="dxa" w:w="2438"/>
          </w:tcPr>
          <w:p>
            <w:pPr>
              <w:spacing w:after="20"/>
            </w:pPr>
            <w:r/>
            <w:r>
              <w:rPr>
                <w:sz w:val="17"/>
              </w:rPr>
              <w:t>5 años</w:t>
            </w:r>
          </w:p>
        </w:tc>
        <w:tc>
          <w:tcPr>
            <w:tcW w:type="dxa" w:w="2438"/>
          </w:tcPr>
          <w:p>
            <w:pPr>
              <w:spacing w:after="20"/>
            </w:pPr>
            <w:r/>
            <w:r>
              <w:rPr>
                <w:sz w:val="17"/>
              </w:rPr>
              <w:t>Repositorio de consulta histórica, del sexto al décimo año</w:t>
            </w:r>
          </w:p>
        </w:tc>
      </w:tr>
      <w:tr>
        <w:tc>
          <w:tcPr>
            <w:tcW w:type="dxa" w:w="2438"/>
          </w:tcPr>
          <w:p>
            <w:pPr>
              <w:spacing w:after="20"/>
            </w:pPr>
            <w:r/>
            <w:r>
              <w:rPr>
                <w:sz w:val="17"/>
              </w:rPr>
              <w:t>Despacho de flota</w:t>
            </w:r>
          </w:p>
        </w:tc>
        <w:tc>
          <w:tcPr>
            <w:tcW w:type="dxa" w:w="2438"/>
          </w:tcPr>
          <w:p>
            <w:pPr>
              <w:spacing w:after="20"/>
            </w:pPr>
            <w:r/>
            <w:r>
              <w:rPr>
                <w:sz w:val="17"/>
              </w:rPr>
              <w:t>Viajes, palas, destinos, posiciones y horas</w:t>
            </w:r>
          </w:p>
        </w:tc>
        <w:tc>
          <w:tcPr>
            <w:tcW w:type="dxa" w:w="2438"/>
          </w:tcPr>
          <w:p>
            <w:pPr>
              <w:spacing w:after="20"/>
            </w:pPr>
            <w:r/>
            <w:r>
              <w:rPr>
                <w:sz w:val="17"/>
              </w:rPr>
              <w:t>5 años</w:t>
            </w:r>
          </w:p>
        </w:tc>
        <w:tc>
          <w:tcPr>
            <w:tcW w:type="dxa" w:w="2438"/>
          </w:tcPr>
          <w:p>
            <w:pPr>
              <w:spacing w:after="20"/>
            </w:pPr>
            <w:r/>
            <w:r>
              <w:rPr>
                <w:sz w:val="17"/>
              </w:rPr>
              <w:t>Repositorio de consulta histórica</w:t>
            </w:r>
          </w:p>
        </w:tc>
      </w:tr>
      <w:tr>
        <w:tc>
          <w:tcPr>
            <w:tcW w:type="dxa" w:w="2438"/>
          </w:tcPr>
          <w:p>
            <w:pPr>
              <w:spacing w:after="20"/>
            </w:pPr>
            <w:r/>
            <w:r>
              <w:rPr>
                <w:sz w:val="17"/>
              </w:rPr>
              <w:t>Sistema de gestión de laboratorio</w:t>
            </w:r>
          </w:p>
        </w:tc>
        <w:tc>
          <w:tcPr>
            <w:tcW w:type="dxa" w:w="2438"/>
          </w:tcPr>
          <w:p>
            <w:pPr>
              <w:spacing w:after="20"/>
            </w:pPr>
            <w:r/>
            <w:r>
              <w:rPr>
                <w:sz w:val="17"/>
              </w:rPr>
              <w:t>Muestras, análisis y certificados</w:t>
            </w:r>
          </w:p>
        </w:tc>
        <w:tc>
          <w:tcPr>
            <w:tcW w:type="dxa" w:w="2438"/>
          </w:tcPr>
          <w:p>
            <w:pPr>
              <w:spacing w:after="20"/>
            </w:pPr>
            <w:r/>
            <w:r>
              <w:rPr>
                <w:sz w:val="17"/>
              </w:rPr>
              <w:t>5 años</w:t>
            </w:r>
          </w:p>
        </w:tc>
        <w:tc>
          <w:tcPr>
            <w:tcW w:type="dxa" w:w="2438"/>
          </w:tcPr>
          <w:p>
            <w:pPr>
              <w:spacing w:after="20"/>
            </w:pPr>
            <w:r/>
            <w:r>
              <w:rPr>
                <w:sz w:val="17"/>
              </w:rPr>
              <w:t>Repositorio de consulta histórica</w:t>
            </w:r>
          </w:p>
        </w:tc>
      </w:tr>
      <w:tr>
        <w:tc>
          <w:tcPr>
            <w:tcW w:type="dxa" w:w="2438"/>
          </w:tcPr>
          <w:p>
            <w:pPr>
              <w:spacing w:after="20"/>
            </w:pPr>
            <w:r/>
            <w:r>
              <w:rPr>
                <w:sz w:val="17"/>
              </w:rPr>
              <w:t>ERP corporativo</w:t>
            </w:r>
          </w:p>
        </w:tc>
        <w:tc>
          <w:tcPr>
            <w:tcW w:type="dxa" w:w="2438"/>
          </w:tcPr>
          <w:p>
            <w:pPr>
              <w:spacing w:after="20"/>
            </w:pPr>
            <w:r/>
            <w:r>
              <w:rPr>
                <w:sz w:val="17"/>
              </w:rPr>
              <w:t>Maestro de personal, activos y embarques</w:t>
            </w:r>
          </w:p>
        </w:tc>
        <w:tc>
          <w:tcPr>
            <w:tcW w:type="dxa" w:w="2438"/>
          </w:tcPr>
          <w:p>
            <w:pPr>
              <w:spacing w:after="20"/>
            </w:pPr>
            <w:r/>
            <w:r>
              <w:rPr>
                <w:sz w:val="17"/>
              </w:rPr>
              <w:t>Vigente</w:t>
            </w:r>
          </w:p>
        </w:tc>
        <w:tc>
          <w:tcPr>
            <w:tcW w:type="dxa" w:w="2438"/>
          </w:tcPr>
          <w:p>
            <w:pPr>
              <w:spacing w:after="20"/>
            </w:pPr>
            <w:r/>
            <w:r>
              <w:rPr>
                <w:sz w:val="17"/>
              </w:rPr>
              <w:t>Permanece en el ERP: los registros tributarios no se duplican</w:t>
            </w:r>
          </w:p>
        </w:tc>
      </w:tr>
      <w:tr>
        <w:tc>
          <w:tcPr>
            <w:tcW w:type="dxa" w:w="2438"/>
          </w:tcPr>
          <w:p>
            <w:pPr>
              <w:spacing w:after="20"/>
            </w:pPr>
            <w:r/>
            <w:r>
              <w:rPr>
                <w:sz w:val="17"/>
              </w:rPr>
              <w:t>Registros de mantenimiento</w:t>
            </w:r>
          </w:p>
        </w:tc>
        <w:tc>
          <w:tcPr>
            <w:tcW w:type="dxa" w:w="2438"/>
          </w:tcPr>
          <w:p>
            <w:pPr>
              <w:spacing w:after="20"/>
            </w:pPr>
            <w:r/>
            <w:r>
              <w:rPr>
                <w:sz w:val="17"/>
              </w:rPr>
              <w:t>Pautas, detenciones e historial de equipos</w:t>
            </w:r>
          </w:p>
        </w:tc>
        <w:tc>
          <w:tcPr>
            <w:tcW w:type="dxa" w:w="2438"/>
          </w:tcPr>
          <w:p>
            <w:pPr>
              <w:spacing w:after="20"/>
            </w:pPr>
            <w:r/>
            <w:r>
              <w:rPr>
                <w:sz w:val="17"/>
              </w:rPr>
              <w:t>3 años</w:t>
            </w:r>
          </w:p>
        </w:tc>
        <w:tc>
          <w:tcPr>
            <w:tcW w:type="dxa" w:w="2438"/>
          </w:tcPr>
          <w:p>
            <w:pPr>
              <w:spacing w:after="20"/>
            </w:pPr>
            <w:r/>
            <w:r>
              <w:rPr>
                <w:sz w:val="17"/>
              </w:rPr>
              <w:t>Repositorio de consulta histórica</w:t>
            </w:r>
          </w:p>
        </w:tc>
      </w:tr>
      <w:tr>
        <w:tc>
          <w:tcPr>
            <w:tcW w:type="dxa" w:w="2438"/>
          </w:tcPr>
          <w:p>
            <w:pPr>
              <w:spacing w:after="20"/>
            </w:pPr>
            <w:r/>
            <w:r>
              <w:rPr>
                <w:sz w:val="17"/>
              </w:rPr>
              <w:t>Seguridad y salud ocupacional</w:t>
            </w:r>
          </w:p>
        </w:tc>
        <w:tc>
          <w:tcPr>
            <w:tcW w:type="dxa" w:w="2438"/>
          </w:tcPr>
          <w:p>
            <w:pPr>
              <w:spacing w:after="20"/>
            </w:pPr>
            <w:r/>
            <w:r>
              <w:rPr>
                <w:sz w:val="17"/>
              </w:rPr>
              <w:t>Habilitaciones, incidentes e inspecciones</w:t>
            </w:r>
          </w:p>
        </w:tc>
        <w:tc>
          <w:tcPr>
            <w:tcW w:type="dxa" w:w="2438"/>
          </w:tcPr>
          <w:p>
            <w:pPr>
              <w:spacing w:after="20"/>
            </w:pPr>
            <w:r/>
            <w:r>
              <w:rPr>
                <w:sz w:val="17"/>
              </w:rPr>
              <w:t>10 años</w:t>
            </w:r>
          </w:p>
        </w:tc>
        <w:tc>
          <w:tcPr>
            <w:tcW w:type="dxa" w:w="2438"/>
          </w:tcPr>
          <w:p>
            <w:pPr>
              <w:spacing w:after="20"/>
            </w:pPr>
            <w:r/>
            <w:r>
              <w:rPr>
                <w:sz w:val="17"/>
              </w:rPr>
              <w:t>Se migra completo por obligación de retención</w:t>
            </w:r>
          </w:p>
        </w:tc>
      </w:tr>
      <w:tr>
        <w:tc>
          <w:tcPr>
            <w:tcW w:type="dxa" w:w="2438"/>
          </w:tcPr>
          <w:p>
            <w:pPr>
              <w:spacing w:after="20"/>
            </w:pPr>
            <w:r/>
            <w:r>
              <w:rPr>
                <w:sz w:val="17"/>
              </w:rPr>
              <w:t>Monitoreo ambiental</w:t>
            </w:r>
          </w:p>
        </w:tc>
        <w:tc>
          <w:tcPr>
            <w:tcW w:type="dxa" w:w="2438"/>
          </w:tcPr>
          <w:p>
            <w:pPr>
              <w:spacing w:after="20"/>
            </w:pPr>
            <w:r/>
            <w:r>
              <w:rPr>
                <w:sz w:val="17"/>
              </w:rPr>
              <w:t>Compromisos y mediciones</w:t>
            </w:r>
          </w:p>
        </w:tc>
        <w:tc>
          <w:tcPr>
            <w:tcW w:type="dxa" w:w="2438"/>
          </w:tcPr>
          <w:p>
            <w:pPr>
              <w:spacing w:after="20"/>
            </w:pPr>
            <w:r/>
            <w:r>
              <w:rPr>
                <w:sz w:val="17"/>
              </w:rPr>
              <w:t>10 años</w:t>
            </w:r>
          </w:p>
        </w:tc>
        <w:tc>
          <w:tcPr>
            <w:tcW w:type="dxa" w:w="2438"/>
          </w:tcPr>
          <w:p>
            <w:pPr>
              <w:spacing w:after="20"/>
            </w:pPr>
            <w:r/>
            <w:r>
              <w:rPr>
                <w:sz w:val="17"/>
              </w:rPr>
              <w:t>Se migra completo por obligación de retención</w:t>
            </w:r>
          </w:p>
        </w:tc>
      </w:tr>
    </w:tbl>
    <w:p>
      <w:pPr>
        <w:spacing w:after="40"/>
      </w:pPr>
    </w:p>
    <w:p>
      <w:pPr>
        <w:keepNext/>
        <w:spacing w:before="200" w:after="80"/>
      </w:pPr>
      <w:r>
        <w:rPr>
          <w:b/>
          <w:color w:val="1F4D75"/>
          <w:sz w:val="23"/>
        </w:rPr>
        <w:t>3.2 Fases</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N.º</w:t>
            </w:r>
          </w:p>
        </w:tc>
        <w:tc>
          <w:tcPr>
            <w:tcW w:type="dxa" w:w="3251"/>
            <w:shd w:val="clear" w:fill="E7EEF6"/>
          </w:tcPr>
          <w:p>
            <w:pPr>
              <w:spacing w:after="20"/>
            </w:pPr>
            <w:r/>
            <w:r>
              <w:rPr>
                <w:b/>
                <w:sz w:val="17"/>
              </w:rPr>
              <w:t>Fase</w:t>
            </w:r>
          </w:p>
        </w:tc>
        <w:tc>
          <w:tcPr>
            <w:tcW w:type="dxa" w:w="3251"/>
            <w:shd w:val="clear" w:fill="E7EEF6"/>
          </w:tcPr>
          <w:p>
            <w:pPr>
              <w:spacing w:after="20"/>
            </w:pPr>
            <w:r/>
            <w:r>
              <w:rPr>
                <w:b/>
                <w:sz w:val="17"/>
              </w:rPr>
              <w:t>Contenido y salida verificable</w:t>
            </w:r>
          </w:p>
        </w:tc>
      </w:tr>
      <w:tr>
        <w:tc>
          <w:tcPr>
            <w:tcW w:type="dxa" w:w="3251"/>
          </w:tcPr>
          <w:p>
            <w:pPr>
              <w:spacing w:after="20"/>
            </w:pPr>
            <w:r/>
            <w:r>
              <w:rPr>
                <w:sz w:val="17"/>
              </w:rPr>
              <w:t>1</w:t>
            </w:r>
          </w:p>
        </w:tc>
        <w:tc>
          <w:tcPr>
            <w:tcW w:type="dxa" w:w="3251"/>
          </w:tcPr>
          <w:p>
            <w:pPr>
              <w:spacing w:after="20"/>
            </w:pPr>
            <w:r/>
            <w:r>
              <w:rPr>
                <w:sz w:val="17"/>
              </w:rPr>
              <w:t>Inventario y perfilado</w:t>
            </w:r>
          </w:p>
        </w:tc>
        <w:tc>
          <w:tcPr>
            <w:tcW w:type="dxa" w:w="3251"/>
          </w:tcPr>
          <w:p>
            <w:pPr>
              <w:spacing w:after="20"/>
            </w:pPr>
            <w:r/>
            <w:r>
              <w:rPr>
                <w:sz w:val="17"/>
              </w:rPr>
              <w:t>Cada fuente con su volumen, formato y responsable. Perfilado automatizado: cardinalidad, nulos, valores fuera de dominio, duplicados, formatos de fecha y unidades. Salida: informe de perfilado con el porcentaje de registros que no pasan cada regla</w:t>
            </w:r>
          </w:p>
        </w:tc>
      </w:tr>
      <w:tr>
        <w:tc>
          <w:tcPr>
            <w:tcW w:type="dxa" w:w="3251"/>
          </w:tcPr>
          <w:p>
            <w:pPr>
              <w:spacing w:after="20"/>
            </w:pPr>
            <w:r/>
            <w:r>
              <w:rPr>
                <w:sz w:val="17"/>
              </w:rPr>
              <w:t>2</w:t>
            </w:r>
          </w:p>
        </w:tc>
        <w:tc>
          <w:tcPr>
            <w:tcW w:type="dxa" w:w="3251"/>
          </w:tcPr>
          <w:p>
            <w:pPr>
              <w:spacing w:after="20"/>
            </w:pPr>
            <w:r/>
            <w:r>
              <w:rPr>
                <w:sz w:val="17"/>
              </w:rPr>
              <w:t>Saneamiento</w:t>
            </w:r>
          </w:p>
        </w:tc>
        <w:tc>
          <w:tcPr>
            <w:tcW w:type="dxa" w:w="3251"/>
          </w:tcPr>
          <w:p>
            <w:pPr>
              <w:spacing w:after="20"/>
            </w:pPr>
            <w:r/>
            <w:r>
              <w:rPr>
                <w:sz w:val="17"/>
              </w:rPr>
              <w:t>Normalización de unidades y formatos, resolución de duplicados por regla declarada y homologación de catálogos contra la taxonomía vigente. Todo registro corregido conserva su valor original. Salida: tabla de reglas y bitácora de correcciones</w:t>
            </w:r>
          </w:p>
        </w:tc>
      </w:tr>
      <w:tr>
        <w:tc>
          <w:tcPr>
            <w:tcW w:type="dxa" w:w="3251"/>
          </w:tcPr>
          <w:p>
            <w:pPr>
              <w:spacing w:after="20"/>
            </w:pPr>
            <w:r/>
            <w:r>
              <w:rPr>
                <w:sz w:val="17"/>
              </w:rPr>
              <w:t>3</w:t>
            </w:r>
          </w:p>
        </w:tc>
        <w:tc>
          <w:tcPr>
            <w:tcW w:type="dxa" w:w="3251"/>
          </w:tcPr>
          <w:p>
            <w:pPr>
              <w:spacing w:after="20"/>
            </w:pPr>
            <w:r/>
            <w:r>
              <w:rPr>
                <w:sz w:val="17"/>
              </w:rPr>
              <w:t>Ensayos de carga</w:t>
            </w:r>
          </w:p>
        </w:tc>
        <w:tc>
          <w:tcPr>
            <w:tcW w:type="dxa" w:w="3251"/>
          </w:tcPr>
          <w:p>
            <w:pPr>
              <w:spacing w:after="20"/>
            </w:pPr>
            <w:r/>
            <w:r>
              <w:rPr>
                <w:sz w:val="17"/>
              </w:rPr>
              <w:t>Al menos dos ensayos completos sobre datos reales en ambiente no productivo, con el dato personal sensible sustituido por dato sintético. Salida: tiempo de carga medido y errores por tipo</w:t>
            </w:r>
          </w:p>
        </w:tc>
      </w:tr>
      <w:tr>
        <w:tc>
          <w:tcPr>
            <w:tcW w:type="dxa" w:w="3251"/>
          </w:tcPr>
          <w:p>
            <w:pPr>
              <w:spacing w:after="20"/>
            </w:pPr>
            <w:r/>
            <w:r>
              <w:rPr>
                <w:sz w:val="17"/>
              </w:rPr>
              <w:t>4</w:t>
            </w:r>
          </w:p>
        </w:tc>
        <w:tc>
          <w:tcPr>
            <w:tcW w:type="dxa" w:w="3251"/>
          </w:tcPr>
          <w:p>
            <w:pPr>
              <w:spacing w:after="20"/>
            </w:pPr>
            <w:r/>
            <w:r>
              <w:rPr>
                <w:sz w:val="17"/>
              </w:rPr>
              <w:t>Validación</w:t>
            </w:r>
          </w:p>
        </w:tc>
        <w:tc>
          <w:tcPr>
            <w:tcW w:type="dxa" w:w="3251"/>
          </w:tcPr>
          <w:p>
            <w:pPr>
              <w:spacing w:after="20"/>
            </w:pPr>
            <w:r/>
            <w:r>
              <w:rPr>
                <w:sz w:val="17"/>
              </w:rPr>
              <w:t>Validación estructural contra el modelo, de dominio contra el diccionario y de reglas de integridad. Ningún registro entra a producción violando una regla: queda en cuarentena con motivo desde lista cerrada</w:t>
            </w:r>
          </w:p>
        </w:tc>
      </w:tr>
      <w:tr>
        <w:tc>
          <w:tcPr>
            <w:tcW w:type="dxa" w:w="3251"/>
          </w:tcPr>
          <w:p>
            <w:pPr>
              <w:spacing w:after="20"/>
            </w:pPr>
            <w:r/>
            <w:r>
              <w:rPr>
                <w:sz w:val="17"/>
              </w:rPr>
              <w:t>5</w:t>
            </w:r>
          </w:p>
        </w:tc>
        <w:tc>
          <w:tcPr>
            <w:tcW w:type="dxa" w:w="3251"/>
          </w:tcPr>
          <w:p>
            <w:pPr>
              <w:spacing w:after="20"/>
            </w:pPr>
            <w:r/>
            <w:r>
              <w:rPr>
                <w:sz w:val="17"/>
              </w:rPr>
              <w:t>Conciliación</w:t>
            </w:r>
          </w:p>
        </w:tc>
        <w:tc>
          <w:tcPr>
            <w:tcW w:type="dxa" w:w="3251"/>
          </w:tcPr>
          <w:p>
            <w:pPr>
              <w:spacing w:after="20"/>
            </w:pPr>
            <w:r/>
            <w:r>
              <w:rPr>
                <w:sz w:val="17"/>
              </w:rPr>
              <w:t>Conteo por entidad y período contra la fuente, sumas de control de tonelaje, ley y monto, y muestreo dirigido de al menos 200 registros por entidad crítica. Salida: acta de conciliación firmada por el CLIENTE</w:t>
            </w:r>
          </w:p>
        </w:tc>
      </w:tr>
      <w:tr>
        <w:tc>
          <w:tcPr>
            <w:tcW w:type="dxa" w:w="3251"/>
          </w:tcPr>
          <w:p>
            <w:pPr>
              <w:spacing w:after="20"/>
            </w:pPr>
            <w:r/>
            <w:r>
              <w:rPr>
                <w:sz w:val="17"/>
              </w:rPr>
              <w:t>6</w:t>
            </w:r>
          </w:p>
        </w:tc>
        <w:tc>
          <w:tcPr>
            <w:tcW w:type="dxa" w:w="3251"/>
          </w:tcPr>
          <w:p>
            <w:pPr>
              <w:spacing w:after="20"/>
            </w:pPr>
            <w:r/>
            <w:r>
              <w:rPr>
                <w:sz w:val="17"/>
              </w:rPr>
              <w:t>Corte</w:t>
            </w:r>
          </w:p>
        </w:tc>
        <w:tc>
          <w:tcPr>
            <w:tcW w:type="dxa" w:w="3251"/>
          </w:tcPr>
          <w:p>
            <w:pPr>
              <w:spacing w:after="20"/>
            </w:pPr>
            <w:r/>
            <w:r>
              <w:rPr>
                <w:sz w:val="17"/>
              </w:rPr>
              <w:t>Congelamiento de la fuente, carga incremental final y apertura del sistema. La fuente queda en sólo lectura durante el período de garantía</w:t>
            </w:r>
          </w:p>
        </w:tc>
      </w:tr>
    </w:tbl>
    <w:p>
      <w:pPr>
        <w:spacing w:after="40"/>
      </w:pPr>
    </w:p>
    <w:p>
      <w:pPr>
        <w:keepNext/>
        <w:spacing w:before="200" w:after="80"/>
      </w:pPr>
      <w:r>
        <w:rPr>
          <w:b/>
          <w:color w:val="1F4D75"/>
          <w:sz w:val="23"/>
        </w:rPr>
        <w:t>3.3 Criterios de aceptación y reversa</w:t>
      </w:r>
    </w:p>
    <w:p>
      <w:pPr>
        <w:pStyle w:val="ListBullet"/>
        <w:spacing w:after="40"/>
      </w:pPr>
      <w:r>
        <w:rPr>
          <w:b/>
          <w:sz w:val="20"/>
        </w:rPr>
        <w:t>Completitud:</w:t>
      </w:r>
      <w:r>
        <w:rPr>
          <w:sz w:val="20"/>
        </w:rPr>
        <w:t xml:space="preserve"> 100 % de los registros de la ventana en línea presentes en destino o justificados en cuarentena. No se acepta pérdida silenciosa.</w:t>
      </w:r>
    </w:p>
    <w:p>
      <w:pPr>
        <w:pStyle w:val="ListBullet"/>
        <w:spacing w:after="40"/>
      </w:pPr>
      <w:r>
        <w:rPr>
          <w:b/>
          <w:sz w:val="20"/>
        </w:rPr>
        <w:t>Exactitud:</w:t>
      </w:r>
      <w:r>
        <w:rPr>
          <w:sz w:val="20"/>
        </w:rPr>
        <w:t xml:space="preserve"> diferencia cero en las sumas de control por período; toda discrepancia explicada y documentada.</w:t>
      </w:r>
    </w:p>
    <w:p>
      <w:pPr>
        <w:pStyle w:val="ListBullet"/>
        <w:spacing w:after="40"/>
      </w:pPr>
      <w:r>
        <w:rPr>
          <w:b/>
          <w:sz w:val="20"/>
        </w:rPr>
        <w:t>Integridad referencial:</w:t>
      </w:r>
      <w:r>
        <w:rPr>
          <w:sz w:val="20"/>
        </w:rPr>
        <w:t xml:space="preserve"> cero referencias huérfanas en el árbol de trazabilidad migrado.</w:t>
      </w:r>
    </w:p>
    <w:p>
      <w:pPr>
        <w:pStyle w:val="ListBullet"/>
        <w:spacing w:after="40"/>
      </w:pPr>
      <w:r>
        <w:rPr>
          <w:b/>
          <w:sz w:val="20"/>
        </w:rPr>
        <w:t>Trazabilidad:</w:t>
      </w:r>
      <w:r>
        <w:rPr>
          <w:sz w:val="20"/>
        </w:rPr>
        <w:t xml:space="preserve"> todo registro migrado conserva su origen y su marca de migración, distinguible del dato nacido digital.</w:t>
      </w:r>
    </w:p>
    <w:p>
      <w:pPr>
        <w:pStyle w:val="ListBullet"/>
        <w:spacing w:after="40"/>
      </w:pPr>
      <w:r>
        <w:rPr>
          <w:b/>
          <w:sz w:val="20"/>
        </w:rPr>
        <w:t>Reversa:</w:t>
      </w:r>
      <w:r>
        <w:rPr>
          <w:sz w:val="20"/>
        </w:rPr>
        <w:t xml:space="preserve"> hasta el acta de conciliación la fuente permanece operativa en sólo lectura, de modo que la marcha atrás consiste en reactivarla. Se ensaya en el segundo ensayo de carga y su tiempo se mide.</w:t>
      </w:r>
    </w:p>
    <w:p>
      <w:pPr>
        <w:keepNext/>
        <w:spacing w:before="200" w:after="80"/>
      </w:pPr>
      <w:r>
        <w:rPr>
          <w:b/>
          <w:color w:val="1F4D75"/>
          <w:sz w:val="23"/>
        </w:rPr>
        <w:t>3.4 Repositorio de consulta histórica</w:t>
      </w:r>
    </w:p>
    <w:p>
      <w:pPr>
        <w:jc w:val="both"/>
      </w:pPr>
      <w:r>
        <w:rPr>
          <w:sz w:val="20"/>
        </w:rPr>
        <w:t>Lo que queda fuera de la ventana en línea no se descarta: se carga en un repositorio de sólo lectura que responde con la marca de origen anterior al sistema, con el mismo control de acceso, la misma auditoría y el mismo tratamiento del dato sensible que el registro vivo. No alimenta conciliación, indicadores ni recálculo retroactivo, porque su calidad no es la del dato nacido digital y mezclarlos contaminaría las cifras comprometidas.</w:t>
      </w:r>
    </w:p>
    <w:p>
      <w:r>
        <w:br w:type="page"/>
      </w:r>
    </w:p>
    <w:p>
      <w:pPr>
        <w:keepNext/>
        <w:spacing w:before="280" w:after="80"/>
      </w:pPr>
      <w:r>
        <w:rPr>
          <w:b/>
          <w:color w:val="0D2B45"/>
          <w:sz w:val="28"/>
        </w:rPr>
        <w:t>4. Estrategia de desempeño</w:t>
      </w:r>
    </w:p>
    <w:p>
      <w:pPr>
        <w:keepNext/>
        <w:spacing w:before="200" w:after="80"/>
      </w:pPr>
      <w:r>
        <w:rPr>
          <w:b/>
          <w:color w:val="1F4D75"/>
          <w:sz w:val="23"/>
        </w:rPr>
        <w:t>4.1 Umbrales que dimensionan la estrategia</w:t>
      </w:r>
    </w:p>
    <w:tbl>
      <w:tblPr>
        <w:tblStyle w:val="TableGrid"/>
        <w:tblW w:type="auto" w:w="0"/>
        <w:jc w:val="center"/>
        <w:tblLook w:firstColumn="1" w:firstRow="1" w:lastColumn="0" w:lastRow="0" w:noHBand="0" w:noVBand="1" w:val="04A0"/>
      </w:tblPr>
      <w:tblGrid>
        <w:gridCol w:w="4876"/>
        <w:gridCol w:w="4876"/>
      </w:tblGrid>
      <w:tr>
        <w:tc>
          <w:tcPr>
            <w:tcW w:type="dxa" w:w="4876"/>
            <w:shd w:val="clear" w:fill="E7EEF6"/>
          </w:tcPr>
          <w:p>
            <w:pPr>
              <w:spacing w:after="20"/>
            </w:pPr>
            <w:r/>
            <w:r>
              <w:rPr>
                <w:b/>
                <w:sz w:val="17"/>
              </w:rPr>
              <w:t>Umbral</w:t>
            </w:r>
          </w:p>
        </w:tc>
        <w:tc>
          <w:tcPr>
            <w:tcW w:type="dxa" w:w="4876"/>
            <w:shd w:val="clear" w:fill="E7EEF6"/>
          </w:tcPr>
          <w:p>
            <w:pPr>
              <w:spacing w:after="20"/>
            </w:pPr>
            <w:r/>
            <w:r>
              <w:rPr>
                <w:b/>
                <w:sz w:val="17"/>
              </w:rPr>
              <w:t>Valor comprometido</w:t>
            </w:r>
          </w:p>
        </w:tc>
      </w:tr>
      <w:tr>
        <w:tc>
          <w:tcPr>
            <w:tcW w:type="dxa" w:w="4876"/>
          </w:tcPr>
          <w:p>
            <w:pPr>
              <w:spacing w:after="20"/>
            </w:pPr>
            <w:r/>
            <w:r>
              <w:rPr>
                <w:sz w:val="17"/>
              </w:rPr>
              <w:t>Transacciones por segundo en régimen y en peak</w:t>
            </w:r>
          </w:p>
        </w:tc>
        <w:tc>
          <w:tcPr>
            <w:tcW w:type="dxa" w:w="4876"/>
          </w:tcPr>
          <w:p>
            <w:pPr>
              <w:spacing w:after="20"/>
            </w:pPr>
            <w:r/>
            <w:r>
              <w:rPr>
                <w:sz w:val="17"/>
              </w:rPr>
              <w:t>40 y 200, con degradación no superior al 20 % del tiempo de respuesta durante 45 a 60 minutos</w:t>
            </w:r>
          </w:p>
        </w:tc>
      </w:tr>
      <w:tr>
        <w:tc>
          <w:tcPr>
            <w:tcW w:type="dxa" w:w="4876"/>
          </w:tcPr>
          <w:p>
            <w:pPr>
              <w:spacing w:after="20"/>
            </w:pPr>
            <w:r/>
            <w:r>
              <w:rPr>
                <w:sz w:val="17"/>
              </w:rPr>
              <w:t>Validación de habilitación en portería</w:t>
            </w:r>
          </w:p>
        </w:tc>
        <w:tc>
          <w:tcPr>
            <w:tcW w:type="dxa" w:w="4876"/>
          </w:tcPr>
          <w:p>
            <w:pPr>
              <w:spacing w:after="20"/>
            </w:pPr>
            <w:r/>
            <w:r>
              <w:rPr>
                <w:sz w:val="17"/>
              </w:rPr>
              <w:t>≤ 1,5 segundos, incluso sin enlace</w:t>
            </w:r>
          </w:p>
        </w:tc>
      </w:tr>
      <w:tr>
        <w:tc>
          <w:tcPr>
            <w:tcW w:type="dxa" w:w="4876"/>
          </w:tcPr>
          <w:p>
            <w:pPr>
              <w:spacing w:after="20"/>
            </w:pPr>
            <w:r/>
            <w:r>
              <w:rPr>
                <w:sz w:val="17"/>
              </w:rPr>
              <w:t>Apertura de sesión de operador por proximidad</w:t>
            </w:r>
          </w:p>
        </w:tc>
        <w:tc>
          <w:tcPr>
            <w:tcW w:type="dxa" w:w="4876"/>
          </w:tcPr>
          <w:p>
            <w:pPr>
              <w:spacing w:after="20"/>
            </w:pPr>
            <w:r/>
            <w:r>
              <w:rPr>
                <w:sz w:val="17"/>
              </w:rPr>
              <w:t>≤ 1 segundo desde la lectura</w:t>
            </w:r>
          </w:p>
        </w:tc>
      </w:tr>
      <w:tr>
        <w:tc>
          <w:tcPr>
            <w:tcW w:type="dxa" w:w="4876"/>
          </w:tcPr>
          <w:p>
            <w:pPr>
              <w:spacing w:after="20"/>
            </w:pPr>
            <w:r/>
            <w:r>
              <w:rPr>
                <w:sz w:val="17"/>
              </w:rPr>
              <w:t>Latencia analítica</w:t>
            </w:r>
          </w:p>
        </w:tc>
        <w:tc>
          <w:tcPr>
            <w:tcW w:type="dxa" w:w="4876"/>
          </w:tcPr>
          <w:p>
            <w:pPr>
              <w:spacing w:after="20"/>
            </w:pPr>
            <w:r/>
            <w:r>
              <w:rPr>
                <w:sz w:val="17"/>
              </w:rPr>
              <w:t>≤ 15 minutos para indicadores de turno; ≤ 4 horas para gestión</w:t>
            </w:r>
          </w:p>
        </w:tc>
      </w:tr>
      <w:tr>
        <w:tc>
          <w:tcPr>
            <w:tcW w:type="dxa" w:w="4876"/>
          </w:tcPr>
          <w:p>
            <w:pPr>
              <w:spacing w:after="20"/>
            </w:pPr>
            <w:r/>
            <w:r>
              <w:rPr>
                <w:sz w:val="17"/>
              </w:rPr>
              <w:t>Reconstrucción del origen de un lote embarcado</w:t>
            </w:r>
          </w:p>
        </w:tc>
        <w:tc>
          <w:tcPr>
            <w:tcW w:type="dxa" w:w="4876"/>
          </w:tcPr>
          <w:p>
            <w:pPr>
              <w:spacing w:after="20"/>
            </w:pPr>
            <w:r/>
            <w:r>
              <w:rPr>
                <w:sz w:val="17"/>
              </w:rPr>
              <w:t>Menos de 2 horas, con evidencia</w:t>
            </w:r>
          </w:p>
        </w:tc>
      </w:tr>
      <w:tr>
        <w:tc>
          <w:tcPr>
            <w:tcW w:type="dxa" w:w="4876"/>
          </w:tcPr>
          <w:p>
            <w:pPr>
              <w:spacing w:after="20"/>
            </w:pPr>
            <w:r/>
            <w:r>
              <w:rPr>
                <w:sz w:val="17"/>
              </w:rPr>
              <w:t>Sincronización tras 48 horas sin enlace</w:t>
            </w:r>
          </w:p>
        </w:tc>
        <w:tc>
          <w:tcPr>
            <w:tcW w:type="dxa" w:w="4876"/>
          </w:tcPr>
          <w:p>
            <w:pPr>
              <w:spacing w:after="20"/>
            </w:pPr>
            <w:r/>
            <w:r>
              <w:rPr>
                <w:sz w:val="17"/>
              </w:rPr>
              <w:t>≤ 4 horas, sin intervención manual</w:t>
            </w:r>
          </w:p>
        </w:tc>
      </w:tr>
      <w:tr>
        <w:tc>
          <w:tcPr>
            <w:tcW w:type="dxa" w:w="4876"/>
          </w:tcPr>
          <w:p>
            <w:pPr>
              <w:spacing w:after="20"/>
            </w:pPr>
            <w:r/>
            <w:r>
              <w:rPr>
                <w:sz w:val="17"/>
              </w:rPr>
              <w:t>Crecimiento sostenido sin rediseño</w:t>
            </w:r>
          </w:p>
        </w:tc>
        <w:tc>
          <w:tcPr>
            <w:tcW w:type="dxa" w:w="4876"/>
          </w:tcPr>
          <w:p>
            <w:pPr>
              <w:spacing w:after="20"/>
            </w:pPr>
            <w:r/>
            <w:r>
              <w:rPr>
                <w:sz w:val="17"/>
              </w:rPr>
              <w:t>El triple del volumen declarado</w:t>
            </w:r>
          </w:p>
        </w:tc>
      </w:tr>
    </w:tbl>
    <w:p>
      <w:pPr>
        <w:spacing w:after="40"/>
      </w:pPr>
    </w:p>
    <w:p>
      <w:pPr>
        <w:keepNext/>
        <w:spacing w:before="200" w:after="80"/>
      </w:pPr>
      <w:r>
        <w:rPr>
          <w:b/>
          <w:color w:val="1F4D75"/>
          <w:sz w:val="23"/>
        </w:rPr>
        <w:t>4.2 Indexación</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Tipo de índice</w:t>
            </w:r>
          </w:p>
        </w:tc>
        <w:tc>
          <w:tcPr>
            <w:tcW w:type="dxa" w:w="3251"/>
            <w:shd w:val="clear" w:fill="E7EEF6"/>
          </w:tcPr>
          <w:p>
            <w:pPr>
              <w:spacing w:after="20"/>
            </w:pPr>
            <w:r/>
            <w:r>
              <w:rPr>
                <w:b/>
                <w:sz w:val="17"/>
              </w:rPr>
              <w:t>Dónde</w:t>
            </w:r>
          </w:p>
        </w:tc>
        <w:tc>
          <w:tcPr>
            <w:tcW w:type="dxa" w:w="3251"/>
            <w:shd w:val="clear" w:fill="E7EEF6"/>
          </w:tcPr>
          <w:p>
            <w:pPr>
              <w:spacing w:after="20"/>
            </w:pPr>
            <w:r/>
            <w:r>
              <w:rPr>
                <w:b/>
                <w:sz w:val="17"/>
              </w:rPr>
              <w:t>Qué consulta sostiene</w:t>
            </w:r>
          </w:p>
        </w:tc>
      </w:tr>
      <w:tr>
        <w:tc>
          <w:tcPr>
            <w:tcW w:type="dxa" w:w="3251"/>
          </w:tcPr>
          <w:p>
            <w:pPr>
              <w:spacing w:after="20"/>
            </w:pPr>
            <w:r/>
            <w:r>
              <w:rPr>
                <w:sz w:val="17"/>
              </w:rPr>
              <w:t>Clave primaria y únicos</w:t>
            </w:r>
          </w:p>
        </w:tc>
        <w:tc>
          <w:tcPr>
            <w:tcW w:type="dxa" w:w="3251"/>
          </w:tcPr>
          <w:p>
            <w:pPr>
              <w:spacing w:after="20"/>
            </w:pPr>
            <w:r/>
            <w:r>
              <w:rPr>
                <w:sz w:val="17"/>
              </w:rPr>
              <w:t>Todas las entidades; par entidad-versión en las versionadas</w:t>
            </w:r>
          </w:p>
        </w:tc>
        <w:tc>
          <w:tcPr>
            <w:tcW w:type="dxa" w:w="3251"/>
          </w:tcPr>
          <w:p>
            <w:pPr>
              <w:spacing w:after="20"/>
            </w:pPr>
            <w:r/>
            <w:r>
              <w:rPr>
                <w:sz w:val="17"/>
              </w:rPr>
              <w:t>Resolución por identificador y unicidad de la versión vigente</w:t>
            </w:r>
          </w:p>
        </w:tc>
      </w:tr>
      <w:tr>
        <w:tc>
          <w:tcPr>
            <w:tcW w:type="dxa" w:w="3251"/>
          </w:tcPr>
          <w:p>
            <w:pPr>
              <w:spacing w:after="20"/>
            </w:pPr>
            <w:r/>
            <w:r>
              <w:rPr>
                <w:sz w:val="17"/>
              </w:rPr>
              <w:t>Clave foránea</w:t>
            </w:r>
          </w:p>
        </w:tc>
        <w:tc>
          <w:tcPr>
            <w:tcW w:type="dxa" w:w="3251"/>
          </w:tcPr>
          <w:p>
            <w:pPr>
              <w:spacing w:after="20"/>
            </w:pPr>
            <w:r/>
            <w:r>
              <w:rPr>
                <w:sz w:val="17"/>
              </w:rPr>
              <w:t>Viaje, Pesaje, Aporte, Retoma, Composición de lote, Habilitación, Detención</w:t>
            </w:r>
          </w:p>
        </w:tc>
        <w:tc>
          <w:tcPr>
            <w:tcW w:type="dxa" w:w="3251"/>
          </w:tcPr>
          <w:p>
            <w:pPr>
              <w:spacing w:after="20"/>
            </w:pPr>
            <w:r/>
            <w:r>
              <w:rPr>
                <w:sz w:val="17"/>
              </w:rPr>
              <w:t>Recorrido del árbol de trazabilidad en ambos sentidos</w:t>
            </w:r>
          </w:p>
        </w:tc>
      </w:tr>
      <w:tr>
        <w:tc>
          <w:tcPr>
            <w:tcW w:type="dxa" w:w="3251"/>
          </w:tcPr>
          <w:p>
            <w:pPr>
              <w:spacing w:after="20"/>
            </w:pPr>
            <w:r/>
            <w:r>
              <w:rPr>
                <w:sz w:val="17"/>
              </w:rPr>
              <w:t>Compuestos</w:t>
            </w:r>
          </w:p>
        </w:tc>
        <w:tc>
          <w:tcPr>
            <w:tcW w:type="dxa" w:w="3251"/>
          </w:tcPr>
          <w:p>
            <w:pPr>
              <w:spacing w:after="20"/>
            </w:pPr>
            <w:r/>
            <w:r>
              <w:rPr>
                <w:sz w:val="17"/>
              </w:rPr>
              <w:t>Viaje por turno y equipo; Detención por equipo y estado; Habilitación por persona y estado</w:t>
            </w:r>
          </w:p>
        </w:tc>
        <w:tc>
          <w:tcPr>
            <w:tcW w:type="dxa" w:w="3251"/>
          </w:tcPr>
          <w:p>
            <w:pPr>
              <w:spacing w:after="20"/>
            </w:pPr>
            <w:r/>
            <w:r>
              <w:rPr>
                <w:sz w:val="17"/>
              </w:rPr>
              <w:t>Indicadores por turno, cierre de turno y validación de portería</w:t>
            </w:r>
          </w:p>
        </w:tc>
      </w:tr>
      <w:tr>
        <w:tc>
          <w:tcPr>
            <w:tcW w:type="dxa" w:w="3251"/>
          </w:tcPr>
          <w:p>
            <w:pPr>
              <w:spacing w:after="20"/>
            </w:pPr>
            <w:r/>
            <w:r>
              <w:rPr>
                <w:sz w:val="17"/>
              </w:rPr>
              <w:t>Parciales</w:t>
            </w:r>
          </w:p>
        </w:tc>
        <w:tc>
          <w:tcPr>
            <w:tcW w:type="dxa" w:w="3251"/>
          </w:tcPr>
          <w:p>
            <w:pPr>
              <w:spacing w:after="20"/>
            </w:pPr>
            <w:r/>
            <w:r>
              <w:rPr>
                <w:sz w:val="17"/>
              </w:rPr>
              <w:t>Detención sin clasificar; Evento pendiente o en cuarentena; Habilitación por vencer</w:t>
            </w:r>
          </w:p>
        </w:tc>
        <w:tc>
          <w:tcPr>
            <w:tcW w:type="dxa" w:w="3251"/>
          </w:tcPr>
          <w:p>
            <w:pPr>
              <w:spacing w:after="20"/>
            </w:pPr>
            <w:r/>
            <w:r>
              <w:rPr>
                <w:sz w:val="17"/>
              </w:rPr>
              <w:t>Consultas de excepción, que son las frecuentes en operación</w:t>
            </w:r>
          </w:p>
        </w:tc>
      </w:tr>
      <w:tr>
        <w:tc>
          <w:tcPr>
            <w:tcW w:type="dxa" w:w="3251"/>
          </w:tcPr>
          <w:p>
            <w:pPr>
              <w:spacing w:after="20"/>
            </w:pPr>
            <w:r/>
            <w:r>
              <w:rPr>
                <w:sz w:val="17"/>
              </w:rPr>
              <w:t>Por rango de bloque</w:t>
            </w:r>
          </w:p>
        </w:tc>
        <w:tc>
          <w:tcPr>
            <w:tcW w:type="dxa" w:w="3251"/>
          </w:tcPr>
          <w:p>
            <w:pPr>
              <w:spacing w:after="20"/>
            </w:pPr>
            <w:r/>
            <w:r>
              <w:rPr>
                <w:sz w:val="17"/>
              </w:rPr>
              <w:t>Pesaje, Evento de terreno y series de tiempo sobre la marca de tiempo</w:t>
            </w:r>
          </w:p>
        </w:tc>
        <w:tc>
          <w:tcPr>
            <w:tcW w:type="dxa" w:w="3251"/>
          </w:tcPr>
          <w:p>
            <w:pPr>
              <w:spacing w:after="20"/>
            </w:pPr>
            <w:r/>
            <w:r>
              <w:rPr>
                <w:sz w:val="17"/>
              </w:rPr>
              <w:t>Consultas por ventana temporal sobre tablas de alto volumen y escritura ordenada</w:t>
            </w:r>
          </w:p>
        </w:tc>
      </w:tr>
      <w:tr>
        <w:tc>
          <w:tcPr>
            <w:tcW w:type="dxa" w:w="3251"/>
          </w:tcPr>
          <w:p>
            <w:pPr>
              <w:spacing w:after="20"/>
            </w:pPr>
            <w:r/>
            <w:r>
              <w:rPr>
                <w:sz w:val="17"/>
              </w:rPr>
              <w:t>Texto completo</w:t>
            </w:r>
          </w:p>
        </w:tc>
        <w:tc>
          <w:tcPr>
            <w:tcW w:type="dxa" w:w="3251"/>
          </w:tcPr>
          <w:p>
            <w:pPr>
              <w:spacing w:after="20"/>
            </w:pPr>
            <w:r/>
            <w:r>
              <w:rPr>
                <w:sz w:val="17"/>
              </w:rPr>
              <w:t>Documentos y hallazgos de inspección</w:t>
            </w:r>
          </w:p>
        </w:tc>
        <w:tc>
          <w:tcPr>
            <w:tcW w:type="dxa" w:w="3251"/>
          </w:tcPr>
          <w:p>
            <w:pPr>
              <w:spacing w:after="20"/>
            </w:pPr>
            <w:r/>
            <w:r>
              <w:rPr>
                <w:sz w:val="17"/>
              </w:rPr>
              <w:t>Búsqueda por contenido. Excluye todo atributo personal sensible</w:t>
            </w:r>
          </w:p>
        </w:tc>
      </w:tr>
    </w:tbl>
    <w:p>
      <w:pPr>
        <w:spacing w:after="40"/>
      </w:pPr>
    </w:p>
    <w:p>
      <w:pPr>
        <w:jc w:val="both"/>
      </w:pPr>
      <w:r>
        <w:rPr>
          <w:sz w:val="20"/>
        </w:rPr>
        <w:t>Los índices se revisan trimestralmente contra el uso real: el que no participa en ningún plan de ejecución durante un trimestre se retira, porque un índice sin uso es costo de escritura en la ruta crítica del cambio de turno.</w:t>
      </w:r>
    </w:p>
    <w:p>
      <w:pPr>
        <w:keepNext/>
        <w:spacing w:before="200" w:after="80"/>
      </w:pPr>
      <w:r>
        <w:rPr>
          <w:b/>
          <w:color w:val="1F4D75"/>
          <w:sz w:val="23"/>
        </w:rPr>
        <w:t>4.3 Particionamiento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Entidad</w:t>
            </w:r>
          </w:p>
        </w:tc>
        <w:tc>
          <w:tcPr>
            <w:tcW w:type="dxa" w:w="3251"/>
            <w:shd w:val="clear" w:fill="E7EEF6"/>
          </w:tcPr>
          <w:p>
            <w:pPr>
              <w:spacing w:after="20"/>
            </w:pPr>
            <w:r/>
            <w:r>
              <w:rPr>
                <w:b/>
                <w:sz w:val="17"/>
              </w:rPr>
              <w:t>Estrategia</w:t>
            </w:r>
          </w:p>
        </w:tc>
        <w:tc>
          <w:tcPr>
            <w:tcW w:type="dxa" w:w="3251"/>
            <w:shd w:val="clear" w:fill="E7EEF6"/>
          </w:tcPr>
          <w:p>
            <w:pPr>
              <w:spacing w:after="20"/>
            </w:pPr>
            <w:r/>
            <w:r>
              <w:rPr>
                <w:b/>
                <w:sz w:val="17"/>
              </w:rPr>
              <w:t>Fundamento</w:t>
            </w:r>
          </w:p>
        </w:tc>
      </w:tr>
      <w:tr>
        <w:tc>
          <w:tcPr>
            <w:tcW w:type="dxa" w:w="3251"/>
          </w:tcPr>
          <w:p>
            <w:pPr>
              <w:spacing w:after="20"/>
            </w:pPr>
            <w:r/>
            <w:r>
              <w:rPr>
                <w:sz w:val="17"/>
              </w:rPr>
              <w:t>Viaje y Pesaje</w:t>
            </w:r>
          </w:p>
        </w:tc>
        <w:tc>
          <w:tcPr>
            <w:tcW w:type="dxa" w:w="3251"/>
          </w:tcPr>
          <w:p>
            <w:pPr>
              <w:spacing w:after="20"/>
            </w:pPr>
            <w:r/>
            <w:r>
              <w:rPr>
                <w:sz w:val="17"/>
              </w:rPr>
              <w:t>Rango mensual sobre la hora de carguío, alineados</w:t>
            </w:r>
          </w:p>
        </w:tc>
        <w:tc>
          <w:tcPr>
            <w:tcW w:type="dxa" w:w="3251"/>
          </w:tcPr>
          <w:p>
            <w:pPr>
              <w:spacing w:after="20"/>
            </w:pPr>
            <w:r/>
            <w:r>
              <w:rPr>
                <w:sz w:val="17"/>
              </w:rPr>
              <w:t>342.000 viajes al año con acceso concentrado en el período reciente; el alineamiento permite unir particiones equivalentes sin recorrer el histórico</w:t>
            </w:r>
          </w:p>
        </w:tc>
      </w:tr>
      <w:tr>
        <w:tc>
          <w:tcPr>
            <w:tcW w:type="dxa" w:w="3251"/>
          </w:tcPr>
          <w:p>
            <w:pPr>
              <w:spacing w:after="20"/>
            </w:pPr>
            <w:r/>
            <w:r>
              <w:rPr>
                <w:sz w:val="17"/>
              </w:rPr>
              <w:t>Evento de terreno</w:t>
            </w:r>
          </w:p>
        </w:tc>
        <w:tc>
          <w:tcPr>
            <w:tcW w:type="dxa" w:w="3251"/>
          </w:tcPr>
          <w:p>
            <w:pPr>
              <w:spacing w:after="20"/>
            </w:pPr>
            <w:r/>
            <w:r>
              <w:rPr>
                <w:sz w:val="17"/>
              </w:rPr>
              <w:t>Rango mensual con subpartición por sitio</w:t>
            </w:r>
          </w:p>
        </w:tc>
        <w:tc>
          <w:tcPr>
            <w:tcW w:type="dxa" w:w="3251"/>
          </w:tcPr>
          <w:p>
            <w:pPr>
              <w:spacing w:after="20"/>
            </w:pPr>
            <w:r/>
            <w:r>
              <w:rPr>
                <w:sz w:val="17"/>
              </w:rPr>
              <w:t>La reconciliación tras un corte llega concentrada por sitio; la subpartición evita que un sitio afecte la escritura de los otros seis</w:t>
            </w:r>
          </w:p>
        </w:tc>
      </w:tr>
      <w:tr>
        <w:tc>
          <w:tcPr>
            <w:tcW w:type="dxa" w:w="3251"/>
          </w:tcPr>
          <w:p>
            <w:pPr>
              <w:spacing w:after="20"/>
            </w:pPr>
            <w:r/>
            <w:r>
              <w:rPr>
                <w:sz w:val="17"/>
              </w:rPr>
              <w:t>Detención y Alarma</w:t>
            </w:r>
          </w:p>
        </w:tc>
        <w:tc>
          <w:tcPr>
            <w:tcW w:type="dxa" w:w="3251"/>
          </w:tcPr>
          <w:p>
            <w:pPr>
              <w:spacing w:after="20"/>
            </w:pPr>
            <w:r/>
            <w:r>
              <w:rPr>
                <w:sz w:val="17"/>
              </w:rPr>
              <w:t>Rango mensual</w:t>
            </w:r>
          </w:p>
        </w:tc>
        <w:tc>
          <w:tcPr>
            <w:tcW w:type="dxa" w:w="3251"/>
          </w:tcPr>
          <w:p>
            <w:pPr>
              <w:spacing w:after="20"/>
            </w:pPr>
            <w:r/>
            <w:r>
              <w:rPr>
                <w:sz w:val="17"/>
              </w:rPr>
              <w:t>Alto volumen y consulta por ventana; permite archivar por partición completa al cumplirse los 5 años</w:t>
            </w:r>
          </w:p>
        </w:tc>
      </w:tr>
      <w:tr>
        <w:tc>
          <w:tcPr>
            <w:tcW w:type="dxa" w:w="3251"/>
          </w:tcPr>
          <w:p>
            <w:pPr>
              <w:spacing w:after="20"/>
            </w:pPr>
            <w:r/>
            <w:r>
              <w:rPr>
                <w:sz w:val="17"/>
              </w:rPr>
              <w:t>Series de tiempo</w:t>
            </w:r>
          </w:p>
        </w:tc>
        <w:tc>
          <w:tcPr>
            <w:tcW w:type="dxa" w:w="3251"/>
          </w:tcPr>
          <w:p>
            <w:pPr>
              <w:spacing w:after="20"/>
            </w:pPr>
            <w:r/>
            <w:r>
              <w:rPr>
                <w:sz w:val="17"/>
              </w:rPr>
              <w:t>Fragmentos por intervalo, con compresión desde los 30 días</w:t>
            </w:r>
          </w:p>
        </w:tc>
        <w:tc>
          <w:tcPr>
            <w:tcW w:type="dxa" w:w="3251"/>
          </w:tcPr>
          <w:p>
            <w:pPr>
              <w:spacing w:after="20"/>
            </w:pPr>
            <w:r/>
            <w:r>
              <w:rPr>
                <w:sz w:val="17"/>
              </w:rPr>
              <w:t>2 TB al año con escritura por anexado y sin actualización</w:t>
            </w:r>
          </w:p>
        </w:tc>
      </w:tr>
      <w:tr>
        <w:tc>
          <w:tcPr>
            <w:tcW w:type="dxa" w:w="3251"/>
          </w:tcPr>
          <w:p>
            <w:pPr>
              <w:spacing w:after="20"/>
            </w:pPr>
            <w:r/>
            <w:r>
              <w:rPr>
                <w:sz w:val="17"/>
              </w:rPr>
              <w:t>Asiento de auditoría</w:t>
            </w:r>
          </w:p>
        </w:tc>
        <w:tc>
          <w:tcPr>
            <w:tcW w:type="dxa" w:w="3251"/>
          </w:tcPr>
          <w:p>
            <w:pPr>
              <w:spacing w:after="20"/>
            </w:pPr>
            <w:r/>
            <w:r>
              <w:rPr>
                <w:sz w:val="17"/>
              </w:rPr>
              <w:t>Rango mensual, sin borrado</w:t>
            </w:r>
          </w:p>
        </w:tc>
        <w:tc>
          <w:tcPr>
            <w:tcW w:type="dxa" w:w="3251"/>
          </w:tcPr>
          <w:p>
            <w:pPr>
              <w:spacing w:after="20"/>
            </w:pPr>
            <w:r/>
            <w:r>
              <w:rPr>
                <w:sz w:val="17"/>
              </w:rPr>
              <w:t>Retención de 10 años; el archivado es un movimiento de partición y no un recorrido de filas</w:t>
            </w:r>
          </w:p>
        </w:tc>
      </w:tr>
    </w:tbl>
    <w:p>
      <w:pPr>
        <w:spacing w:after="40"/>
      </w:pPr>
    </w:p>
    <w:p>
      <w:pPr>
        <w:jc w:val="both"/>
      </w:pPr>
      <w:r>
        <w:rPr>
          <w:sz w:val="20"/>
        </w:rPr>
        <w:t>El particionamiento por rango es también el mecanismo de archivado y de eliminación: al cumplirse el plazo, la operación es sobre la partición completa y no fila a fila, que sobre esta volumetría no termina en la ventana de mantenimiento.</w:t>
      </w:r>
    </w:p>
    <w:p>
      <w:pPr>
        <w:keepNext/>
        <w:spacing w:before="200" w:after="80"/>
      </w:pPr>
      <w:r>
        <w:rPr>
          <w:b/>
          <w:color w:val="1F4D75"/>
          <w:sz w:val="23"/>
        </w:rPr>
        <w:t>4.4 Caché</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Caché</w:t>
            </w:r>
          </w:p>
        </w:tc>
        <w:tc>
          <w:tcPr>
            <w:tcW w:type="dxa" w:w="3251"/>
            <w:shd w:val="clear" w:fill="E7EEF6"/>
          </w:tcPr>
          <w:p>
            <w:pPr>
              <w:spacing w:after="20"/>
            </w:pPr>
            <w:r/>
            <w:r>
              <w:rPr>
                <w:b/>
                <w:sz w:val="17"/>
              </w:rPr>
              <w:t>Vigencia</w:t>
            </w:r>
          </w:p>
        </w:tc>
        <w:tc>
          <w:tcPr>
            <w:tcW w:type="dxa" w:w="3251"/>
            <w:shd w:val="clear" w:fill="E7EEF6"/>
          </w:tcPr>
          <w:p>
            <w:pPr>
              <w:spacing w:after="20"/>
            </w:pPr>
            <w:r/>
            <w:r>
              <w:rPr>
                <w:b/>
                <w:sz w:val="17"/>
              </w:rPr>
              <w:t>Qué resuelve</w:t>
            </w:r>
          </w:p>
        </w:tc>
      </w:tr>
      <w:tr>
        <w:tc>
          <w:tcPr>
            <w:tcW w:type="dxa" w:w="3251"/>
          </w:tcPr>
          <w:p>
            <w:pPr>
              <w:spacing w:after="20"/>
            </w:pPr>
            <w:r/>
            <w:r>
              <w:rPr>
                <w:sz w:val="17"/>
              </w:rPr>
              <w:t>Credenciales y habilitaciones en el nodo de borde</w:t>
            </w:r>
          </w:p>
        </w:tc>
        <w:tc>
          <w:tcPr>
            <w:tcW w:type="dxa" w:w="3251"/>
          </w:tcPr>
          <w:p>
            <w:pPr>
              <w:spacing w:after="20"/>
            </w:pPr>
            <w:r/>
            <w:r>
              <w:rPr>
                <w:sz w:val="17"/>
              </w:rPr>
              <w:t>Máximo 72 horas</w:t>
            </w:r>
          </w:p>
        </w:tc>
        <w:tc>
          <w:tcPr>
            <w:tcW w:type="dxa" w:w="3251"/>
          </w:tcPr>
          <w:p>
            <w:pPr>
              <w:spacing w:after="20"/>
            </w:pPr>
            <w:r/>
            <w:r>
              <w:rPr>
                <w:sz w:val="17"/>
              </w:rPr>
              <w:t>Sostiene la validación de portería en 1,5 segundos durante un corte. Guarda el estado de habilitación, nunca su resultado</w:t>
            </w:r>
          </w:p>
        </w:tc>
      </w:tr>
      <w:tr>
        <w:tc>
          <w:tcPr>
            <w:tcW w:type="dxa" w:w="3251"/>
          </w:tcPr>
          <w:p>
            <w:pPr>
              <w:spacing w:after="20"/>
            </w:pPr>
            <w:r/>
            <w:r>
              <w:rPr>
                <w:sz w:val="17"/>
              </w:rPr>
              <w:t>Estado de sesión y de proceso</w:t>
            </w:r>
          </w:p>
        </w:tc>
        <w:tc>
          <w:tcPr>
            <w:tcW w:type="dxa" w:w="3251"/>
          </w:tcPr>
          <w:p>
            <w:pPr>
              <w:spacing w:after="20"/>
            </w:pPr>
            <w:r/>
            <w:r>
              <w:rPr>
                <w:sz w:val="17"/>
              </w:rPr>
              <w:t>Según sesión</w:t>
            </w:r>
          </w:p>
        </w:tc>
        <w:tc>
          <w:tcPr>
            <w:tcW w:type="dxa" w:w="3251"/>
          </w:tcPr>
          <w:p>
            <w:pPr>
              <w:spacing w:after="20"/>
            </w:pPr>
            <w:r/>
            <w:r>
              <w:rPr>
                <w:sz w:val="17"/>
              </w:rPr>
              <w:t>Los servicios no guardan estado en memoria; reside en almacén externo de alta disponibilidad</w:t>
            </w:r>
          </w:p>
        </w:tc>
      </w:tr>
      <w:tr>
        <w:tc>
          <w:tcPr>
            <w:tcW w:type="dxa" w:w="3251"/>
          </w:tcPr>
          <w:p>
            <w:pPr>
              <w:spacing w:after="20"/>
            </w:pPr>
            <w:r/>
            <w:r>
              <w:rPr>
                <w:sz w:val="17"/>
              </w:rPr>
              <w:t>Consultas de los portales</w:t>
            </w:r>
          </w:p>
        </w:tc>
        <w:tc>
          <w:tcPr>
            <w:tcW w:type="dxa" w:w="3251"/>
          </w:tcPr>
          <w:p>
            <w:pPr>
              <w:spacing w:after="20"/>
            </w:pPr>
            <w:r/>
            <w:r>
              <w:rPr>
                <w:sz w:val="17"/>
              </w:rPr>
              <w:t>5 a 15 minutos</w:t>
            </w:r>
          </w:p>
        </w:tc>
        <w:tc>
          <w:tcPr>
            <w:tcW w:type="dxa" w:w="3251"/>
          </w:tcPr>
          <w:p>
            <w:pPr>
              <w:spacing w:after="20"/>
            </w:pPr>
            <w:r/>
            <w:r>
              <w:rPr>
                <w:sz w:val="17"/>
              </w:rPr>
              <w:t>Aísla el tráfico externo del núcleo: cero degradación de los umbrales de terreno ante diez veces el tráfico medio del portal</w:t>
            </w:r>
          </w:p>
        </w:tc>
      </w:tr>
      <w:tr>
        <w:tc>
          <w:tcPr>
            <w:tcW w:type="dxa" w:w="3251"/>
          </w:tcPr>
          <w:p>
            <w:pPr>
              <w:spacing w:after="20"/>
            </w:pPr>
            <w:r/>
            <w:r>
              <w:rPr>
                <w:sz w:val="17"/>
              </w:rPr>
              <w:t>Catálogos y parámetros vigentes</w:t>
            </w:r>
          </w:p>
        </w:tc>
        <w:tc>
          <w:tcPr>
            <w:tcW w:type="dxa" w:w="3251"/>
          </w:tcPr>
          <w:p>
            <w:pPr>
              <w:spacing w:after="20"/>
            </w:pPr>
            <w:r/>
            <w:r>
              <w:rPr>
                <w:sz w:val="17"/>
              </w:rPr>
              <w:t>Invalidación por evento</w:t>
            </w:r>
          </w:p>
        </w:tc>
        <w:tc>
          <w:tcPr>
            <w:tcW w:type="dxa" w:w="3251"/>
          </w:tcPr>
          <w:p>
            <w:pPr>
              <w:spacing w:after="20"/>
            </w:pPr>
            <w:r/>
            <w:r>
              <w:rPr>
                <w:sz w:val="17"/>
              </w:rPr>
              <w:t>Evita releer la tabla de parámetros en cada cálculo, y garantiza que un cambio aprobado rija de inmediato</w:t>
            </w:r>
          </w:p>
        </w:tc>
      </w:tr>
    </w:tbl>
    <w:p>
      <w:pPr>
        <w:spacing w:after="40"/>
      </w:pPr>
    </w:p>
    <w:p>
      <w:pPr>
        <w:keepNext/>
        <w:spacing w:before="200" w:after="80"/>
      </w:pPr>
      <w:r>
        <w:rPr>
          <w:b/>
          <w:color w:val="1F4D75"/>
          <w:sz w:val="23"/>
        </w:rPr>
        <w:t>4.5 Optimización de consultas</w:t>
      </w:r>
    </w:p>
    <w:p>
      <w:pPr>
        <w:pStyle w:val="ListBullet"/>
        <w:spacing w:after="40"/>
      </w:pPr>
      <w:r>
        <w:rPr>
          <w:b/>
          <w:sz w:val="20"/>
        </w:rPr>
        <w:t>Vistas materializadas por evento</w:t>
      </w:r>
      <w:r>
        <w:rPr>
          <w:sz w:val="20"/>
        </w:rPr>
        <w:t xml:space="preserve"> para lo que no tolera recorrido: saldo y ley ponderada por acopio, vista única de equipo, personas presentes y estado de sincronización por sitio. Son reconstruibles y no son fuente de verdad.</w:t>
      </w:r>
    </w:p>
    <w:p>
      <w:pPr>
        <w:pStyle w:val="ListBullet"/>
        <w:spacing w:after="40"/>
      </w:pPr>
      <w:r>
        <w:rPr>
          <w:b/>
          <w:sz w:val="20"/>
        </w:rPr>
        <w:t>Consulta recursiva acotada</w:t>
      </w:r>
      <w:r>
        <w:rPr>
          <w:sz w:val="20"/>
        </w:rPr>
        <w:t xml:space="preserve"> para el árbol de composición, con profundidad máxima declarada y resultado paginado.</w:t>
      </w:r>
    </w:p>
    <w:p>
      <w:pPr>
        <w:pStyle w:val="ListBullet"/>
        <w:spacing w:after="40"/>
      </w:pPr>
      <w:r>
        <w:rPr>
          <w:b/>
          <w:sz w:val="20"/>
        </w:rPr>
        <w:t>Separación de cargas por conexión:</w:t>
      </w:r>
      <w:r>
        <w:rPr>
          <w:sz w:val="20"/>
        </w:rPr>
        <w:t xml:space="preserve"> portal y reportería usan un conjunto de conexiones distinto del operacional, para que una consulta pesada no consuma la reserva del registro de terreno.</w:t>
      </w:r>
    </w:p>
    <w:p>
      <w:pPr>
        <w:pStyle w:val="ListBullet"/>
        <w:spacing w:after="40"/>
      </w:pPr>
      <w:r>
        <w:rPr>
          <w:b/>
          <w:sz w:val="20"/>
        </w:rPr>
        <w:t>Tiempo de espera explícito y cortacircuitos</w:t>
      </w:r>
      <w:r>
        <w:rPr>
          <w:sz w:val="20"/>
        </w:rPr>
        <w:t xml:space="preserve"> por adaptador externo: la caída de un sistema del CLIENTE degrada una función, no la operación.</w:t>
      </w:r>
    </w:p>
    <w:p>
      <w:pPr>
        <w:pStyle w:val="ListBullet"/>
        <w:spacing w:after="40"/>
      </w:pPr>
      <w:r>
        <w:rPr>
          <w:b/>
          <w:sz w:val="20"/>
        </w:rPr>
        <w:t>Revisión de planes de ejecución</w:t>
      </w:r>
      <w:r>
        <w:rPr>
          <w:sz w:val="20"/>
        </w:rPr>
        <w:t xml:space="preserve"> sobre las veinte consultas más costosas, con línea base medida en marcha blanca y alerta al superar el doble de esa línea.</w:t>
      </w:r>
    </w:p>
    <w:p>
      <w:pPr>
        <w:pStyle w:val="ListBullet"/>
        <w:spacing w:after="40"/>
      </w:pPr>
      <w:r>
        <w:rPr>
          <w:b/>
          <w:sz w:val="20"/>
        </w:rPr>
        <w:t>Ingesta por lotes</w:t>
      </w:r>
      <w:r>
        <w:rPr>
          <w:sz w:val="20"/>
        </w:rPr>
        <w:t xml:space="preserve"> en la reconciliación posterior a un corte, con tamaño adaptativo y prioridad del registro operacional sobre la telemetría.</w:t>
      </w:r>
    </w:p>
    <w:p>
      <w:pPr>
        <w:keepNext/>
        <w:spacing w:before="200" w:after="80"/>
      </w:pPr>
      <w:r>
        <w:rPr>
          <w:b/>
          <w:color w:val="1F4D75"/>
          <w:sz w:val="23"/>
        </w:rPr>
        <w:t>4.6 Volumetría estimada y método</w:t>
      </w:r>
    </w:p>
    <w:p>
      <w:pPr>
        <w:jc w:val="both"/>
      </w:pPr>
      <w:r>
        <w:rPr>
          <w:sz w:val="20"/>
        </w:rPr>
        <w:t>Las cifras siguientes son estimaciones del PROPONENTE y se declaran con su método, conforme al numeral 14.2 del caso.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Dimensión</w:t>
            </w:r>
          </w:p>
        </w:tc>
        <w:tc>
          <w:tcPr>
            <w:tcW w:type="dxa" w:w="3251"/>
            <w:shd w:val="clear" w:fill="E7EEF6"/>
          </w:tcPr>
          <w:p>
            <w:pPr>
              <w:spacing w:after="20"/>
            </w:pPr>
            <w:r/>
            <w:r>
              <w:rPr>
                <w:b/>
                <w:sz w:val="17"/>
              </w:rPr>
              <w:t>Valor</w:t>
            </w:r>
          </w:p>
        </w:tc>
        <w:tc>
          <w:tcPr>
            <w:tcW w:type="dxa" w:w="3251"/>
            <w:shd w:val="clear" w:fill="E7EEF6"/>
          </w:tcPr>
          <w:p>
            <w:pPr>
              <w:spacing w:after="20"/>
            </w:pPr>
            <w:r/>
            <w:r>
              <w:rPr>
                <w:b/>
                <w:sz w:val="17"/>
              </w:rPr>
              <w:t>Método de estimación</w:t>
            </w:r>
          </w:p>
        </w:tc>
      </w:tr>
      <w:tr>
        <w:tc>
          <w:tcPr>
            <w:tcW w:type="dxa" w:w="3251"/>
          </w:tcPr>
          <w:p>
            <w:pPr>
              <w:spacing w:after="20"/>
            </w:pPr>
            <w:r/>
            <w:r>
              <w:rPr>
                <w:sz w:val="17"/>
              </w:rPr>
              <w:t>Transacciones por segundo, régimen y peak</w:t>
            </w:r>
          </w:p>
        </w:tc>
        <w:tc>
          <w:tcPr>
            <w:tcW w:type="dxa" w:w="3251"/>
          </w:tcPr>
          <w:p>
            <w:pPr>
              <w:spacing w:after="20"/>
            </w:pPr>
            <w:r/>
            <w:r>
              <w:rPr>
                <w:sz w:val="17"/>
              </w:rPr>
              <w:t>40 y 200</w:t>
            </w:r>
          </w:p>
        </w:tc>
        <w:tc>
          <w:tcPr>
            <w:tcW w:type="dxa" w:w="3251"/>
          </w:tcPr>
          <w:p>
            <w:pPr>
              <w:spacing w:after="20"/>
            </w:pPr>
            <w:r/>
            <w:r>
              <w:rPr>
                <w:sz w:val="17"/>
              </w:rPr>
              <w:t>Ciclo operacional de 342.000 viajes al año con hasta 8 escrituras por viaje, más 2.900 ingresos diarios y eventos de detención, inspección y muestreo. El peak es el cambio de turno, cuando se cierran y abren las sesiones de toda la flota</w:t>
            </w:r>
          </w:p>
        </w:tc>
      </w:tr>
      <w:tr>
        <w:tc>
          <w:tcPr>
            <w:tcW w:type="dxa" w:w="3251"/>
          </w:tcPr>
          <w:p>
            <w:pPr>
              <w:spacing w:after="20"/>
            </w:pPr>
            <w:r/>
            <w:r>
              <w:rPr>
                <w:sz w:val="17"/>
              </w:rPr>
              <w:t>Personas usuarias registradas y concurrentes</w:t>
            </w:r>
          </w:p>
        </w:tc>
        <w:tc>
          <w:tcPr>
            <w:tcW w:type="dxa" w:w="3251"/>
          </w:tcPr>
          <w:p>
            <w:pPr>
              <w:spacing w:after="20"/>
            </w:pPr>
            <w:r/>
            <w:r>
              <w:rPr>
                <w:sz w:val="17"/>
              </w:rPr>
              <w:t>4.180, hasta 8.500; ~350 concurrentes</w:t>
            </w:r>
          </w:p>
        </w:tc>
        <w:tc>
          <w:tcPr>
            <w:tcW w:type="dxa" w:w="3251"/>
          </w:tcPr>
          <w:p>
            <w:pPr>
              <w:spacing w:after="20"/>
            </w:pPr>
            <w:r/>
            <w:r>
              <w:rPr>
                <w:sz w:val="17"/>
              </w:rPr>
              <w:t>1.780 propias más 2.400 contratistas; dotación por turno estimada en la mitad, con 15 % de uso concurrente</w:t>
            </w:r>
          </w:p>
        </w:tc>
      </w:tr>
      <w:tr>
        <w:tc>
          <w:tcPr>
            <w:tcW w:type="dxa" w:w="3251"/>
          </w:tcPr>
          <w:p>
            <w:pPr>
              <w:spacing w:after="20"/>
            </w:pPr>
            <w:r/>
            <w:r>
              <w:rPr>
                <w:sz w:val="17"/>
              </w:rPr>
              <w:t>Dispositivos de terreno simultáneos</w:t>
            </w:r>
          </w:p>
        </w:tc>
        <w:tc>
          <w:tcPr>
            <w:tcW w:type="dxa" w:w="3251"/>
          </w:tcPr>
          <w:p>
            <w:pPr>
              <w:spacing w:after="20"/>
            </w:pPr>
            <w:r/>
            <w:r>
              <w:rPr>
                <w:sz w:val="17"/>
              </w:rPr>
              <w:t>~130</w:t>
            </w:r>
          </w:p>
        </w:tc>
        <w:tc>
          <w:tcPr>
            <w:tcW w:type="dxa" w:w="3251"/>
          </w:tcPr>
          <w:p>
            <w:pPr>
              <w:spacing w:after="20"/>
            </w:pPr>
            <w:r/>
            <w:r>
              <w:rPr>
                <w:sz w:val="17"/>
              </w:rPr>
              <w:t>55 terminales de cabina, 12 lectores de acceso y ~60 dispositivos móviles de supervisión, muestreo e inspección</w:t>
            </w:r>
          </w:p>
        </w:tc>
      </w:tr>
      <w:tr>
        <w:tc>
          <w:tcPr>
            <w:tcW w:type="dxa" w:w="3251"/>
          </w:tcPr>
          <w:p>
            <w:pPr>
              <w:spacing w:after="20"/>
            </w:pPr>
            <w:r/>
            <w:r>
              <w:rPr>
                <w:sz w:val="17"/>
              </w:rPr>
              <w:t>Almacenamiento transaccional</w:t>
            </w:r>
          </w:p>
        </w:tc>
        <w:tc>
          <w:tcPr>
            <w:tcW w:type="dxa" w:w="3251"/>
          </w:tcPr>
          <w:p>
            <w:pPr>
              <w:spacing w:after="20"/>
            </w:pPr>
            <w:r/>
            <w:r>
              <w:rPr>
                <w:sz w:val="17"/>
              </w:rPr>
              <w:t>0,5 TB al año, con capacidad para 1,5 TB</w:t>
            </w:r>
          </w:p>
        </w:tc>
        <w:tc>
          <w:tcPr>
            <w:tcW w:type="dxa" w:w="3251"/>
          </w:tcPr>
          <w:p>
            <w:pPr>
              <w:spacing w:after="20"/>
            </w:pPr>
            <w:r/>
            <w:r>
              <w:rPr>
                <w:sz w:val="17"/>
              </w:rPr>
              <w:t>Filas por entidad y tamaño medio: ~3 millones de eventos de terreno y ~50 millones de asientos de auditoría dominan el volumen. El cálculo útil da ~150 GB; se declara 0,5 TB con factor 3 por índices y respaldo</w:t>
            </w:r>
          </w:p>
        </w:tc>
      </w:tr>
      <w:tr>
        <w:tc>
          <w:tcPr>
            <w:tcW w:type="dxa" w:w="3251"/>
          </w:tcPr>
          <w:p>
            <w:pPr>
              <w:spacing w:after="20"/>
            </w:pPr>
            <w:r/>
            <w:r>
              <w:rPr>
                <w:sz w:val="17"/>
              </w:rPr>
              <w:t>Telemetría y series de tiempo</w:t>
            </w:r>
          </w:p>
        </w:tc>
        <w:tc>
          <w:tcPr>
            <w:tcW w:type="dxa" w:w="3251"/>
          </w:tcPr>
          <w:p>
            <w:pPr>
              <w:spacing w:after="20"/>
            </w:pPr>
            <w:r/>
            <w:r>
              <w:rPr>
                <w:sz w:val="17"/>
              </w:rPr>
              <w:t>2 TB al año</w:t>
            </w:r>
          </w:p>
        </w:tc>
        <w:tc>
          <w:tcPr>
            <w:tcW w:type="dxa" w:w="3251"/>
          </w:tcPr>
          <w:p>
            <w:pPr>
              <w:spacing w:after="20"/>
            </w:pPr>
            <w:r/>
            <w:r>
              <w:rPr>
                <w:sz w:val="17"/>
              </w:rPr>
              <w:t>~5.000 señales del historiador cada 4 segundos y 70 equipos con 20 señales cada 5 minutos, a 50 bytes por lectura y antes de compresión</w:t>
            </w:r>
          </w:p>
        </w:tc>
      </w:tr>
      <w:tr>
        <w:tc>
          <w:tcPr>
            <w:tcW w:type="dxa" w:w="3251"/>
          </w:tcPr>
          <w:p>
            <w:pPr>
              <w:spacing w:after="20"/>
            </w:pPr>
            <w:r/>
            <w:r>
              <w:rPr>
                <w:sz w:val="17"/>
              </w:rPr>
              <w:t>Documental y multimedia</w:t>
            </w:r>
          </w:p>
        </w:tc>
        <w:tc>
          <w:tcPr>
            <w:tcW w:type="dxa" w:w="3251"/>
          </w:tcPr>
          <w:p>
            <w:pPr>
              <w:spacing w:after="20"/>
            </w:pPr>
            <w:r/>
            <w:r>
              <w:rPr>
                <w:sz w:val="17"/>
              </w:rPr>
              <w:t>0,5 TB al año</w:t>
            </w:r>
          </w:p>
        </w:tc>
        <w:tc>
          <w:tcPr>
            <w:tcW w:type="dxa" w:w="3251"/>
          </w:tcPr>
          <w:p>
            <w:pPr>
              <w:spacing w:after="20"/>
            </w:pPr>
            <w:r/>
            <w:r>
              <w:rPr>
                <w:sz w:val="17"/>
              </w:rPr>
              <w:t>71.000 certificados de ~200 KB, documentación de habilitación y ~12.000 registros anuales con 3 imágenes de 2 MB. El cálculo útil da ~100 GB; se declara 0,5 TB como cota</w:t>
            </w:r>
          </w:p>
        </w:tc>
      </w:tr>
      <w:tr>
        <w:tc>
          <w:tcPr>
            <w:tcW w:type="dxa" w:w="3251"/>
          </w:tcPr>
          <w:p>
            <w:pPr>
              <w:spacing w:after="20"/>
            </w:pPr>
            <w:r/>
            <w:r>
              <w:rPr>
                <w:sz w:val="17"/>
              </w:rPr>
              <w:t>Datos históricos a migrar</w:t>
            </w:r>
          </w:p>
        </w:tc>
        <w:tc>
          <w:tcPr>
            <w:tcW w:type="dxa" w:w="3251"/>
          </w:tcPr>
          <w:p>
            <w:pPr>
              <w:spacing w:after="20"/>
            </w:pPr>
            <w:r/>
            <w:r>
              <w:rPr>
                <w:sz w:val="17"/>
              </w:rPr>
              <w:t>6 TB</w:t>
            </w:r>
          </w:p>
        </w:tc>
        <w:tc>
          <w:tcPr>
            <w:tcW w:type="dxa" w:w="3251"/>
          </w:tcPr>
          <w:p>
            <w:pPr>
              <w:spacing w:after="20"/>
            </w:pPr>
            <w:r/>
            <w:r>
              <w:rPr>
                <w:sz w:val="17"/>
              </w:rPr>
              <w:t>~1,2 TB estructurados de la ventana declarada más ~4,8 TB de documentos escaneados y evidencia fotográfica histórica</w:t>
            </w:r>
          </w:p>
        </w:tc>
      </w:tr>
      <w:tr>
        <w:tc>
          <w:tcPr>
            <w:tcW w:type="dxa" w:w="3251"/>
          </w:tcPr>
          <w:p>
            <w:pPr>
              <w:spacing w:after="20"/>
            </w:pPr>
            <w:r/>
            <w:r>
              <w:rPr>
                <w:sz w:val="17"/>
              </w:rPr>
              <w:t>Datos generados en faena en un corte de 20 horas</w:t>
            </w:r>
          </w:p>
        </w:tc>
        <w:tc>
          <w:tcPr>
            <w:tcW w:type="dxa" w:w="3251"/>
          </w:tcPr>
          <w:p>
            <w:pPr>
              <w:spacing w:after="20"/>
            </w:pPr>
            <w:r/>
            <w:r>
              <w:rPr>
                <w:sz w:val="17"/>
              </w:rPr>
              <w:t>1,5 GB</w:t>
            </w:r>
          </w:p>
        </w:tc>
        <w:tc>
          <w:tcPr>
            <w:tcW w:type="dxa" w:w="3251"/>
          </w:tcPr>
          <w:p>
            <w:pPr>
              <w:spacing w:after="20"/>
            </w:pPr>
            <w:r/>
            <w:r>
              <w:rPr>
                <w:sz w:val="17"/>
              </w:rPr>
              <w:t>~7.000 eventos de 2 KB, ~200 fotografías de 2 MB y lecturas locales del historiador a ~30 MB por hora. Total calculado ~1,0 GB, con 50 % de holgura. La telemetría de fabricante no se acumula: su fuente es externa y no está disponible durante el corte</w:t>
            </w:r>
          </w:p>
        </w:tc>
      </w:tr>
      <w:tr>
        <w:tc>
          <w:tcPr>
            <w:tcW w:type="dxa" w:w="3251"/>
          </w:tcPr>
          <w:p>
            <w:pPr>
              <w:spacing w:after="20"/>
            </w:pPr>
            <w:r/>
            <w:r>
              <w:rPr>
                <w:sz w:val="17"/>
              </w:rPr>
              <w:t>Sincronización tras el corte</w:t>
            </w:r>
          </w:p>
        </w:tc>
        <w:tc>
          <w:tcPr>
            <w:tcW w:type="dxa" w:w="3251"/>
          </w:tcPr>
          <w:p>
            <w:pPr>
              <w:spacing w:after="20"/>
            </w:pPr>
            <w:r/>
            <w:r>
              <w:rPr>
                <w:sz w:val="17"/>
              </w:rPr>
              <w:t>Menos de 2 horas</w:t>
            </w:r>
          </w:p>
        </w:tc>
        <w:tc>
          <w:tcPr>
            <w:tcW w:type="dxa" w:w="3251"/>
          </w:tcPr>
          <w:p>
            <w:pPr>
              <w:spacing w:after="20"/>
            </w:pPr>
            <w:r/>
            <w:r>
              <w:rPr>
                <w:sz w:val="17"/>
              </w:rPr>
              <w:t>1,5 GB a 5 Mbps efectivos son ~40 minutos de transferencia, más validación, deduplicación y resolución de cuarentena</w:t>
            </w:r>
          </w:p>
        </w:tc>
      </w:tr>
      <w:tr>
        <w:tc>
          <w:tcPr>
            <w:tcW w:type="dxa" w:w="3251"/>
          </w:tcPr>
          <w:p>
            <w:pPr>
              <w:spacing w:after="20"/>
            </w:pPr>
            <w:r/>
            <w:r>
              <w:rPr>
                <w:sz w:val="17"/>
              </w:rPr>
              <w:t>Ancho de banda por sitio</w:t>
            </w:r>
          </w:p>
        </w:tc>
        <w:tc>
          <w:tcPr>
            <w:tcW w:type="dxa" w:w="3251"/>
          </w:tcPr>
          <w:p>
            <w:pPr>
              <w:spacing w:after="20"/>
            </w:pPr>
            <w:r/>
            <w:r>
              <w:rPr>
                <w:sz w:val="17"/>
              </w:rPr>
              <w:t>20 Mbps en faena, 50 en peak; 2 a 5 Mbps en sitios remotos</w:t>
            </w:r>
          </w:p>
        </w:tc>
        <w:tc>
          <w:tcPr>
            <w:tcW w:type="dxa" w:w="3251"/>
          </w:tcPr>
          <w:p>
            <w:pPr>
              <w:spacing w:after="20"/>
            </w:pPr>
            <w:r/>
            <w:r>
              <w:rPr>
                <w:sz w:val="17"/>
              </w:rPr>
              <w:t>Dominado por telemetría y documentos; el registro operacional por sí solo requiere menos de 1 Mbps</w:t>
            </w:r>
          </w:p>
        </w:tc>
      </w:tr>
    </w:tbl>
    <w:p>
      <w:pPr>
        <w:spacing w:after="40"/>
      </w:pPr>
    </w:p>
    <w:p>
      <w:pPr>
        <w:jc w:val="both"/>
      </w:pPr>
      <w:r>
        <w:rPr>
          <w:color w:val="5B6878"/>
          <w:sz w:val="17"/>
        </w:rPr>
        <w:t>Cada cifra se inscribe como supuesto en el Registro de supuestos, conforme al numeral 14.2.</w:t>
      </w:r>
    </w:p>
    <w:p>
      <w:r>
        <w:br w:type="page"/>
      </w:r>
    </w:p>
    <w:p>
      <w:pPr>
        <w:keepNext/>
        <w:spacing w:before="280" w:after="80"/>
      </w:pPr>
      <w:r>
        <w:rPr>
          <w:b/>
          <w:color w:val="0D2B45"/>
          <w:sz w:val="28"/>
        </w:rPr>
        <w:t>5. Separación transaccional y analítica, y modelo de explotación</w:t>
      </w:r>
    </w:p>
    <w:p>
      <w:pPr>
        <w:keepNext/>
        <w:spacing w:before="200" w:after="80"/>
      </w:pPr>
      <w:r>
        <w:rPr>
          <w:b/>
          <w:color w:val="1F4D75"/>
          <w:sz w:val="23"/>
        </w:rPr>
        <w:t>5.1 Separación</w:t>
      </w:r>
    </w:p>
    <w:p>
      <w:pPr>
        <w:jc w:val="both"/>
      </w:pPr>
      <w:r>
        <w:rPr>
          <w:sz w:val="20"/>
        </w:rPr>
        <w:t>El almacenamiento transaccional y el analítico están separados físicamente, en motores distintos y con dimensionamiento independiente. Ninguna consulta analítica se ejecuta contra el núcleo, y ningún proceso operacional depende de la capa analítica: un despliegue o una falla de la analítica no puede detener el registro de un viaje.</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Aspecto</w:t>
            </w:r>
          </w:p>
        </w:tc>
        <w:tc>
          <w:tcPr>
            <w:tcW w:type="dxa" w:w="3251"/>
            <w:shd w:val="clear" w:fill="E7EEF6"/>
          </w:tcPr>
          <w:p>
            <w:pPr>
              <w:spacing w:after="20"/>
            </w:pPr>
            <w:r/>
            <w:r>
              <w:rPr>
                <w:b/>
                <w:sz w:val="17"/>
              </w:rPr>
              <w:t>Transaccional</w:t>
            </w:r>
          </w:p>
        </w:tc>
        <w:tc>
          <w:tcPr>
            <w:tcW w:type="dxa" w:w="3251"/>
            <w:shd w:val="clear" w:fill="E7EEF6"/>
          </w:tcPr>
          <w:p>
            <w:pPr>
              <w:spacing w:after="20"/>
            </w:pPr>
            <w:r/>
            <w:r>
              <w:rPr>
                <w:b/>
                <w:sz w:val="17"/>
              </w:rPr>
              <w:t>Analítico</w:t>
            </w:r>
          </w:p>
        </w:tc>
      </w:tr>
      <w:tr>
        <w:tc>
          <w:tcPr>
            <w:tcW w:type="dxa" w:w="3251"/>
          </w:tcPr>
          <w:p>
            <w:pPr>
              <w:spacing w:after="20"/>
            </w:pPr>
            <w:r/>
            <w:r>
              <w:rPr>
                <w:sz w:val="17"/>
              </w:rPr>
              <w:t>Motor</w:t>
            </w:r>
          </w:p>
        </w:tc>
        <w:tc>
          <w:tcPr>
            <w:tcW w:type="dxa" w:w="3251"/>
          </w:tcPr>
          <w:p>
            <w:pPr>
              <w:spacing w:after="20"/>
            </w:pPr>
            <w:r/>
            <w:r>
              <w:rPr>
                <w:sz w:val="17"/>
              </w:rPr>
              <w:t>PostgreSQL 16, con TimescaleDB para series de tiempo</w:t>
            </w:r>
          </w:p>
        </w:tc>
        <w:tc>
          <w:tcPr>
            <w:tcW w:type="dxa" w:w="3251"/>
          </w:tcPr>
          <w:p>
            <w:pPr>
              <w:spacing w:after="20"/>
            </w:pPr>
            <w:r/>
            <w:r>
              <w:rPr>
                <w:sz w:val="17"/>
              </w:rPr>
              <w:t>ClickHouse 24.8 LTS</w:t>
            </w:r>
          </w:p>
        </w:tc>
      </w:tr>
      <w:tr>
        <w:tc>
          <w:tcPr>
            <w:tcW w:type="dxa" w:w="3251"/>
          </w:tcPr>
          <w:p>
            <w:pPr>
              <w:spacing w:after="20"/>
            </w:pPr>
            <w:r/>
            <w:r>
              <w:rPr>
                <w:sz w:val="17"/>
              </w:rPr>
              <w:t>Modelo</w:t>
            </w:r>
          </w:p>
        </w:tc>
        <w:tc>
          <w:tcPr>
            <w:tcW w:type="dxa" w:w="3251"/>
          </w:tcPr>
          <w:p>
            <w:pPr>
              <w:spacing w:after="20"/>
            </w:pPr>
            <w:r/>
            <w:r>
              <w:rPr>
                <w:sz w:val="17"/>
              </w:rPr>
              <w:t>Relacional en tercera forma normal, con tres desnormalizaciones declaradas</w:t>
            </w:r>
          </w:p>
        </w:tc>
        <w:tc>
          <w:tcPr>
            <w:tcW w:type="dxa" w:w="3251"/>
          </w:tcPr>
          <w:p>
            <w:pPr>
              <w:spacing w:after="20"/>
            </w:pPr>
            <w:r/>
            <w:r>
              <w:rPr>
                <w:sz w:val="17"/>
              </w:rPr>
              <w:t>Dimensional en estrella, con dimensiones conformadas y variación lenta de tipo 2</w:t>
            </w:r>
          </w:p>
        </w:tc>
      </w:tr>
      <w:tr>
        <w:tc>
          <w:tcPr>
            <w:tcW w:type="dxa" w:w="3251"/>
          </w:tcPr>
          <w:p>
            <w:pPr>
              <w:spacing w:after="20"/>
            </w:pPr>
            <w:r/>
            <w:r>
              <w:rPr>
                <w:sz w:val="17"/>
              </w:rPr>
              <w:t>Garantía</w:t>
            </w:r>
          </w:p>
        </w:tc>
        <w:tc>
          <w:tcPr>
            <w:tcW w:type="dxa" w:w="3251"/>
          </w:tcPr>
          <w:p>
            <w:pPr>
              <w:spacing w:after="20"/>
            </w:pPr>
            <w:r/>
            <w:r>
              <w:rPr>
                <w:sz w:val="17"/>
              </w:rPr>
              <w:t>ACID, integridad referencial, serializable en el cierre</w:t>
            </w:r>
          </w:p>
        </w:tc>
        <w:tc>
          <w:tcPr>
            <w:tcW w:type="dxa" w:w="3251"/>
          </w:tcPr>
          <w:p>
            <w:pPr>
              <w:spacing w:after="20"/>
            </w:pPr>
            <w:r/>
            <w:r>
              <w:rPr>
                <w:sz w:val="17"/>
              </w:rPr>
              <w:t>Consistencia eventual con latencia comprometida y medida</w:t>
            </w:r>
          </w:p>
        </w:tc>
      </w:tr>
      <w:tr>
        <w:tc>
          <w:tcPr>
            <w:tcW w:type="dxa" w:w="3251"/>
          </w:tcPr>
          <w:p>
            <w:pPr>
              <w:spacing w:after="20"/>
            </w:pPr>
            <w:r/>
            <w:r>
              <w:rPr>
                <w:sz w:val="17"/>
              </w:rPr>
              <w:t>Escritura</w:t>
            </w:r>
          </w:p>
        </w:tc>
        <w:tc>
          <w:tcPr>
            <w:tcW w:type="dxa" w:w="3251"/>
          </w:tcPr>
          <w:p>
            <w:pPr>
              <w:spacing w:after="20"/>
            </w:pPr>
            <w:r/>
            <w:r>
              <w:rPr>
                <w:sz w:val="17"/>
              </w:rPr>
              <w:t>Alta frecuencia, filas pequeñas, peak en cambio de turno</w:t>
            </w:r>
          </w:p>
        </w:tc>
        <w:tc>
          <w:tcPr>
            <w:tcW w:type="dxa" w:w="3251"/>
          </w:tcPr>
          <w:p>
            <w:pPr>
              <w:spacing w:after="20"/>
            </w:pPr>
            <w:r/>
            <w:r>
              <w:rPr>
                <w:sz w:val="17"/>
              </w:rPr>
              <w:t>Carga incremental por evento, sin actualización</w:t>
            </w:r>
          </w:p>
        </w:tc>
      </w:tr>
      <w:tr>
        <w:tc>
          <w:tcPr>
            <w:tcW w:type="dxa" w:w="3251"/>
          </w:tcPr>
          <w:p>
            <w:pPr>
              <w:spacing w:after="20"/>
            </w:pPr>
            <w:r/>
            <w:r>
              <w:rPr>
                <w:sz w:val="17"/>
              </w:rPr>
              <w:t>Consulta</w:t>
            </w:r>
          </w:p>
        </w:tc>
        <w:tc>
          <w:tcPr>
            <w:tcW w:type="dxa" w:w="3251"/>
          </w:tcPr>
          <w:p>
            <w:pPr>
              <w:spacing w:after="20"/>
            </w:pPr>
            <w:r/>
            <w:r>
              <w:rPr>
                <w:sz w:val="17"/>
              </w:rPr>
              <w:t>Por identificador y ventana reciente</w:t>
            </w:r>
          </w:p>
        </w:tc>
        <w:tc>
          <w:tcPr>
            <w:tcW w:type="dxa" w:w="3251"/>
          </w:tcPr>
          <w:p>
            <w:pPr>
              <w:spacing w:after="20"/>
            </w:pPr>
            <w:r/>
            <w:r>
              <w:rPr>
                <w:sz w:val="17"/>
              </w:rPr>
              <w:t>Agregación sobre grandes volúmenes y series históricas</w:t>
            </w:r>
          </w:p>
        </w:tc>
      </w:tr>
    </w:tbl>
    <w:p>
      <w:pPr>
        <w:spacing w:after="40"/>
      </w:pPr>
    </w:p>
    <w:p>
      <w:pPr>
        <w:keepNext/>
        <w:spacing w:before="200" w:after="80"/>
      </w:pPr>
      <w:r>
        <w:rPr>
          <w:b/>
          <w:color w:val="1F4D75"/>
          <w:sz w:val="23"/>
        </w:rPr>
        <w:t>5.2 Cómo viaja el dato entre capas</w:t>
      </w:r>
    </w:p>
    <w:p>
      <w:pPr>
        <w:jc w:val="both"/>
      </w:pPr>
      <w:r>
        <w:rPr>
          <w:sz w:val="20"/>
        </w:rPr>
        <w:t>La capa analítica se alimenta exclusivamente de los eventos publicados en el bus: no lee la base transaccional ni la replica tabla a tabla. Si un indicador necesita un dato que nadie publica, la corrección es publicar el evento que falta, no abrir un acceso de lectura al núcleo. Cada carga conserva el identificador de correlación del evento de origen, de modo que todo valor del tablero es navegable hasta el registro individual que lo compone y hasta el sistema del que provino.</w:t>
      </w:r>
    </w:p>
    <w:p>
      <w:pPr>
        <w:keepNext/>
        <w:spacing w:before="200" w:after="80"/>
      </w:pPr>
      <w:r>
        <w:rPr>
          <w:b/>
          <w:color w:val="1F4D75"/>
          <w:sz w:val="23"/>
        </w:rPr>
        <w:t>5.3 Modelo dimensional</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Tabla de hechos</w:t>
            </w:r>
          </w:p>
        </w:tc>
        <w:tc>
          <w:tcPr>
            <w:tcW w:type="dxa" w:w="3251"/>
            <w:shd w:val="clear" w:fill="E7EEF6"/>
          </w:tcPr>
          <w:p>
            <w:pPr>
              <w:spacing w:after="20"/>
            </w:pPr>
            <w:r/>
            <w:r>
              <w:rPr>
                <w:b/>
                <w:sz w:val="17"/>
              </w:rPr>
              <w:t>Grano</w:t>
            </w:r>
          </w:p>
        </w:tc>
        <w:tc>
          <w:tcPr>
            <w:tcW w:type="dxa" w:w="3251"/>
            <w:shd w:val="clear" w:fill="E7EEF6"/>
          </w:tcPr>
          <w:p>
            <w:pPr>
              <w:spacing w:after="20"/>
            </w:pPr>
            <w:r/>
            <w:r>
              <w:rPr>
                <w:b/>
                <w:sz w:val="17"/>
              </w:rPr>
              <w:t>Dimensiones conformadas</w:t>
            </w:r>
          </w:p>
        </w:tc>
      </w:tr>
      <w:tr>
        <w:tc>
          <w:tcPr>
            <w:tcW w:type="dxa" w:w="3251"/>
          </w:tcPr>
          <w:p>
            <w:pPr>
              <w:spacing w:after="20"/>
            </w:pPr>
            <w:r/>
            <w:r>
              <w:rPr>
                <w:sz w:val="17"/>
              </w:rPr>
              <w:t>Movimiento de mineral</w:t>
            </w:r>
          </w:p>
        </w:tc>
        <w:tc>
          <w:tcPr>
            <w:tcW w:type="dxa" w:w="3251"/>
          </w:tcPr>
          <w:p>
            <w:pPr>
              <w:spacing w:after="20"/>
            </w:pPr>
            <w:r/>
            <w:r>
              <w:rPr>
                <w:sz w:val="17"/>
              </w:rPr>
              <w:t>Un viaje</w:t>
            </w:r>
          </w:p>
        </w:tc>
        <w:tc>
          <w:tcPr>
            <w:tcW w:type="dxa" w:w="3251"/>
          </w:tcPr>
          <w:p>
            <w:pPr>
              <w:spacing w:after="20"/>
            </w:pPr>
            <w:r/>
            <w:r>
              <w:rPr>
                <w:sz w:val="17"/>
              </w:rPr>
              <w:t>Turno, equipo, polígono, sector, destino, persona operadora, versión de plan</w:t>
            </w:r>
          </w:p>
        </w:tc>
      </w:tr>
      <w:tr>
        <w:tc>
          <w:tcPr>
            <w:tcW w:type="dxa" w:w="3251"/>
          </w:tcPr>
          <w:p>
            <w:pPr>
              <w:spacing w:after="20"/>
            </w:pPr>
            <w:r/>
            <w:r>
              <w:rPr>
                <w:sz w:val="17"/>
              </w:rPr>
              <w:t>Conciliación</w:t>
            </w:r>
          </w:p>
        </w:tc>
        <w:tc>
          <w:tcPr>
            <w:tcW w:type="dxa" w:w="3251"/>
          </w:tcPr>
          <w:p>
            <w:pPr>
              <w:spacing w:after="20"/>
            </w:pPr>
            <w:r/>
            <w:r>
              <w:rPr>
                <w:sz w:val="17"/>
              </w:rPr>
              <w:t>Un período y punto de medición</w:t>
            </w:r>
          </w:p>
        </w:tc>
        <w:tc>
          <w:tcPr>
            <w:tcW w:type="dxa" w:w="3251"/>
          </w:tcPr>
          <w:p>
            <w:pPr>
              <w:spacing w:after="20"/>
            </w:pPr>
            <w:r/>
            <w:r>
              <w:rPr>
                <w:sz w:val="17"/>
              </w:rPr>
              <w:t>Turno, período contable, punto de medición, versión de parámetros</w:t>
            </w:r>
          </w:p>
        </w:tc>
      </w:tr>
      <w:tr>
        <w:tc>
          <w:tcPr>
            <w:tcW w:type="dxa" w:w="3251"/>
          </w:tcPr>
          <w:p>
            <w:pPr>
              <w:spacing w:after="20"/>
            </w:pPr>
            <w:r/>
            <w:r>
              <w:rPr>
                <w:sz w:val="17"/>
              </w:rPr>
              <w:t>Productividad</w:t>
            </w:r>
          </w:p>
        </w:tc>
        <w:tc>
          <w:tcPr>
            <w:tcW w:type="dxa" w:w="3251"/>
          </w:tcPr>
          <w:p>
            <w:pPr>
              <w:spacing w:after="20"/>
            </w:pPr>
            <w:r/>
            <w:r>
              <w:rPr>
                <w:sz w:val="17"/>
              </w:rPr>
              <w:t>Una detención</w:t>
            </w:r>
          </w:p>
        </w:tc>
        <w:tc>
          <w:tcPr>
            <w:tcW w:type="dxa" w:w="3251"/>
          </w:tcPr>
          <w:p>
            <w:pPr>
              <w:spacing w:after="20"/>
            </w:pPr>
            <w:r/>
            <w:r>
              <w:rPr>
                <w:sz w:val="17"/>
              </w:rPr>
              <w:t>Turno, equipo, causa de tres niveles, versión de taxonomía</w:t>
            </w:r>
          </w:p>
        </w:tc>
      </w:tr>
      <w:tr>
        <w:tc>
          <w:tcPr>
            <w:tcW w:type="dxa" w:w="3251"/>
          </w:tcPr>
          <w:p>
            <w:pPr>
              <w:spacing w:after="20"/>
            </w:pPr>
            <w:r/>
            <w:r>
              <w:rPr>
                <w:sz w:val="17"/>
              </w:rPr>
              <w:t>Acceso y habilitación</w:t>
            </w:r>
          </w:p>
        </w:tc>
        <w:tc>
          <w:tcPr>
            <w:tcW w:type="dxa" w:w="3251"/>
          </w:tcPr>
          <w:p>
            <w:pPr>
              <w:spacing w:after="20"/>
            </w:pPr>
            <w:r/>
            <w:r>
              <w:rPr>
                <w:sz w:val="17"/>
              </w:rPr>
              <w:t>Un ingreso o validación</w:t>
            </w:r>
          </w:p>
        </w:tc>
        <w:tc>
          <w:tcPr>
            <w:tcW w:type="dxa" w:w="3251"/>
          </w:tcPr>
          <w:p>
            <w:pPr>
              <w:spacing w:after="20"/>
            </w:pPr>
            <w:r/>
            <w:r>
              <w:rPr>
                <w:sz w:val="17"/>
              </w:rPr>
              <w:t>Turno, persona, empresa contratista, tipo de habilitación</w:t>
            </w:r>
          </w:p>
        </w:tc>
      </w:tr>
      <w:tr>
        <w:tc>
          <w:tcPr>
            <w:tcW w:type="dxa" w:w="3251"/>
          </w:tcPr>
          <w:p>
            <w:pPr>
              <w:spacing w:after="20"/>
            </w:pPr>
            <w:r/>
            <w:r>
              <w:rPr>
                <w:sz w:val="17"/>
              </w:rPr>
              <w:t>Cumplimiento</w:t>
            </w:r>
          </w:p>
        </w:tc>
        <w:tc>
          <w:tcPr>
            <w:tcW w:type="dxa" w:w="3251"/>
          </w:tcPr>
          <w:p>
            <w:pPr>
              <w:spacing w:after="20"/>
            </w:pPr>
            <w:r/>
            <w:r>
              <w:rPr>
                <w:sz w:val="17"/>
              </w:rPr>
              <w:t>Una medición o reporte</w:t>
            </w:r>
          </w:p>
        </w:tc>
        <w:tc>
          <w:tcPr>
            <w:tcW w:type="dxa" w:w="3251"/>
          </w:tcPr>
          <w:p>
            <w:pPr>
              <w:spacing w:after="20"/>
            </w:pPr>
            <w:r/>
            <w:r>
              <w:rPr>
                <w:sz w:val="17"/>
              </w:rPr>
              <w:t>Compromiso, punto de medición, período, destinatario</w:t>
            </w:r>
          </w:p>
        </w:tc>
      </w:tr>
      <w:tr>
        <w:tc>
          <w:tcPr>
            <w:tcW w:type="dxa" w:w="3251"/>
          </w:tcPr>
          <w:p>
            <w:pPr>
              <w:spacing w:after="20"/>
            </w:pPr>
            <w:r/>
            <w:r>
              <w:rPr>
                <w:sz w:val="17"/>
              </w:rPr>
              <w:t>Comercial</w:t>
            </w:r>
          </w:p>
        </w:tc>
        <w:tc>
          <w:tcPr>
            <w:tcW w:type="dxa" w:w="3251"/>
          </w:tcPr>
          <w:p>
            <w:pPr>
              <w:spacing w:after="20"/>
            </w:pPr>
            <w:r/>
            <w:r>
              <w:rPr>
                <w:sz w:val="17"/>
              </w:rPr>
              <w:t>Un lote embarcado</w:t>
            </w:r>
          </w:p>
        </w:tc>
        <w:tc>
          <w:tcPr>
            <w:tcW w:type="dxa" w:w="3251"/>
          </w:tcPr>
          <w:p>
            <w:pPr>
              <w:spacing w:after="20"/>
            </w:pPr>
            <w:r/>
            <w:r>
              <w:rPr>
                <w:sz w:val="17"/>
              </w:rPr>
              <w:t>Embarque, comprador, período, sector de origen</w:t>
            </w:r>
          </w:p>
        </w:tc>
      </w:tr>
    </w:tbl>
    <w:p>
      <w:pPr>
        <w:spacing w:after="40"/>
      </w:pPr>
    </w:p>
    <w:p>
      <w:pPr>
        <w:jc w:val="both"/>
      </w:pPr>
      <w:r>
        <w:rPr>
          <w:sz w:val="20"/>
        </w:rPr>
        <w:t>Las dimensiones se mantienen con variación lenta de tipo 2: cuando cambia la definición de un turno, la taxonomía de detenciones o un factor de emisión, el hecho histórico conserva la versión que regía en su instante. Esa propiedad es la que permite recalcular un período cerrado y obtener exactamente la cifra que se informó.</w:t>
      </w:r>
    </w:p>
    <w:p>
      <w:pPr>
        <w:keepNext/>
        <w:spacing w:before="200" w:after="80"/>
      </w:pPr>
      <w:r>
        <w:rPr>
          <w:b/>
          <w:color w:val="1F4D75"/>
          <w:sz w:val="23"/>
        </w:rPr>
        <w:t>5.4 Modelo de explotación</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Vía</w:t>
            </w:r>
          </w:p>
        </w:tc>
        <w:tc>
          <w:tcPr>
            <w:tcW w:type="dxa" w:w="3251"/>
            <w:shd w:val="clear" w:fill="E7EEF6"/>
          </w:tcPr>
          <w:p>
            <w:pPr>
              <w:spacing w:after="20"/>
            </w:pPr>
            <w:r/>
            <w:r>
              <w:rPr>
                <w:b/>
                <w:sz w:val="17"/>
              </w:rPr>
              <w:t>Destinatario</w:t>
            </w:r>
          </w:p>
        </w:tc>
        <w:tc>
          <w:tcPr>
            <w:tcW w:type="dxa" w:w="3251"/>
            <w:shd w:val="clear" w:fill="E7EEF6"/>
          </w:tcPr>
          <w:p>
            <w:pPr>
              <w:spacing w:after="20"/>
            </w:pPr>
            <w:r/>
            <w:r>
              <w:rPr>
                <w:b/>
                <w:sz w:val="17"/>
              </w:rPr>
              <w:t>Alcance y control</w:t>
            </w:r>
          </w:p>
        </w:tc>
      </w:tr>
      <w:tr>
        <w:tc>
          <w:tcPr>
            <w:tcW w:type="dxa" w:w="3251"/>
          </w:tcPr>
          <w:p>
            <w:pPr>
              <w:spacing w:after="20"/>
            </w:pPr>
            <w:r/>
            <w:r>
              <w:rPr>
                <w:sz w:val="17"/>
              </w:rPr>
              <w:t>Tableros operacionales</w:t>
            </w:r>
          </w:p>
        </w:tc>
        <w:tc>
          <w:tcPr>
            <w:tcW w:type="dxa" w:w="3251"/>
          </w:tcPr>
          <w:p>
            <w:pPr>
              <w:spacing w:after="20"/>
            </w:pPr>
            <w:r/>
            <w:r>
              <w:rPr>
                <w:sz w:val="17"/>
              </w:rPr>
              <w:t>Supervisión de turno y Centro Integrado de Operaciones</w:t>
            </w:r>
          </w:p>
        </w:tc>
        <w:tc>
          <w:tcPr>
            <w:tcW w:type="dxa" w:w="3251"/>
          </w:tcPr>
          <w:p>
            <w:pPr>
              <w:spacing w:after="20"/>
            </w:pPr>
            <w:r/>
            <w:r>
              <w:rPr>
                <w:sz w:val="17"/>
              </w:rPr>
              <w:t>Indicadores por turno con latencia de 15 minutos, con acceso por rol, área y sitio</w:t>
            </w:r>
          </w:p>
        </w:tc>
      </w:tr>
      <w:tr>
        <w:tc>
          <w:tcPr>
            <w:tcW w:type="dxa" w:w="3251"/>
          </w:tcPr>
          <w:p>
            <w:pPr>
              <w:spacing w:after="20"/>
            </w:pPr>
            <w:r/>
            <w:r>
              <w:rPr>
                <w:sz w:val="17"/>
              </w:rPr>
              <w:t>Tableros de gestión</w:t>
            </w:r>
          </w:p>
        </w:tc>
        <w:tc>
          <w:tcPr>
            <w:tcW w:type="dxa" w:w="3251"/>
          </w:tcPr>
          <w:p>
            <w:pPr>
              <w:spacing w:after="20"/>
            </w:pPr>
            <w:r/>
            <w:r>
              <w:rPr>
                <w:sz w:val="17"/>
              </w:rPr>
              <w:t>Superintendencias y gerencias</w:t>
            </w:r>
          </w:p>
        </w:tc>
        <w:tc>
          <w:tcPr>
            <w:tcW w:type="dxa" w:w="3251"/>
          </w:tcPr>
          <w:p>
            <w:pPr>
              <w:spacing w:after="20"/>
            </w:pPr>
            <w:r/>
            <w:r>
              <w:rPr>
                <w:sz w:val="17"/>
              </w:rPr>
              <w:t>Cumplimiento de plan, conciliación, productividad y cumplimiento normativo, con latencia de 4 horas</w:t>
            </w:r>
          </w:p>
        </w:tc>
      </w:tr>
      <w:tr>
        <w:tc>
          <w:tcPr>
            <w:tcW w:type="dxa" w:w="3251"/>
          </w:tcPr>
          <w:p>
            <w:pPr>
              <w:spacing w:after="20"/>
            </w:pPr>
            <w:r/>
            <w:r>
              <w:rPr>
                <w:sz w:val="17"/>
              </w:rPr>
              <w:t>Tablero de calidad de datos</w:t>
            </w:r>
          </w:p>
        </w:tc>
        <w:tc>
          <w:tcPr>
            <w:tcW w:type="dxa" w:w="3251"/>
          </w:tcPr>
          <w:p>
            <w:pPr>
              <w:spacing w:after="20"/>
            </w:pPr>
            <w:r/>
            <w:r>
              <w:rPr>
                <w:sz w:val="17"/>
              </w:rPr>
              <w:t>CLIENTE</w:t>
            </w:r>
          </w:p>
        </w:tc>
        <w:tc>
          <w:tcPr>
            <w:tcW w:type="dxa" w:w="3251"/>
          </w:tcPr>
          <w:p>
            <w:pPr>
              <w:spacing w:after="20"/>
            </w:pPr>
            <w:r/>
            <w:r>
              <w:rPr>
                <w:sz w:val="17"/>
              </w:rPr>
              <w:t>Acceso propio y permanente, sin intervención del ADJUDICATARIO</w:t>
            </w:r>
          </w:p>
        </w:tc>
      </w:tr>
      <w:tr>
        <w:tc>
          <w:tcPr>
            <w:tcW w:type="dxa" w:w="3251"/>
          </w:tcPr>
          <w:p>
            <w:pPr>
              <w:spacing w:after="20"/>
            </w:pPr>
            <w:r/>
            <w:r>
              <w:rPr>
                <w:sz w:val="17"/>
              </w:rPr>
              <w:t>Consulta autoservida</w:t>
            </w:r>
          </w:p>
        </w:tc>
        <w:tc>
          <w:tcPr>
            <w:tcW w:type="dxa" w:w="3251"/>
          </w:tcPr>
          <w:p>
            <w:pPr>
              <w:spacing w:after="20"/>
            </w:pPr>
            <w:r/>
            <w:r>
              <w:rPr>
                <w:sz w:val="17"/>
              </w:rPr>
              <w:t>Analistas designados por el CLIENTE</w:t>
            </w:r>
          </w:p>
        </w:tc>
        <w:tc>
          <w:tcPr>
            <w:tcW w:type="dxa" w:w="3251"/>
          </w:tcPr>
          <w:p>
            <w:pPr>
              <w:spacing w:after="20"/>
            </w:pPr>
            <w:r/>
            <w:r>
              <w:rPr>
                <w:sz w:val="17"/>
              </w:rPr>
              <w:t>Sobre el almacén analítico y nunca sobre el transaccional. Respeta el control de acceso del dato de origen</w:t>
            </w:r>
          </w:p>
        </w:tc>
      </w:tr>
      <w:tr>
        <w:tc>
          <w:tcPr>
            <w:tcW w:type="dxa" w:w="3251"/>
          </w:tcPr>
          <w:p>
            <w:pPr>
              <w:spacing w:after="20"/>
            </w:pPr>
            <w:r/>
            <w:r>
              <w:rPr>
                <w:sz w:val="17"/>
              </w:rPr>
              <w:t>Interfaces de programación</w:t>
            </w:r>
          </w:p>
        </w:tc>
        <w:tc>
          <w:tcPr>
            <w:tcW w:type="dxa" w:w="3251"/>
          </w:tcPr>
          <w:p>
            <w:pPr>
              <w:spacing w:after="20"/>
            </w:pPr>
            <w:r/>
            <w:r>
              <w:rPr>
                <w:sz w:val="17"/>
              </w:rPr>
              <w:t>Sistemas del CLIENTE y terceros autorizados</w:t>
            </w:r>
          </w:p>
        </w:tc>
        <w:tc>
          <w:tcPr>
            <w:tcW w:type="dxa" w:w="3251"/>
          </w:tcPr>
          <w:p>
            <w:pPr>
              <w:spacing w:after="20"/>
            </w:pPr>
            <w:r/>
            <w:r>
              <w:rPr>
                <w:sz w:val="17"/>
              </w:rPr>
              <w:t>Contrato versionado, cuota y límite de tasa por consumidor</w:t>
            </w:r>
          </w:p>
        </w:tc>
      </w:tr>
      <w:tr>
        <w:tc>
          <w:tcPr>
            <w:tcW w:type="dxa" w:w="3251"/>
          </w:tcPr>
          <w:p>
            <w:pPr>
              <w:spacing w:after="20"/>
            </w:pPr>
            <w:r/>
            <w:r>
              <w:rPr>
                <w:sz w:val="17"/>
              </w:rPr>
              <w:t>Exportación total</w:t>
            </w:r>
          </w:p>
        </w:tc>
        <w:tc>
          <w:tcPr>
            <w:tcW w:type="dxa" w:w="3251"/>
          </w:tcPr>
          <w:p>
            <w:pPr>
              <w:spacing w:after="20"/>
            </w:pPr>
            <w:r/>
            <w:r>
              <w:rPr>
                <w:sz w:val="17"/>
              </w:rPr>
              <w:t>CLIENTE</w:t>
            </w:r>
          </w:p>
        </w:tc>
        <w:tc>
          <w:tcPr>
            <w:tcW w:type="dxa" w:w="3251"/>
          </w:tcPr>
          <w:p>
            <w:pPr>
              <w:spacing w:after="20"/>
            </w:pPr>
            <w:r/>
            <w:r>
              <w:rPr>
                <w:sz w:val="17"/>
              </w:rPr>
              <w:t>La información es del CLIENTE: exportación completa en formatos abiertos y documentados, en cualquier momento del Contrato, sin costo adicional y sin intervención del ADJUDICATARIO</w:t>
            </w:r>
          </w:p>
        </w:tc>
      </w:tr>
      <w:tr>
        <w:tc>
          <w:tcPr>
            <w:tcW w:type="dxa" w:w="3251"/>
          </w:tcPr>
          <w:p>
            <w:pPr>
              <w:spacing w:after="20"/>
            </w:pPr>
            <w:r/>
            <w:r>
              <w:rPr>
                <w:sz w:val="17"/>
              </w:rPr>
              <w:t>Publicación externa</w:t>
            </w:r>
          </w:p>
        </w:tc>
        <w:tc>
          <w:tcPr>
            <w:tcW w:type="dxa" w:w="3251"/>
          </w:tcPr>
          <w:p>
            <w:pPr>
              <w:spacing w:after="20"/>
            </w:pPr>
            <w:r/>
            <w:r>
              <w:rPr>
                <w:sz w:val="17"/>
              </w:rPr>
              <w:t>Comprador y autoridad</w:t>
            </w:r>
          </w:p>
        </w:tc>
        <w:tc>
          <w:tcPr>
            <w:tcW w:type="dxa" w:w="3251"/>
          </w:tcPr>
          <w:p>
            <w:pPr>
              <w:spacing w:after="20"/>
            </w:pPr>
            <w:r/>
            <w:r>
              <w:rPr>
                <w:sz w:val="17"/>
              </w:rPr>
              <w:t>Vista de exposición construida por lista blanca de atributos. Ningún atributo confidencial puede alcanzarla, y toda consulta queda registrada</w:t>
            </w:r>
          </w:p>
        </w:tc>
      </w:tr>
    </w:tbl>
    <w:p>
      <w:pPr>
        <w:spacing w:after="40"/>
      </w:pPr>
    </w:p>
    <w:p>
      <w:r>
        <w:br w:type="page"/>
      </w:r>
    </w:p>
    <w:p>
      <w:pPr>
        <w:keepNext/>
        <w:spacing w:before="280" w:after="80"/>
      </w:pPr>
      <w:r>
        <w:rPr>
          <w:b/>
          <w:color w:val="0D2B45"/>
          <w:sz w:val="28"/>
        </w:rPr>
        <w:t>6. Calidad de datos, retención, archivado y eliminación segura</w:t>
      </w:r>
    </w:p>
    <w:p>
      <w:pPr>
        <w:keepNext/>
        <w:spacing w:before="200" w:after="80"/>
      </w:pPr>
      <w:r>
        <w:rPr>
          <w:b/>
          <w:color w:val="1F4D75"/>
          <w:sz w:val="23"/>
        </w:rPr>
        <w:t>6.1 Calidad de datos</w:t>
      </w:r>
    </w:p>
    <w:p>
      <w:pPr>
        <w:jc w:val="both"/>
      </w:pPr>
      <w:r>
        <w:rPr>
          <w:sz w:val="20"/>
        </w:rPr>
        <w:t>La calidad se gestiona conforme a ISO/IEC 25012, con validación en el punto de captura y no en la ingesta: el evento se valida en el dispositivo, contra su esquema, antes de firmarse. Un evento que no valida no se descarta —el hecho de terreno ocurrió— sino que viaja a la cola de mensajes fallidos con su carga íntegra y su motivo. Los indicadores se publican en el tablero de calidad, con acceso propio y permanente del CLIENTE.</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Dimensión</w:t>
            </w:r>
          </w:p>
        </w:tc>
        <w:tc>
          <w:tcPr>
            <w:tcW w:type="dxa" w:w="3251"/>
            <w:shd w:val="clear" w:fill="E7EEF6"/>
          </w:tcPr>
          <w:p>
            <w:pPr>
              <w:spacing w:after="20"/>
            </w:pPr>
            <w:r/>
            <w:r>
              <w:rPr>
                <w:b/>
                <w:sz w:val="17"/>
              </w:rPr>
              <w:t>Indicador</w:t>
            </w:r>
          </w:p>
        </w:tc>
        <w:tc>
          <w:tcPr>
            <w:tcW w:type="dxa" w:w="3251"/>
            <w:shd w:val="clear" w:fill="E7EEF6"/>
          </w:tcPr>
          <w:p>
            <w:pPr>
              <w:spacing w:after="20"/>
            </w:pPr>
            <w:r/>
            <w:r>
              <w:rPr>
                <w:b/>
                <w:sz w:val="17"/>
              </w:rPr>
              <w:t>Meta</w:t>
            </w:r>
          </w:p>
        </w:tc>
      </w:tr>
      <w:tr>
        <w:tc>
          <w:tcPr>
            <w:tcW w:type="dxa" w:w="3251"/>
          </w:tcPr>
          <w:p>
            <w:pPr>
              <w:spacing w:after="20"/>
            </w:pPr>
            <w:r/>
            <w:r>
              <w:rPr>
                <w:sz w:val="17"/>
              </w:rPr>
              <w:t>Completitud</w:t>
            </w:r>
          </w:p>
        </w:tc>
        <w:tc>
          <w:tcPr>
            <w:tcW w:type="dxa" w:w="3251"/>
          </w:tcPr>
          <w:p>
            <w:pPr>
              <w:spacing w:after="20"/>
            </w:pPr>
            <w:r/>
            <w:r>
              <w:rPr>
                <w:sz w:val="17"/>
              </w:rPr>
              <w:t>Viajes con operador identificado, por equipo, turno y área</w:t>
            </w:r>
          </w:p>
        </w:tc>
        <w:tc>
          <w:tcPr>
            <w:tcW w:type="dxa" w:w="3251"/>
          </w:tcPr>
          <w:p>
            <w:pPr>
              <w:spacing w:after="20"/>
            </w:pPr>
            <w:r/>
            <w:r>
              <w:rPr>
                <w:sz w:val="17"/>
              </w:rPr>
              <w:t>≥ 90 %</w:t>
            </w:r>
          </w:p>
        </w:tc>
      </w:tr>
      <w:tr>
        <w:tc>
          <w:tcPr>
            <w:tcW w:type="dxa" w:w="3251"/>
          </w:tcPr>
          <w:p/>
        </w:tc>
        <w:tc>
          <w:tcPr>
            <w:tcW w:type="dxa" w:w="3251"/>
          </w:tcPr>
          <w:p>
            <w:pPr>
              <w:spacing w:after="20"/>
            </w:pPr>
            <w:r/>
            <w:r>
              <w:rPr>
                <w:sz w:val="17"/>
              </w:rPr>
              <w:t>Detenciones clasificadas al cierre del turno siguiente</w:t>
            </w:r>
          </w:p>
        </w:tc>
        <w:tc>
          <w:tcPr>
            <w:tcW w:type="dxa" w:w="3251"/>
          </w:tcPr>
          <w:p>
            <w:pPr>
              <w:spacing w:after="20"/>
            </w:pPr>
            <w:r/>
            <w:r>
              <w:rPr>
                <w:sz w:val="17"/>
              </w:rPr>
              <w:t>100 %</w:t>
            </w:r>
          </w:p>
        </w:tc>
      </w:tr>
      <w:tr>
        <w:tc>
          <w:tcPr>
            <w:tcW w:type="dxa" w:w="3251"/>
          </w:tcPr>
          <w:p/>
        </w:tc>
        <w:tc>
          <w:tcPr>
            <w:tcW w:type="dxa" w:w="3251"/>
          </w:tcPr>
          <w:p>
            <w:pPr>
              <w:spacing w:after="20"/>
            </w:pPr>
            <w:r/>
            <w:r>
              <w:rPr>
                <w:sz w:val="17"/>
              </w:rPr>
              <w:t>Compromisos con medición dentro de su frecuencia</w:t>
            </w:r>
          </w:p>
        </w:tc>
        <w:tc>
          <w:tcPr>
            <w:tcW w:type="dxa" w:w="3251"/>
          </w:tcPr>
          <w:p>
            <w:pPr>
              <w:spacing w:after="20"/>
            </w:pPr>
            <w:r/>
            <w:r>
              <w:rPr>
                <w:sz w:val="17"/>
              </w:rPr>
              <w:t>100 %</w:t>
            </w:r>
          </w:p>
        </w:tc>
      </w:tr>
      <w:tr>
        <w:tc>
          <w:tcPr>
            <w:tcW w:type="dxa" w:w="3251"/>
          </w:tcPr>
          <w:p>
            <w:pPr>
              <w:spacing w:after="20"/>
            </w:pPr>
            <w:r/>
            <w:r>
              <w:rPr>
                <w:sz w:val="17"/>
              </w:rPr>
              <w:t>Exactitud</w:t>
            </w:r>
          </w:p>
        </w:tc>
        <w:tc>
          <w:tcPr>
            <w:tcW w:type="dxa" w:w="3251"/>
          </w:tcPr>
          <w:p>
            <w:pPr>
              <w:spacing w:after="20"/>
            </w:pPr>
            <w:r/>
            <w:r>
              <w:rPr>
                <w:sz w:val="17"/>
              </w:rPr>
              <w:t>Desviación entre pesaje de a bordo y báscula de camiones, por equipo y campaña</w:t>
            </w:r>
          </w:p>
        </w:tc>
        <w:tc>
          <w:tcPr>
            <w:tcW w:type="dxa" w:w="3251"/>
          </w:tcPr>
          <w:p>
            <w:pPr>
              <w:spacing w:after="20"/>
            </w:pPr>
            <w:r/>
            <w:r>
              <w:rPr>
                <w:sz w:val="17"/>
              </w:rPr>
              <w:t>Se publica por punto de medición; no se corrige</w:t>
            </w:r>
          </w:p>
        </w:tc>
      </w:tr>
      <w:tr>
        <w:tc>
          <w:tcPr>
            <w:tcW w:type="dxa" w:w="3251"/>
          </w:tcPr>
          <w:p/>
        </w:tc>
        <w:tc>
          <w:tcPr>
            <w:tcW w:type="dxa" w:w="3251"/>
          </w:tcPr>
          <w:p>
            <w:pPr>
              <w:spacing w:after="20"/>
            </w:pPr>
            <w:r/>
            <w:r>
              <w:rPr>
                <w:sz w:val="17"/>
              </w:rPr>
              <w:t>Desviación entre ley estimada y ley medida, por polígono</w:t>
            </w:r>
          </w:p>
        </w:tc>
        <w:tc>
          <w:tcPr>
            <w:tcW w:type="dxa" w:w="3251"/>
          </w:tcPr>
          <w:p>
            <w:pPr>
              <w:spacing w:after="20"/>
            </w:pPr>
            <w:r/>
            <w:r>
              <w:rPr>
                <w:sz w:val="17"/>
              </w:rPr>
              <w:t>Se publica como calidad del modelo de bloques</w:t>
            </w:r>
          </w:p>
        </w:tc>
      </w:tr>
      <w:tr>
        <w:tc>
          <w:tcPr>
            <w:tcW w:type="dxa" w:w="3251"/>
          </w:tcPr>
          <w:p/>
        </w:tc>
        <w:tc>
          <w:tcPr>
            <w:tcW w:type="dxa" w:w="3251"/>
          </w:tcPr>
          <w:p>
            <w:pPr>
              <w:spacing w:after="20"/>
            </w:pPr>
            <w:r/>
            <w:r>
              <w:rPr>
                <w:sz w:val="17"/>
              </w:rPr>
              <w:t>Desviación entre ley predicha en la retoma y ley medida</w:t>
            </w:r>
          </w:p>
        </w:tc>
        <w:tc>
          <w:tcPr>
            <w:tcW w:type="dxa" w:w="3251"/>
          </w:tcPr>
          <w:p>
            <w:pPr>
              <w:spacing w:after="20"/>
            </w:pPr>
            <w:r/>
            <w:r>
              <w:rPr>
                <w:sz w:val="17"/>
              </w:rPr>
              <w:t>Se publica y valida el supuesto del acopio</w:t>
            </w:r>
          </w:p>
        </w:tc>
      </w:tr>
      <w:tr>
        <w:tc>
          <w:tcPr>
            <w:tcW w:type="dxa" w:w="3251"/>
          </w:tcPr>
          <w:p>
            <w:pPr>
              <w:spacing w:after="20"/>
            </w:pPr>
            <w:r/>
            <w:r>
              <w:rPr>
                <w:sz w:val="17"/>
              </w:rPr>
              <w:t>Consistencia</w:t>
            </w:r>
          </w:p>
        </w:tc>
        <w:tc>
          <w:tcPr>
            <w:tcW w:type="dxa" w:w="3251"/>
          </w:tcPr>
          <w:p>
            <w:pPr>
              <w:spacing w:after="20"/>
            </w:pPr>
            <w:r/>
            <w:r>
              <w:rPr>
                <w:sz w:val="17"/>
              </w:rPr>
              <w:t>Suma de proporciones por lote padre</w:t>
            </w:r>
          </w:p>
        </w:tc>
        <w:tc>
          <w:tcPr>
            <w:tcW w:type="dxa" w:w="3251"/>
          </w:tcPr>
          <w:p>
            <w:pPr>
              <w:spacing w:after="20"/>
            </w:pPr>
            <w:r/>
            <w:r>
              <w:rPr>
                <w:sz w:val="17"/>
              </w:rPr>
              <w:t>Exactamente 1, sin excepción</w:t>
            </w:r>
          </w:p>
        </w:tc>
      </w:tr>
      <w:tr>
        <w:tc>
          <w:tcPr>
            <w:tcW w:type="dxa" w:w="3251"/>
          </w:tcPr>
          <w:p/>
        </w:tc>
        <w:tc>
          <w:tcPr>
            <w:tcW w:type="dxa" w:w="3251"/>
          </w:tcPr>
          <w:p>
            <w:pPr>
              <w:spacing w:after="20"/>
            </w:pPr>
            <w:r/>
            <w:r>
              <w:rPr>
                <w:sz w:val="17"/>
              </w:rPr>
              <w:t>Eventos de terreno en cuarentena sobre el total reconciliado</w:t>
            </w:r>
          </w:p>
        </w:tc>
        <w:tc>
          <w:tcPr>
            <w:tcW w:type="dxa" w:w="3251"/>
          </w:tcPr>
          <w:p>
            <w:pPr>
              <w:spacing w:after="20"/>
            </w:pPr>
            <w:r/>
            <w:r>
              <w:rPr>
                <w:sz w:val="17"/>
              </w:rPr>
              <w:t>Tendiendo a cero, con alerta si crece</w:t>
            </w:r>
          </w:p>
        </w:tc>
      </w:tr>
      <w:tr>
        <w:tc>
          <w:tcPr>
            <w:tcW w:type="dxa" w:w="3251"/>
          </w:tcPr>
          <w:p/>
        </w:tc>
        <w:tc>
          <w:tcPr>
            <w:tcW w:type="dxa" w:w="3251"/>
          </w:tcPr>
          <w:p>
            <w:pPr>
              <w:spacing w:after="20"/>
            </w:pPr>
            <w:r/>
            <w:r>
              <w:rPr>
                <w:sz w:val="17"/>
              </w:rPr>
              <w:t>Diferencia de conciliación atribuida a un punto de medición</w:t>
            </w:r>
          </w:p>
        </w:tc>
        <w:tc>
          <w:tcPr>
            <w:tcW w:type="dxa" w:w="3251"/>
          </w:tcPr>
          <w:p>
            <w:pPr>
              <w:spacing w:after="20"/>
            </w:pPr>
            <w:r/>
            <w:r>
              <w:rPr>
                <w:sz w:val="17"/>
              </w:rPr>
              <w:t>100 % atribuida; ninguna se cierra como no explicada</w:t>
            </w:r>
          </w:p>
        </w:tc>
      </w:tr>
      <w:tr>
        <w:tc>
          <w:tcPr>
            <w:tcW w:type="dxa" w:w="3251"/>
          </w:tcPr>
          <w:p>
            <w:pPr>
              <w:spacing w:after="20"/>
            </w:pPr>
            <w:r/>
            <w:r>
              <w:rPr>
                <w:sz w:val="17"/>
              </w:rPr>
              <w:t>Trazabilidad</w:t>
            </w:r>
          </w:p>
        </w:tc>
        <w:tc>
          <w:tcPr>
            <w:tcW w:type="dxa" w:w="3251"/>
          </w:tcPr>
          <w:p>
            <w:pPr>
              <w:spacing w:after="20"/>
            </w:pPr>
            <w:r/>
            <w:r>
              <w:rPr>
                <w:sz w:val="17"/>
              </w:rPr>
              <w:t>Registros con linaje completo hasta su sistema de origen</w:t>
            </w:r>
          </w:p>
        </w:tc>
        <w:tc>
          <w:tcPr>
            <w:tcW w:type="dxa" w:w="3251"/>
          </w:tcPr>
          <w:p>
            <w:pPr>
              <w:spacing w:after="20"/>
            </w:pPr>
            <w:r/>
            <w:r>
              <w:rPr>
                <w:sz w:val="17"/>
              </w:rPr>
              <w:t>100 %</w:t>
            </w:r>
          </w:p>
        </w:tc>
      </w:tr>
      <w:tr>
        <w:tc>
          <w:tcPr>
            <w:tcW w:type="dxa" w:w="3251"/>
          </w:tcPr>
          <w:p>
            <w:pPr>
              <w:spacing w:after="20"/>
            </w:pPr>
            <w:r/>
            <w:r>
              <w:rPr>
                <w:sz w:val="17"/>
              </w:rPr>
              <w:t>Actualidad</w:t>
            </w:r>
          </w:p>
        </w:tc>
        <w:tc>
          <w:tcPr>
            <w:tcW w:type="dxa" w:w="3251"/>
          </w:tcPr>
          <w:p>
            <w:pPr>
              <w:spacing w:after="20"/>
            </w:pPr>
            <w:r/>
            <w:r>
              <w:rPr>
                <w:sz w:val="17"/>
              </w:rPr>
              <w:t>Latencia real de la capa analítica frente a la comprometida</w:t>
            </w:r>
          </w:p>
        </w:tc>
        <w:tc>
          <w:tcPr>
            <w:tcW w:type="dxa" w:w="3251"/>
          </w:tcPr>
          <w:p>
            <w:pPr>
              <w:spacing w:after="20"/>
            </w:pPr>
            <w:r/>
            <w:r>
              <w:rPr>
                <w:sz w:val="17"/>
              </w:rPr>
              <w:t>≤ 15 minutos operacional; ≤ 4 horas gestión</w:t>
            </w:r>
          </w:p>
        </w:tc>
      </w:tr>
    </w:tbl>
    <w:p>
      <w:pPr>
        <w:spacing w:after="40"/>
      </w:pPr>
    </w:p>
    <w:p>
      <w:pPr>
        <w:keepNext/>
        <w:spacing w:before="200" w:after="80"/>
      </w:pPr>
      <w:r>
        <w:rPr>
          <w:b/>
          <w:color w:val="1F4D75"/>
          <w:sz w:val="23"/>
        </w:rPr>
        <w:t>6.2 Retención</w:t>
      </w:r>
    </w:p>
    <w:p>
      <w:pPr>
        <w:jc w:val="both"/>
      </w:pPr>
      <w:r>
        <w:rPr>
          <w:sz w:val="20"/>
        </w:rPr>
        <w:t>Los plazos los fija el caso y ninguna categoría admite borrado anticipado. Donde el caso no fija plazo, rige el mínimo transversal de cinco años.</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Categoría</w:t>
            </w:r>
          </w:p>
        </w:tc>
        <w:tc>
          <w:tcPr>
            <w:tcW w:type="dxa" w:w="2438"/>
            <w:shd w:val="clear" w:fill="E7EEF6"/>
          </w:tcPr>
          <w:p>
            <w:pPr>
              <w:spacing w:after="20"/>
            </w:pPr>
            <w:r/>
            <w:r>
              <w:rPr>
                <w:b/>
                <w:sz w:val="17"/>
              </w:rPr>
              <w:t>Entidades</w:t>
            </w:r>
          </w:p>
        </w:tc>
        <w:tc>
          <w:tcPr>
            <w:tcW w:type="dxa" w:w="2438"/>
            <w:shd w:val="clear" w:fill="E7EEF6"/>
          </w:tcPr>
          <w:p>
            <w:pPr>
              <w:spacing w:after="20"/>
            </w:pPr>
            <w:r/>
            <w:r>
              <w:rPr>
                <w:b/>
                <w:sz w:val="17"/>
              </w:rPr>
              <w:t>Retención</w:t>
            </w:r>
          </w:p>
        </w:tc>
        <w:tc>
          <w:tcPr>
            <w:tcW w:type="dxa" w:w="2438"/>
            <w:shd w:val="clear" w:fill="E7EEF6"/>
          </w:tcPr>
          <w:p>
            <w:pPr>
              <w:spacing w:after="20"/>
            </w:pPr>
            <w:r/>
            <w:r>
              <w:rPr>
                <w:b/>
                <w:sz w:val="17"/>
              </w:rPr>
              <w:t>Almacén</w:t>
            </w:r>
          </w:p>
        </w:tc>
      </w:tr>
      <w:tr>
        <w:tc>
          <w:tcPr>
            <w:tcW w:type="dxa" w:w="2438"/>
          </w:tcPr>
          <w:p>
            <w:pPr>
              <w:spacing w:after="20"/>
            </w:pPr>
            <w:r/>
            <w:r>
              <w:rPr>
                <w:sz w:val="17"/>
              </w:rPr>
              <w:t>Seguridad y salud ocupacional</w:t>
            </w:r>
          </w:p>
        </w:tc>
        <w:tc>
          <w:tcPr>
            <w:tcW w:type="dxa" w:w="2438"/>
          </w:tcPr>
          <w:p>
            <w:pPr>
              <w:spacing w:after="20"/>
            </w:pPr>
            <w:r/>
            <w:r>
              <w:rPr>
                <w:sz w:val="17"/>
              </w:rPr>
              <w:t>Habilitación, Incidente, Inspección, Alerta de fatiga, Participación en incidente</w:t>
            </w:r>
          </w:p>
        </w:tc>
        <w:tc>
          <w:tcPr>
            <w:tcW w:type="dxa" w:w="2438"/>
          </w:tcPr>
          <w:p>
            <w:pPr>
              <w:spacing w:after="20"/>
            </w:pPr>
            <w:r/>
            <w:r>
              <w:rPr>
                <w:sz w:val="17"/>
              </w:rPr>
              <w:t>10 años</w:t>
            </w:r>
          </w:p>
        </w:tc>
        <w:tc>
          <w:tcPr>
            <w:tcW w:type="dxa" w:w="2438"/>
          </w:tcPr>
          <w:p>
            <w:pPr>
              <w:spacing w:after="20"/>
            </w:pPr>
            <w:r/>
            <w:r>
              <w:rPr>
                <w:sz w:val="17"/>
              </w:rPr>
              <w:t>Transaccional y documental</w:t>
            </w:r>
          </w:p>
        </w:tc>
      </w:tr>
      <w:tr>
        <w:tc>
          <w:tcPr>
            <w:tcW w:type="dxa" w:w="2438"/>
          </w:tcPr>
          <w:p>
            <w:pPr>
              <w:spacing w:after="20"/>
            </w:pPr>
            <w:r/>
            <w:r>
              <w:rPr>
                <w:sz w:val="17"/>
              </w:rPr>
              <w:t>Ambientales y de monitoreo</w:t>
            </w:r>
          </w:p>
        </w:tc>
        <w:tc>
          <w:tcPr>
            <w:tcW w:type="dxa" w:w="2438"/>
          </w:tcPr>
          <w:p>
            <w:pPr>
              <w:spacing w:after="20"/>
            </w:pPr>
            <w:r/>
            <w:r>
              <w:rPr>
                <w:sz w:val="17"/>
              </w:rPr>
              <w:t>Compromiso, Medición ambiental</w:t>
            </w:r>
          </w:p>
        </w:tc>
        <w:tc>
          <w:tcPr>
            <w:tcW w:type="dxa" w:w="2438"/>
          </w:tcPr>
          <w:p>
            <w:pPr>
              <w:spacing w:after="20"/>
            </w:pPr>
            <w:r/>
            <w:r>
              <w:rPr>
                <w:sz w:val="17"/>
              </w:rPr>
              <w:t>10 años</w:t>
            </w:r>
          </w:p>
        </w:tc>
        <w:tc>
          <w:tcPr>
            <w:tcW w:type="dxa" w:w="2438"/>
          </w:tcPr>
          <w:p>
            <w:pPr>
              <w:spacing w:after="20"/>
            </w:pPr>
            <w:r/>
            <w:r>
              <w:rPr>
                <w:sz w:val="17"/>
              </w:rPr>
              <w:t>Transaccional y series de tiempo</w:t>
            </w:r>
          </w:p>
        </w:tc>
      </w:tr>
      <w:tr>
        <w:tc>
          <w:tcPr>
            <w:tcW w:type="dxa" w:w="2438"/>
          </w:tcPr>
          <w:p>
            <w:pPr>
              <w:spacing w:after="20"/>
            </w:pPr>
            <w:r/>
            <w:r>
              <w:rPr>
                <w:sz w:val="17"/>
              </w:rPr>
              <w:t>Trazabilidad de mineral y embarques</w:t>
            </w:r>
          </w:p>
        </w:tc>
        <w:tc>
          <w:tcPr>
            <w:tcW w:type="dxa" w:w="2438"/>
          </w:tcPr>
          <w:p>
            <w:pPr>
              <w:spacing w:after="20"/>
            </w:pPr>
            <w:r/>
            <w:r>
              <w:rPr>
                <w:sz w:val="17"/>
              </w:rPr>
              <w:t>Viaje, Pesaje, Stock, Aporte, Retoma, Lote de chancado, Lote comercial, Composición de lote, Origen de retoma, Embarque, Certificado, Devolución, Muestra, Análisis, Arbitraje, Conciliación</w:t>
            </w:r>
          </w:p>
        </w:tc>
        <w:tc>
          <w:tcPr>
            <w:tcW w:type="dxa" w:w="2438"/>
          </w:tcPr>
          <w:p>
            <w:pPr>
              <w:spacing w:after="20"/>
            </w:pPr>
            <w:r/>
            <w:r>
              <w:rPr>
                <w:sz w:val="17"/>
              </w:rPr>
              <w:t>10 años</w:t>
            </w:r>
          </w:p>
        </w:tc>
        <w:tc>
          <w:tcPr>
            <w:tcW w:type="dxa" w:w="2438"/>
          </w:tcPr>
          <w:p>
            <w:pPr>
              <w:spacing w:after="20"/>
            </w:pPr>
            <w:r/>
            <w:r>
              <w:rPr>
                <w:sz w:val="17"/>
              </w:rPr>
              <w:t>Transaccional y documental</w:t>
            </w:r>
          </w:p>
        </w:tc>
      </w:tr>
      <w:tr>
        <w:tc>
          <w:tcPr>
            <w:tcW w:type="dxa" w:w="2438"/>
          </w:tcPr>
          <w:p>
            <w:pPr>
              <w:spacing w:after="20"/>
            </w:pPr>
            <w:r/>
            <w:r>
              <w:rPr>
                <w:sz w:val="17"/>
              </w:rPr>
              <w:t>Auditoría</w:t>
            </w:r>
          </w:p>
        </w:tc>
        <w:tc>
          <w:tcPr>
            <w:tcW w:type="dxa" w:w="2438"/>
          </w:tcPr>
          <w:p>
            <w:pPr>
              <w:spacing w:after="20"/>
            </w:pPr>
            <w:r/>
            <w:r>
              <w:rPr>
                <w:sz w:val="17"/>
              </w:rPr>
              <w:t>Asiento de auditoría</w:t>
            </w:r>
          </w:p>
        </w:tc>
        <w:tc>
          <w:tcPr>
            <w:tcW w:type="dxa" w:w="2438"/>
          </w:tcPr>
          <w:p>
            <w:pPr>
              <w:spacing w:after="20"/>
            </w:pPr>
            <w:r/>
            <w:r>
              <w:rPr>
                <w:sz w:val="17"/>
              </w:rPr>
              <w:t>10 años</w:t>
            </w:r>
          </w:p>
        </w:tc>
        <w:tc>
          <w:tcPr>
            <w:tcW w:type="dxa" w:w="2438"/>
          </w:tcPr>
          <w:p>
            <w:pPr>
              <w:spacing w:after="20"/>
            </w:pPr>
            <w:r/>
            <w:r>
              <w:rPr>
                <w:sz w:val="17"/>
              </w:rPr>
              <w:t>Transaccional</w:t>
            </w:r>
          </w:p>
        </w:tc>
      </w:tr>
      <w:tr>
        <w:tc>
          <w:tcPr>
            <w:tcW w:type="dxa" w:w="2438"/>
          </w:tcPr>
          <w:p>
            <w:pPr>
              <w:spacing w:after="20"/>
            </w:pPr>
            <w:r/>
            <w:r>
              <w:rPr>
                <w:sz w:val="17"/>
              </w:rPr>
              <w:t>Operacionales</w:t>
            </w:r>
          </w:p>
        </w:tc>
        <w:tc>
          <w:tcPr>
            <w:tcW w:type="dxa" w:w="2438"/>
          </w:tcPr>
          <w:p>
            <w:pPr>
              <w:spacing w:after="20"/>
            </w:pPr>
            <w:r/>
            <w:r>
              <w:rPr>
                <w:sz w:val="17"/>
              </w:rPr>
              <w:t>Detención, Alarma, Sesión de operador, Evento de terreno, telemetría</w:t>
            </w:r>
          </w:p>
        </w:tc>
        <w:tc>
          <w:tcPr>
            <w:tcW w:type="dxa" w:w="2438"/>
          </w:tcPr>
          <w:p>
            <w:pPr>
              <w:spacing w:after="20"/>
            </w:pPr>
            <w:r/>
            <w:r>
              <w:rPr>
                <w:sz w:val="17"/>
              </w:rPr>
              <w:t>5 años</w:t>
            </w:r>
          </w:p>
        </w:tc>
        <w:tc>
          <w:tcPr>
            <w:tcW w:type="dxa" w:w="2438"/>
          </w:tcPr>
          <w:p>
            <w:pPr>
              <w:spacing w:after="20"/>
            </w:pPr>
            <w:r/>
            <w:r>
              <w:rPr>
                <w:sz w:val="17"/>
              </w:rPr>
              <w:t>Transaccional y series de tiempo</w:t>
            </w:r>
          </w:p>
        </w:tc>
      </w:tr>
      <w:tr>
        <w:tc>
          <w:tcPr>
            <w:tcW w:type="dxa" w:w="2438"/>
          </w:tcPr>
          <w:p>
            <w:pPr>
              <w:spacing w:after="20"/>
            </w:pPr>
            <w:r/>
            <w:r>
              <w:rPr>
                <w:sz w:val="17"/>
              </w:rPr>
              <w:t>Tributarios</w:t>
            </w:r>
          </w:p>
        </w:tc>
        <w:tc>
          <w:tcPr>
            <w:tcW w:type="dxa" w:w="2438"/>
          </w:tcPr>
          <w:p>
            <w:pPr>
              <w:spacing w:after="20"/>
            </w:pPr>
            <w:r/>
            <w:r>
              <w:rPr>
                <w:sz w:val="17"/>
              </w:rPr>
              <w:t>Consultados en el ERP; no se duplican</w:t>
            </w:r>
          </w:p>
        </w:tc>
        <w:tc>
          <w:tcPr>
            <w:tcW w:type="dxa" w:w="2438"/>
          </w:tcPr>
          <w:p>
            <w:pPr>
              <w:spacing w:after="20"/>
            </w:pPr>
            <w:r/>
            <w:r>
              <w:rPr>
                <w:sz w:val="17"/>
              </w:rPr>
              <w:t>7 años</w:t>
            </w:r>
          </w:p>
        </w:tc>
        <w:tc>
          <w:tcPr>
            <w:tcW w:type="dxa" w:w="2438"/>
          </w:tcPr>
          <w:p>
            <w:pPr>
              <w:spacing w:after="20"/>
            </w:pPr>
            <w:r/>
            <w:r>
              <w:rPr>
                <w:sz w:val="17"/>
              </w:rPr>
              <w:t>ERP del CLIENTE</w:t>
            </w:r>
          </w:p>
        </w:tc>
      </w:tr>
    </w:tbl>
    <w:p>
      <w:pPr>
        <w:spacing w:after="40"/>
      </w:pPr>
    </w:p>
    <w:p>
      <w:pPr>
        <w:keepNext/>
        <w:spacing w:before="200" w:after="80"/>
      </w:pPr>
      <w:r>
        <w:rPr>
          <w:b/>
          <w:color w:val="1F4D75"/>
          <w:sz w:val="23"/>
        </w:rPr>
        <w:t>6.3 Archivado</w:t>
      </w:r>
    </w:p>
    <w:p>
      <w:pPr>
        <w:jc w:val="both"/>
      </w:pPr>
      <w:r>
        <w:rPr>
          <w:sz w:val="20"/>
        </w:rPr>
        <w:t>Al cumplirse la ventana en línea, el registro pasa al repositorio de consulta histórica y los objetos asociados descienden de clase de almacenamiento por política de ciclo de vida, conservando el bloqueo de objeto hasta el término del plazo de retención. El archivado se ejecuta por partición completa. El registro archivado conserva el mismo control de acceso, la misma auditoría de consultas y el mismo tratamiento del dato personal sensible que el registro vivo.</w:t>
      </w:r>
    </w:p>
    <w:p>
      <w:pPr>
        <w:keepNext/>
        <w:spacing w:before="200" w:after="80"/>
      </w:pPr>
      <w:r>
        <w:rPr>
          <w:b/>
          <w:color w:val="1F4D75"/>
          <w:sz w:val="23"/>
        </w:rPr>
        <w:t>6.4 Eliminación segura y verificable</w:t>
      </w:r>
    </w:p>
    <w:p>
      <w:pPr>
        <w:jc w:val="both"/>
      </w:pPr>
      <w:r>
        <w:rPr>
          <w:sz w:val="20"/>
        </w:rPr>
        <w:t>«Verificable» significa que se comprueba que el dato se fue. El procedimiento tiene cinco pasos y deja evidencia en cada uno.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N.º</w:t>
            </w:r>
          </w:p>
        </w:tc>
        <w:tc>
          <w:tcPr>
            <w:tcW w:type="dxa" w:w="3251"/>
            <w:shd w:val="clear" w:fill="E7EEF6"/>
          </w:tcPr>
          <w:p>
            <w:pPr>
              <w:spacing w:after="20"/>
            </w:pPr>
            <w:r/>
            <w:r>
              <w:rPr>
                <w:b/>
                <w:sz w:val="17"/>
              </w:rPr>
              <w:t>Paso</w:t>
            </w:r>
          </w:p>
        </w:tc>
        <w:tc>
          <w:tcPr>
            <w:tcW w:type="dxa" w:w="3251"/>
            <w:shd w:val="clear" w:fill="E7EEF6"/>
          </w:tcPr>
          <w:p>
            <w:pPr>
              <w:spacing w:after="20"/>
            </w:pPr>
            <w:r/>
            <w:r>
              <w:rPr>
                <w:b/>
                <w:sz w:val="17"/>
              </w:rPr>
              <w:t>Contenido</w:t>
            </w:r>
          </w:p>
        </w:tc>
      </w:tr>
      <w:tr>
        <w:tc>
          <w:tcPr>
            <w:tcW w:type="dxa" w:w="3251"/>
          </w:tcPr>
          <w:p>
            <w:pPr>
              <w:spacing w:after="20"/>
            </w:pPr>
            <w:r/>
            <w:r>
              <w:rPr>
                <w:sz w:val="17"/>
              </w:rPr>
              <w:t>1</w:t>
            </w:r>
          </w:p>
        </w:tc>
        <w:tc>
          <w:tcPr>
            <w:tcW w:type="dxa" w:w="3251"/>
          </w:tcPr>
          <w:p>
            <w:pPr>
              <w:spacing w:after="20"/>
            </w:pPr>
            <w:r/>
            <w:r>
              <w:rPr>
                <w:sz w:val="17"/>
              </w:rPr>
              <w:t>Identificación</w:t>
            </w:r>
          </w:p>
        </w:tc>
        <w:tc>
          <w:tcPr>
            <w:tcW w:type="dxa" w:w="3251"/>
          </w:tcPr>
          <w:p>
            <w:pPr>
              <w:spacing w:after="20"/>
            </w:pPr>
            <w:r/>
            <w:r>
              <w:rPr>
                <w:sz w:val="17"/>
              </w:rPr>
              <w:t>Consulta que lista los registros que cumplieron su plazo, por categoría y dominio, emitida como informe firmado</w:t>
            </w:r>
          </w:p>
        </w:tc>
      </w:tr>
      <w:tr>
        <w:tc>
          <w:tcPr>
            <w:tcW w:type="dxa" w:w="3251"/>
          </w:tcPr>
          <w:p>
            <w:pPr>
              <w:spacing w:after="20"/>
            </w:pPr>
            <w:r/>
            <w:r>
              <w:rPr>
                <w:sz w:val="17"/>
              </w:rPr>
              <w:t>2</w:t>
            </w:r>
          </w:p>
        </w:tc>
        <w:tc>
          <w:tcPr>
            <w:tcW w:type="dxa" w:w="3251"/>
          </w:tcPr>
          <w:p>
            <w:pPr>
              <w:spacing w:after="20"/>
            </w:pPr>
            <w:r/>
            <w:r>
              <w:rPr>
                <w:sz w:val="17"/>
              </w:rPr>
              <w:t>Aprobación</w:t>
            </w:r>
          </w:p>
        </w:tc>
        <w:tc>
          <w:tcPr>
            <w:tcW w:type="dxa" w:w="3251"/>
          </w:tcPr>
          <w:p>
            <w:pPr>
              <w:spacing w:after="20"/>
            </w:pPr>
            <w:r/>
            <w:r>
              <w:rPr>
                <w:sz w:val="17"/>
              </w:rPr>
              <w:t>Un segundo perfil aprueba la ejecución. El asiento de auditoría de la aprobación se conserva más allá del plazo del dato eliminado</w:t>
            </w:r>
          </w:p>
        </w:tc>
      </w:tr>
      <w:tr>
        <w:tc>
          <w:tcPr>
            <w:tcW w:type="dxa" w:w="3251"/>
          </w:tcPr>
          <w:p>
            <w:pPr>
              <w:spacing w:after="20"/>
            </w:pPr>
            <w:r/>
            <w:r>
              <w:rPr>
                <w:sz w:val="17"/>
              </w:rPr>
              <w:t>3</w:t>
            </w:r>
          </w:p>
        </w:tc>
        <w:tc>
          <w:tcPr>
            <w:tcW w:type="dxa" w:w="3251"/>
          </w:tcPr>
          <w:p>
            <w:pPr>
              <w:spacing w:after="20"/>
            </w:pPr>
            <w:r/>
            <w:r>
              <w:rPr>
                <w:sz w:val="17"/>
              </w:rPr>
              <w:t>Ejecución</w:t>
            </w:r>
          </w:p>
        </w:tc>
        <w:tc>
          <w:tcPr>
            <w:tcW w:type="dxa" w:w="3251"/>
          </w:tcPr>
          <w:p>
            <w:pPr>
              <w:spacing w:after="20"/>
            </w:pPr>
            <w:r/>
            <w:r>
              <w:rPr>
                <w:sz w:val="17"/>
              </w:rPr>
              <w:t>Eliminación criptográfica para el dato cifrado a nivel de campo —destrucción de la clave de campo, que lo hace irrecuperable— y eliminación física para el resto, incluidos respaldos y fragmentos comprimidos</w:t>
            </w:r>
          </w:p>
        </w:tc>
      </w:tr>
      <w:tr>
        <w:tc>
          <w:tcPr>
            <w:tcW w:type="dxa" w:w="3251"/>
          </w:tcPr>
          <w:p>
            <w:pPr>
              <w:spacing w:after="20"/>
            </w:pPr>
            <w:r/>
            <w:r>
              <w:rPr>
                <w:sz w:val="17"/>
              </w:rPr>
              <w:t>4</w:t>
            </w:r>
          </w:p>
        </w:tc>
        <w:tc>
          <w:tcPr>
            <w:tcW w:type="dxa" w:w="3251"/>
          </w:tcPr>
          <w:p>
            <w:pPr>
              <w:spacing w:after="20"/>
            </w:pPr>
            <w:r/>
            <w:r>
              <w:rPr>
                <w:sz w:val="17"/>
              </w:rPr>
              <w:t>Verificación</w:t>
            </w:r>
          </w:p>
        </w:tc>
        <w:tc>
          <w:tcPr>
            <w:tcW w:type="dxa" w:w="3251"/>
          </w:tcPr>
          <w:p>
            <w:pPr>
              <w:spacing w:after="20"/>
            </w:pPr>
            <w:r/>
            <w:r>
              <w:rPr>
                <w:sz w:val="17"/>
              </w:rPr>
              <w:t xml:space="preserve">Consulta de comprobación que debe retornar cero filas sobre los identificadores eliminados, ejecutada sobre los </w:t>
            </w:r>
            <w:r>
              <w:rPr>
                <w:b/>
                <w:sz w:val="17"/>
              </w:rPr>
              <w:t>seis almacenes</w:t>
            </w:r>
            <w:r>
              <w:rPr>
                <w:sz w:val="17"/>
              </w:rPr>
              <w:t xml:space="preserve"> —transaccional, series de tiempo, analítico, documental, archivos y repositorio histórico— y sobre las </w:t>
            </w:r>
            <w:r>
              <w:rPr>
                <w:b/>
                <w:sz w:val="17"/>
              </w:rPr>
              <w:t>tres copias derivadas</w:t>
            </w:r>
            <w:r>
              <w:rPr>
                <w:sz w:val="17"/>
              </w:rPr>
              <w:t>: réplica de borde, índice de búsqueda y caché</w:t>
            </w:r>
          </w:p>
        </w:tc>
      </w:tr>
      <w:tr>
        <w:tc>
          <w:tcPr>
            <w:tcW w:type="dxa" w:w="3251"/>
          </w:tcPr>
          <w:p>
            <w:pPr>
              <w:spacing w:after="20"/>
            </w:pPr>
            <w:r/>
            <w:r>
              <w:rPr>
                <w:sz w:val="17"/>
              </w:rPr>
              <w:t>5</w:t>
            </w:r>
          </w:p>
        </w:tc>
        <w:tc>
          <w:tcPr>
            <w:tcW w:type="dxa" w:w="3251"/>
          </w:tcPr>
          <w:p>
            <w:pPr>
              <w:spacing w:after="20"/>
            </w:pPr>
            <w:r/>
            <w:r>
              <w:rPr>
                <w:sz w:val="17"/>
              </w:rPr>
              <w:t>Constancia</w:t>
            </w:r>
          </w:p>
        </w:tc>
        <w:tc>
          <w:tcPr>
            <w:tcW w:type="dxa" w:w="3251"/>
          </w:tcPr>
          <w:p>
            <w:pPr>
              <w:spacing w:after="20"/>
            </w:pPr>
            <w:r/>
            <w:r>
              <w:rPr>
                <w:b/>
                <w:sz w:val="17"/>
              </w:rPr>
              <w:t>Certificado de eliminación</w:t>
            </w:r>
            <w:r>
              <w:rPr>
                <w:sz w:val="17"/>
              </w:rPr>
              <w:t xml:space="preserve"> con alcance, cantidad de registros, almacenes verificados, responsable y fecha, conservado como registro de auditoría</w:t>
            </w:r>
          </w:p>
        </w:tc>
      </w:tr>
    </w:tbl>
    <w:p>
      <w:pPr>
        <w:spacing w:after="40"/>
      </w:pPr>
    </w:p>
    <w:p>
      <w:pPr>
        <w:jc w:val="both"/>
      </w:pPr>
      <w:r>
        <w:rPr>
          <w:sz w:val="20"/>
        </w:rPr>
        <w:t>Dentro del período de retención no existe borrado físico: la baja es lógica y auditada. Al término del Contrato, la eliminación de la información del CLIENTE en la infraestructura del ADJUDICATARIO se ejecuta con este mismo procedimiento, previa exportación total verificada y aceptada, y se entrega el certificado de eliminación que exige el Artículo 85.º.</w:t>
      </w:r>
    </w:p>
    <w:p>
      <w:pPr>
        <w:keepNext/>
        <w:spacing w:before="200" w:after="80"/>
      </w:pPr>
      <w:r>
        <w:rPr>
          <w:b/>
          <w:color w:val="1F4D75"/>
          <w:sz w:val="23"/>
        </w:rPr>
        <w:t>6.5 Datos personales</w:t>
      </w:r>
    </w:p>
    <w:p>
      <w:pPr>
        <w:jc w:val="both"/>
      </w:pPr>
      <w:r>
        <w:rPr>
          <w:sz w:val="20"/>
        </w:rPr>
        <w:t>Las categorías sensibles del caso son cuatro: habilitación, salud ocupacional, control de fatiga y control de alcohol y drogas. El ADJUDICATARIO actúa como encargado del tratamiento y el CLIENTE como responsable.</w:t>
      </w:r>
    </w:p>
    <w:tbl>
      <w:tblPr>
        <w:tblStyle w:val="TableGrid"/>
        <w:tblW w:type="auto" w:w="0"/>
        <w:jc w:val="center"/>
        <w:tblLook w:firstColumn="1" w:firstRow="1" w:lastColumn="0" w:lastRow="0" w:noHBand="0" w:noVBand="1" w:val="04A0"/>
      </w:tblPr>
      <w:tblGrid>
        <w:gridCol w:w="4876"/>
        <w:gridCol w:w="4876"/>
      </w:tblGrid>
      <w:tr>
        <w:tc>
          <w:tcPr>
            <w:tcW w:type="dxa" w:w="4876"/>
            <w:shd w:val="clear" w:fill="E7EEF6"/>
          </w:tcPr>
          <w:p>
            <w:pPr>
              <w:spacing w:after="20"/>
            </w:pPr>
            <w:r/>
            <w:r>
              <w:rPr>
                <w:b/>
                <w:sz w:val="17"/>
              </w:rPr>
              <w:t>Obligación</w:t>
            </w:r>
          </w:p>
        </w:tc>
        <w:tc>
          <w:tcPr>
            <w:tcW w:type="dxa" w:w="4876"/>
            <w:shd w:val="clear" w:fill="E7EEF6"/>
          </w:tcPr>
          <w:p>
            <w:pPr>
              <w:spacing w:after="20"/>
            </w:pPr>
            <w:r/>
            <w:r>
              <w:rPr>
                <w:b/>
                <w:sz w:val="17"/>
              </w:rPr>
              <w:t>Cómo se cumple</w:t>
            </w:r>
          </w:p>
        </w:tc>
      </w:tr>
      <w:tr>
        <w:tc>
          <w:tcPr>
            <w:tcW w:type="dxa" w:w="4876"/>
          </w:tcPr>
          <w:p>
            <w:pPr>
              <w:spacing w:after="20"/>
            </w:pPr>
            <w:r/>
            <w:r>
              <w:rPr>
                <w:sz w:val="17"/>
              </w:rPr>
              <w:t>Acuerdo de tratamiento de datos</w:t>
            </w:r>
          </w:p>
        </w:tc>
        <w:tc>
          <w:tcPr>
            <w:tcW w:type="dxa" w:w="4876"/>
          </w:tcPr>
          <w:p>
            <w:pPr>
              <w:spacing w:after="20"/>
            </w:pPr>
            <w:r/>
            <w:r>
              <w:rPr>
                <w:sz w:val="17"/>
              </w:rPr>
              <w:t>Se suscribe antes de tratar el primer dato, precisando finalidad, categorías de datos, categorías de titulares, plazo, medidas de seguridad y régimen de subencargados</w:t>
            </w:r>
          </w:p>
        </w:tc>
      </w:tr>
      <w:tr>
        <w:tc>
          <w:tcPr>
            <w:tcW w:type="dxa" w:w="4876"/>
          </w:tcPr>
          <w:p>
            <w:pPr>
              <w:spacing w:after="20"/>
            </w:pPr>
            <w:r/>
            <w:r>
              <w:rPr>
                <w:sz w:val="17"/>
              </w:rPr>
              <w:t>Medidas técnicas</w:t>
            </w:r>
          </w:p>
        </w:tc>
        <w:tc>
          <w:tcPr>
            <w:tcW w:type="dxa" w:w="4876"/>
          </w:tcPr>
          <w:p>
            <w:pPr>
              <w:spacing w:after="20"/>
            </w:pPr>
            <w:r/>
            <w:r>
              <w:rPr>
                <w:sz w:val="17"/>
              </w:rPr>
              <w:t>Cifrado a nivel de campo en las cuatro categorías sensibles y en el documento de identidad, también en el registro local del dispositivo; seudonimización en la capa analítica, que recibe un identificador seudonimizado y no el nombre ni el documento; control de acceso por privilegio mínimo; registro de accesos; minimización</w:t>
            </w:r>
          </w:p>
        </w:tc>
      </w:tr>
      <w:tr>
        <w:tc>
          <w:tcPr>
            <w:tcW w:type="dxa" w:w="4876"/>
          </w:tcPr>
          <w:p>
            <w:pPr>
              <w:spacing w:after="20"/>
            </w:pPr>
            <w:r/>
            <w:r>
              <w:rPr>
                <w:sz w:val="17"/>
              </w:rPr>
              <w:t>Auditoría de la consulta</w:t>
            </w:r>
          </w:p>
        </w:tc>
        <w:tc>
          <w:tcPr>
            <w:tcW w:type="dxa" w:w="4876"/>
          </w:tcPr>
          <w:p>
            <w:pPr>
              <w:spacing w:after="20"/>
            </w:pPr>
            <w:r/>
            <w:r>
              <w:rPr>
                <w:sz w:val="17"/>
              </w:rPr>
              <w:t>Toda lectura de un atributo confidencial o personal sensible genera asiento con persona, motivo, marca de tiempo y dispositivo. El acceso de emergencia queda registrado con período de uso</w:t>
            </w:r>
          </w:p>
        </w:tc>
      </w:tr>
      <w:tr>
        <w:tc>
          <w:tcPr>
            <w:tcW w:type="dxa" w:w="4876"/>
          </w:tcPr>
          <w:p>
            <w:pPr>
              <w:spacing w:after="20"/>
            </w:pPr>
            <w:r/>
            <w:r>
              <w:rPr>
                <w:sz w:val="17"/>
              </w:rPr>
              <w:t>Ambientes no productivos</w:t>
            </w:r>
          </w:p>
        </w:tc>
        <w:tc>
          <w:tcPr>
            <w:tcW w:type="dxa" w:w="4876"/>
          </w:tcPr>
          <w:p>
            <w:pPr>
              <w:spacing w:after="20"/>
            </w:pPr>
            <w:r/>
            <w:r>
              <w:rPr>
                <w:sz w:val="17"/>
              </w:rPr>
              <w:t>El dato personal sensible no se copia nunca, ni seudonimizado: con la población del caso la seudonimización es reversible por cruce. Las pruebas usan datos sintéticos</w:t>
            </w:r>
          </w:p>
        </w:tc>
      </w:tr>
      <w:tr>
        <w:tc>
          <w:tcPr>
            <w:tcW w:type="dxa" w:w="4876"/>
          </w:tcPr>
          <w:p>
            <w:pPr>
              <w:spacing w:after="20"/>
            </w:pPr>
            <w:r/>
            <w:r>
              <w:rPr>
                <w:sz w:val="17"/>
              </w:rPr>
              <w:t>Derechos del titular</w:t>
            </w:r>
          </w:p>
        </w:tc>
        <w:tc>
          <w:tcPr>
            <w:tcW w:type="dxa" w:w="4876"/>
          </w:tcPr>
          <w:p>
            <w:pPr>
              <w:spacing w:after="20"/>
            </w:pPr>
            <w:r/>
            <w:r>
              <w:rPr>
                <w:sz w:val="17"/>
              </w:rPr>
              <w:t>Consulta y exportación por titular sobre todos los almacenes. El encargado entrega al CLIENTE los antecedentes dentro de 5 días hábiles desde que éste le comunica la solicitud, para que el responsable responda dentro del plazo legal. La supresión no procede mientras rija una obligación legal de conservación: en ese período se aplica bloqueo o eliminación criptográfica del campo personal, conservando el registro operacional</w:t>
            </w:r>
          </w:p>
        </w:tc>
      </w:tr>
      <w:tr>
        <w:tc>
          <w:tcPr>
            <w:tcW w:type="dxa" w:w="4876"/>
          </w:tcPr>
          <w:p>
            <w:pPr>
              <w:spacing w:after="20"/>
            </w:pPr>
            <w:r/>
            <w:r>
              <w:rPr>
                <w:sz w:val="17"/>
              </w:rPr>
              <w:t>Decisiones automatizadas</w:t>
            </w:r>
          </w:p>
        </w:tc>
        <w:tc>
          <w:tcPr>
            <w:tcW w:type="dxa" w:w="4876"/>
          </w:tcPr>
          <w:p>
            <w:pPr>
              <w:spacing w:after="20"/>
            </w:pPr>
            <w:r/>
            <w:r>
              <w:rPr>
                <w:sz w:val="17"/>
              </w:rPr>
              <w:t>Ninguna decisión con efecto jurídico o significativo sobre una persona se adopta únicamente por tratamiento automatizado. La clasificación automática de detenciones, la marca de operador no identificado y las alertas de fatiga producen indicadores y avisos; toda consecuencia sobre la persona requiere validación humana registrada</w:t>
            </w:r>
          </w:p>
        </w:tc>
      </w:tr>
      <w:tr>
        <w:tc>
          <w:tcPr>
            <w:tcW w:type="dxa" w:w="4876"/>
          </w:tcPr>
          <w:p>
            <w:pPr>
              <w:spacing w:after="20"/>
            </w:pPr>
            <w:r/>
            <w:r>
              <w:rPr>
                <w:sz w:val="17"/>
              </w:rPr>
              <w:t>Notificación de brechas</w:t>
            </w:r>
          </w:p>
        </w:tc>
        <w:tc>
          <w:tcPr>
            <w:tcW w:type="dxa" w:w="4876"/>
          </w:tcPr>
          <w:p>
            <w:pPr>
              <w:spacing w:after="20"/>
            </w:pPr>
            <w:r/>
            <w:r>
              <w:rPr>
                <w:b/>
                <w:sz w:val="17"/>
              </w:rPr>
              <w:t>Dentro de las 24 horas siguientes a la detección</w:t>
            </w:r>
            <w:r>
              <w:rPr>
                <w:sz w:val="17"/>
              </w:rPr>
              <w:t>, al CLIENTE, con la información necesaria para que éste cumpla sus obligaciones de notificación a la autoridad y a los titulares. El procedimiento se ensaya al menos una vez al año</w:t>
            </w:r>
          </w:p>
        </w:tc>
      </w:tr>
      <w:tr>
        <w:tc>
          <w:tcPr>
            <w:tcW w:type="dxa" w:w="4876"/>
          </w:tcPr>
          <w:p>
            <w:pPr>
              <w:spacing w:after="20"/>
            </w:pPr>
            <w:r/>
            <w:r>
              <w:rPr>
                <w:sz w:val="17"/>
              </w:rPr>
              <w:t>Subcontratación</w:t>
            </w:r>
          </w:p>
        </w:tc>
        <w:tc>
          <w:tcPr>
            <w:tcW w:type="dxa" w:w="4876"/>
          </w:tcPr>
          <w:p>
            <w:pPr>
              <w:spacing w:after="20"/>
            </w:pPr>
            <w:r/>
            <w:r>
              <w:rPr>
                <w:sz w:val="17"/>
              </w:rPr>
              <w:t>Toda subcontratación que implique tratamiento requiere autorización previa y escrita del CLIENTE, y el subencargado queda sujeto a las mismas obligaciones</w:t>
            </w:r>
          </w:p>
        </w:tc>
      </w:tr>
      <w:tr>
        <w:tc>
          <w:tcPr>
            <w:tcW w:type="dxa" w:w="4876"/>
          </w:tcPr>
          <w:p>
            <w:pPr>
              <w:spacing w:after="20"/>
            </w:pPr>
            <w:r/>
            <w:r>
              <w:rPr>
                <w:sz w:val="17"/>
              </w:rPr>
              <w:t>Transferencia internacional</w:t>
            </w:r>
          </w:p>
        </w:tc>
        <w:tc>
          <w:tcPr>
            <w:tcW w:type="dxa" w:w="4876"/>
          </w:tcPr>
          <w:p>
            <w:pPr>
              <w:spacing w:after="20"/>
            </w:pPr>
            <w:r/>
            <w:r>
              <w:rPr>
                <w:sz w:val="17"/>
              </w:rPr>
              <w:t>Los datos personales residen en Chile. Toda transferencia internacional requiere base de licitud, resguardos adecuados y autorización previa y escrita del CLIENTE</w:t>
            </w:r>
          </w:p>
        </w:tc>
      </w:tr>
      <w:tr>
        <w:tc>
          <w:tcPr>
            <w:tcW w:type="dxa" w:w="4876"/>
          </w:tcPr>
          <w:p>
            <w:pPr>
              <w:spacing w:after="20"/>
            </w:pPr>
            <w:r/>
            <w:r>
              <w:rPr>
                <w:sz w:val="17"/>
              </w:rPr>
              <w:t>Contraparte y prevención</w:t>
            </w:r>
          </w:p>
        </w:tc>
        <w:tc>
          <w:tcPr>
            <w:tcW w:type="dxa" w:w="4876"/>
          </w:tcPr>
          <w:p>
            <w:pPr>
              <w:spacing w:after="20"/>
            </w:pPr>
            <w:r/>
            <w:r>
              <w:rPr>
                <w:sz w:val="17"/>
              </w:rPr>
              <w:t>OVERFORE designa un delegado de protección de datos como contraparte del CLIENTE, y mantiene el registro de actividades de tratamiento, la evaluación de impacto de los tratamientos de mayor riesgo y un modelo de prevención de infracciones</w:t>
            </w:r>
          </w:p>
        </w:tc>
      </w:tr>
      <w:tr>
        <w:tc>
          <w:tcPr>
            <w:tcW w:type="dxa" w:w="4876"/>
          </w:tcPr>
          <w:p>
            <w:pPr>
              <w:spacing w:after="20"/>
            </w:pPr>
            <w:r/>
            <w:r>
              <w:rPr>
                <w:sz w:val="17"/>
              </w:rPr>
              <w:t>Ciberseguridad</w:t>
            </w:r>
          </w:p>
        </w:tc>
        <w:tc>
          <w:tcPr>
            <w:tcW w:type="dxa" w:w="4876"/>
          </w:tcPr>
          <w:p>
            <w:pPr>
              <w:spacing w:after="20"/>
            </w:pPr>
            <w:r/>
            <w:r>
              <w:rPr>
                <w:sz w:val="17"/>
              </w:rPr>
              <w:t>Se evalúa con el CLIENTE si éste califica como operador de importancia vital bajo la Ley N.º 21.663. De calificar, el procedimiento de brechas alimenta además la cadena de reporte al CSIRT Nacional con sus plazos propios, sin sustituir la notificación de 24 horas al CLIENTE</w:t>
            </w:r>
          </w:p>
        </w:tc>
      </w:tr>
    </w:tbl>
    <w:p>
      <w:pPr>
        <w:spacing w:after="40"/>
      </w:pPr>
    </w:p>
    <w:p>
      <w:pPr>
        <w:jc w:val="both"/>
      </w:pPr>
      <w:r>
        <w:rPr>
          <w:color w:val="5B6878"/>
          <w:sz w:val="17"/>
        </w:rPr>
        <w:t>La Ley N.º 21.719 entra en vigencia el 1 de diciembre de 2026, antes del mes 1 del cronograma contractual: todas las obligaciones de este apartado rigen desde el primer día del Contrato.</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