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320" w:after="40"/>
      </w:pPr>
      <w:r>
        <w:rPr>
          <w:b/>
          <w:color w:val="5B6573"/>
          <w:sz w:val="24"/>
        </w:rPr>
        <w:t>OVERFORE S.A.</w:t>
      </w:r>
    </w:p>
    <w:p>
      <w:pPr>
        <w:spacing w:after="80"/>
      </w:pPr>
      <w:r>
        <w:rPr>
          <w:b/>
          <w:color w:val="17365D"/>
          <w:sz w:val="50"/>
        </w:rPr>
        <w:t>SUBDOCUMENTO 1</w:t>
      </w:r>
    </w:p>
    <w:p>
      <w:pPr>
        <w:spacing w:after="360"/>
      </w:pPr>
      <w:r>
        <w:rPr>
          <w:color w:val="1F4E78"/>
          <w:sz w:val="30"/>
        </w:rPr>
        <w:t>Presentación de la empresa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900"/>
        <w:gridCol w:w="7460"/>
      </w:tblGrid>
      <w:tr>
        <w:trPr>
          <w:tblHeader w:val="true"/>
          <w:cantSplit/>
        </w:trPr>
        <w:tc>
          <w:tcPr>
            <w:tcW w:type="dxa" w:w="1900"/>
            <w:shd w:fill="1F4E78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r>
              <w:rPr>
                <w:b/>
                <w:color w:val="FFFFFF"/>
                <w:sz w:val="18"/>
              </w:rPr>
              <w:t>Dato</w:t>
            </w:r>
          </w:p>
        </w:tc>
        <w:tc>
          <w:tcPr>
            <w:tcW w:type="dxa" w:w="7460"/>
            <w:shd w:fill="1F4E78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r>
              <w:rPr>
                <w:b/>
                <w:color w:val="FFFFFF"/>
                <w:sz w:val="18"/>
              </w:rPr>
              <w:t>Declaración</w:t>
            </w:r>
          </w:p>
        </w:tc>
      </w:tr>
      <w:tr>
        <w:trPr>
          <w:cantSplit/>
        </w:trP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40" w:line="240" w:lineRule="auto"/>
            </w:pPr>
            <w:r>
              <w:rPr>
                <w:rFonts w:ascii="Calibri" w:hAnsi="Calibri"/>
                <w:sz w:val="18"/>
              </w:rPr>
              <w:t>Licitación</w:t>
            </w:r>
          </w:p>
        </w:tc>
        <w:tc>
          <w:tcPr>
            <w:tcW w:type="dxa" w:w="74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40" w:line="240" w:lineRule="auto"/>
            </w:pPr>
            <w:r>
              <w:rPr>
                <w:rFonts w:ascii="Calibri" w:hAnsi="Calibri"/>
                <w:sz w:val="18"/>
              </w:rPr>
              <w:t>TFEP-01/2026 - Caso 01: Minería</w:t>
            </w:r>
          </w:p>
        </w:tc>
      </w:tr>
      <w:tr>
        <w:trPr>
          <w:cantSplit/>
        </w:trPr>
        <w:tc>
          <w:tcPr>
            <w:tcW w:type="dxa" w:w="1900"/>
            <w:shd w:fill="EEF4F8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40" w:line="240" w:lineRule="auto"/>
            </w:pPr>
            <w:r>
              <w:rPr>
                <w:rFonts w:ascii="Calibri" w:hAnsi="Calibri"/>
                <w:sz w:val="18"/>
              </w:rPr>
              <w:t>Proponente</w:t>
            </w:r>
          </w:p>
        </w:tc>
        <w:tc>
          <w:tcPr>
            <w:tcW w:type="dxa" w:w="7460"/>
            <w:shd w:fill="EEF4F8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40" w:line="240" w:lineRule="auto"/>
            </w:pPr>
            <w:r>
              <w:rPr>
                <w:rFonts w:ascii="Calibri" w:hAnsi="Calibri"/>
                <w:sz w:val="18"/>
              </w:rPr>
              <w:t>OVERFORE S.A.</w:t>
            </w:r>
          </w:p>
        </w:tc>
      </w:tr>
      <w:tr>
        <w:trPr>
          <w:cantSplit/>
        </w:trP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40" w:line="240" w:lineRule="auto"/>
            </w:pPr>
            <w:r>
              <w:rPr>
                <w:rFonts w:ascii="Calibri" w:hAnsi="Calibri"/>
                <w:sz w:val="18"/>
              </w:rPr>
              <w:t>RUT</w:t>
            </w:r>
          </w:p>
        </w:tc>
        <w:tc>
          <w:tcPr>
            <w:tcW w:type="dxa" w:w="74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40" w:line="240" w:lineRule="auto"/>
            </w:pPr>
            <w:r>
              <w:rPr>
                <w:rFonts w:ascii="Calibri" w:hAnsi="Calibri"/>
                <w:sz w:val="18"/>
              </w:rPr>
              <w:t>77.482.961-K (simulado; dígito verificador válido)</w:t>
            </w:r>
          </w:p>
        </w:tc>
      </w:tr>
      <w:tr>
        <w:trPr>
          <w:cantSplit/>
        </w:trPr>
        <w:tc>
          <w:tcPr>
            <w:tcW w:type="dxa" w:w="1900"/>
            <w:shd w:fill="EEF4F8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40" w:line="240" w:lineRule="auto"/>
            </w:pPr>
            <w:r>
              <w:rPr>
                <w:rFonts w:ascii="Calibri" w:hAnsi="Calibri"/>
                <w:sz w:val="18"/>
              </w:rPr>
              <w:t>Jefe de Proyecto</w:t>
            </w:r>
          </w:p>
        </w:tc>
        <w:tc>
          <w:tcPr>
            <w:tcW w:type="dxa" w:w="7460"/>
            <w:shd w:fill="EEF4F8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40" w:line="240" w:lineRule="auto"/>
            </w:pPr>
            <w:r>
              <w:rPr>
                <w:rFonts w:ascii="Calibri" w:hAnsi="Calibri"/>
                <w:sz w:val="18"/>
              </w:rPr>
              <w:t>Claudio Ignacio Cabello Vásquez</w:t>
            </w:r>
          </w:p>
        </w:tc>
      </w:tr>
      <w:tr>
        <w:trPr>
          <w:cantSplit/>
        </w:trP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40" w:line="240" w:lineRule="auto"/>
            </w:pPr>
            <w:r>
              <w:rPr>
                <w:rFonts w:ascii="Calibri" w:hAnsi="Calibri"/>
                <w:sz w:val="18"/>
              </w:rPr>
              <w:t>Equipo</w:t>
            </w:r>
          </w:p>
        </w:tc>
        <w:tc>
          <w:tcPr>
            <w:tcW w:type="dxa" w:w="74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40" w:line="240" w:lineRule="auto"/>
            </w:pPr>
            <w:r>
              <w:rPr>
                <w:rFonts w:ascii="Calibri" w:hAnsi="Calibri"/>
                <w:sz w:val="18"/>
              </w:rPr>
              <w:t>9 integrantes, organizados en tres grupos</w:t>
            </w:r>
          </w:p>
        </w:tc>
      </w:tr>
      <w:tr>
        <w:trPr>
          <w:cantSplit/>
        </w:trPr>
        <w:tc>
          <w:tcPr>
            <w:tcW w:type="dxa" w:w="1900"/>
            <w:shd w:fill="EEF4F8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40" w:line="240" w:lineRule="auto"/>
            </w:pPr>
            <w:r>
              <w:rPr>
                <w:rFonts w:ascii="Calibri" w:hAnsi="Calibri"/>
                <w:sz w:val="18"/>
              </w:rPr>
              <w:t>Versión / fecha</w:t>
            </w:r>
          </w:p>
        </w:tc>
        <w:tc>
          <w:tcPr>
            <w:tcW w:type="dxa" w:w="7460"/>
            <w:shd w:fill="EEF4F8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40" w:line="240" w:lineRule="auto"/>
            </w:pPr>
            <w:r>
              <w:rPr>
                <w:rFonts w:ascii="Calibri" w:hAnsi="Calibri"/>
                <w:sz w:val="18"/>
              </w:rPr>
              <w:t>v1.0 - 3 de septiembre de 2026</w:t>
            </w:r>
          </w:p>
        </w:tc>
      </w:tr>
      <w:tr>
        <w:trPr>
          <w:cantSplit/>
        </w:trP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40" w:line="240" w:lineRule="auto"/>
            </w:pPr>
            <w:r>
              <w:rPr>
                <w:rFonts w:ascii="Calibri" w:hAnsi="Calibri"/>
                <w:sz w:val="18"/>
              </w:rPr>
              <w:t>Anexo</w:t>
            </w:r>
          </w:p>
        </w:tc>
        <w:tc>
          <w:tcPr>
            <w:tcW w:type="dxa" w:w="74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40" w:line="240" w:lineRule="auto"/>
            </w:pPr>
            <w:r>
              <w:rPr>
                <w:rFonts w:ascii="Calibri" w:hAnsi="Calibri"/>
                <w:sz w:val="18"/>
              </w:rPr>
              <w:t>Formulario T-6 v1.0 - tres proyectos simulados</w:t>
            </w:r>
          </w:p>
        </w:tc>
      </w:tr>
    </w:tbl>
    <w:p>
      <w:pPr>
        <w:spacing w:after="20"/>
      </w:pP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cantSplit/>
        </w:trP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FF2CC"/>
          </w:tcPr>
          <w:p>
            <w:pPr>
              <w:spacing w:after="0"/>
            </w:pPr>
            <w:r>
              <w:rPr>
                <w:b/>
                <w:color w:val="17365D"/>
              </w:rPr>
              <w:t xml:space="preserve">Nota académica. </w:t>
            </w:r>
            <w:r>
              <w:t>OVERFORE S.A., sus proyectos, alianzas, certificaciones institucionales, RUT y contactos corporativos son antecedentes simulados para este ejercicio. No deben presentarse como experiencia o acreditaciones reales fuera del curso.</w:t>
            </w:r>
          </w:p>
        </w:tc>
      </w:tr>
    </w:tbl>
    <w:p>
      <w:pPr>
        <w:spacing w:after="20"/>
      </w:pPr>
    </w:p>
    <w:p>
      <w:r>
        <w:br w:type="page"/>
      </w:r>
    </w:p>
    <w:p>
      <w:pPr>
        <w:pStyle w:val="Heading1"/>
        <w:keepNext/>
      </w:pPr>
      <w:r>
        <w:t>1. Propósito y alcance</w:t>
      </w:r>
    </w:p>
    <w:p>
      <w:r>
        <w:t>Este subdocumento presenta la trayectoria, capacidades instaladas, líneas de negocio, estructura, certificaciones, alianzas, experiencia y modelo de gobierno de OVERFORE S.A. Se prepara conforme al Formulario T-7 y se complementa con el Formulario T-6. No reemplaza el alcance funcional ni la arquitectura desarrollada en los Subdocumentos 3, 4.1, 4.2 y 5.</w:t>
      </w:r>
    </w:p>
    <w:p>
      <w:r>
        <w:t>La identidad técnica se alinea con la decisión congelada del proyecto: Microsoft Azure Chile Central como plano central primario, Brazil South como recuperación regional, Faena Aranda para continuidad e integración local, CIO Antofagasta como warm standby de servicios críticos y cuatro nodos C-04 en Portería, Planta, Depósito de relaves y Acopio de puerto.</w:t>
      </w:r>
    </w:p>
    <w:p>
      <w:pPr>
        <w:pStyle w:val="Heading1"/>
        <w:keepNext/>
      </w:pPr>
      <w:r>
        <w:t>2. Reseña institucional</w:t>
      </w:r>
    </w:p>
    <w:p>
      <w:r>
        <w:t>OVERFORE S.A. es una empresa tecnológica chilena ficticia, constituida en 2018 para el escenario académico, dedicada al diseño, implantación y operación de plataformas digitales de misión crítica. Su especialidad es unir procesos de terreno con sistemas corporativos sin reemplazar los activos que ya cumplen una función operacional: ERP, despacho, laboratorio, planificación, historiadores, telemetría y controles de acceso.</w:t>
      </w:r>
    </w:p>
    <w:p>
      <w:r>
        <w:t>La compañía declara casa matriz en Santiago y una oficina de soporte en Antofagasta. La combinación permite mantener gobierno, arquitectura y servicios administrados desde el centro corporativo, y disponer de atención coordinada para instalaciones industriales de la zona norte.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900"/>
        <w:gridCol w:w="7460"/>
      </w:tblGrid>
      <w:tr>
        <w:trPr>
          <w:tblHeader w:val="true"/>
          <w:cantSplit/>
        </w:trPr>
        <w:tc>
          <w:tcPr>
            <w:tcW w:type="dxa" w:w="1900"/>
            <w:shd w:fill="1F4E78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r>
              <w:rPr>
                <w:b/>
                <w:color w:val="FFFFFF"/>
                <w:sz w:val="18"/>
              </w:rPr>
              <w:t>Campo</w:t>
            </w:r>
          </w:p>
        </w:tc>
        <w:tc>
          <w:tcPr>
            <w:tcW w:type="dxa" w:w="7460"/>
            <w:shd w:fill="1F4E78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r>
              <w:rPr>
                <w:b/>
                <w:color w:val="FFFFFF"/>
                <w:sz w:val="18"/>
              </w:rPr>
              <w:t>Dato institucional</w:t>
            </w:r>
          </w:p>
        </w:tc>
      </w:tr>
      <w:tr>
        <w:trPr>
          <w:cantSplit/>
        </w:trP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40" w:line="240" w:lineRule="auto"/>
            </w:pPr>
            <w:r>
              <w:rPr>
                <w:rFonts w:ascii="Calibri" w:hAnsi="Calibri"/>
                <w:sz w:val="18"/>
              </w:rPr>
              <w:t>Razón social</w:t>
            </w:r>
          </w:p>
        </w:tc>
        <w:tc>
          <w:tcPr>
            <w:tcW w:type="dxa" w:w="74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40" w:line="240" w:lineRule="auto"/>
            </w:pPr>
            <w:r>
              <w:rPr>
                <w:rFonts w:ascii="Calibri" w:hAnsi="Calibri"/>
                <w:sz w:val="18"/>
              </w:rPr>
              <w:t>OVERFORE S.A.</w:t>
            </w:r>
          </w:p>
        </w:tc>
      </w:tr>
      <w:tr>
        <w:trPr>
          <w:cantSplit/>
        </w:trPr>
        <w:tc>
          <w:tcPr>
            <w:tcW w:type="dxa" w:w="1900"/>
            <w:shd w:fill="EEF4F8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40" w:line="240" w:lineRule="auto"/>
            </w:pPr>
            <w:r>
              <w:rPr>
                <w:rFonts w:ascii="Calibri" w:hAnsi="Calibri"/>
                <w:sz w:val="18"/>
              </w:rPr>
              <w:t>RUT</w:t>
            </w:r>
          </w:p>
        </w:tc>
        <w:tc>
          <w:tcPr>
            <w:tcW w:type="dxa" w:w="7460"/>
            <w:shd w:fill="EEF4F8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40" w:line="240" w:lineRule="auto"/>
            </w:pPr>
            <w:r>
              <w:rPr>
                <w:rFonts w:ascii="Calibri" w:hAnsi="Calibri"/>
                <w:sz w:val="18"/>
              </w:rPr>
              <w:t>77.482.961-K (simulado)</w:t>
            </w:r>
          </w:p>
        </w:tc>
      </w:tr>
      <w:tr>
        <w:trPr>
          <w:cantSplit/>
        </w:trP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40" w:line="240" w:lineRule="auto"/>
            </w:pPr>
            <w:r>
              <w:rPr>
                <w:rFonts w:ascii="Calibri" w:hAnsi="Calibri"/>
                <w:sz w:val="18"/>
              </w:rPr>
              <w:t>Año de constitución</w:t>
            </w:r>
          </w:p>
        </w:tc>
        <w:tc>
          <w:tcPr>
            <w:tcW w:type="dxa" w:w="74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40" w:line="240" w:lineRule="auto"/>
            </w:pPr>
            <w:r>
              <w:rPr>
                <w:rFonts w:ascii="Calibri" w:hAnsi="Calibri"/>
                <w:sz w:val="18"/>
              </w:rPr>
              <w:t>2018 (simulado)</w:t>
            </w:r>
          </w:p>
        </w:tc>
      </w:tr>
      <w:tr>
        <w:trPr>
          <w:cantSplit/>
        </w:trPr>
        <w:tc>
          <w:tcPr>
            <w:tcW w:type="dxa" w:w="1900"/>
            <w:shd w:fill="EEF4F8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40" w:line="240" w:lineRule="auto"/>
            </w:pPr>
            <w:r>
              <w:rPr>
                <w:rFonts w:ascii="Calibri" w:hAnsi="Calibri"/>
                <w:sz w:val="18"/>
              </w:rPr>
              <w:t>Casa matriz</w:t>
            </w:r>
          </w:p>
        </w:tc>
        <w:tc>
          <w:tcPr>
            <w:tcW w:type="dxa" w:w="7460"/>
            <w:shd w:fill="EEF4F8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40" w:line="240" w:lineRule="auto"/>
            </w:pPr>
            <w:r>
              <w:rPr>
                <w:rFonts w:ascii="Calibri" w:hAnsi="Calibri"/>
                <w:sz w:val="18"/>
              </w:rPr>
              <w:t>Santiago de Chile</w:t>
            </w:r>
          </w:p>
        </w:tc>
      </w:tr>
      <w:tr>
        <w:trPr>
          <w:cantSplit/>
        </w:trP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40" w:line="240" w:lineRule="auto"/>
            </w:pPr>
            <w:r>
              <w:rPr>
                <w:rFonts w:ascii="Calibri" w:hAnsi="Calibri"/>
                <w:sz w:val="18"/>
              </w:rPr>
              <w:t>Cobertura</w:t>
            </w:r>
          </w:p>
        </w:tc>
        <w:tc>
          <w:tcPr>
            <w:tcW w:type="dxa" w:w="74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40" w:line="240" w:lineRule="auto"/>
            </w:pPr>
            <w:r>
              <w:rPr>
                <w:rFonts w:ascii="Calibri" w:hAnsi="Calibri"/>
                <w:sz w:val="18"/>
              </w:rPr>
              <w:t>Chile; soporte zona norte desde Antofagasta</w:t>
            </w:r>
          </w:p>
        </w:tc>
      </w:tr>
      <w:tr>
        <w:trPr>
          <w:cantSplit/>
        </w:trPr>
        <w:tc>
          <w:tcPr>
            <w:tcW w:type="dxa" w:w="1900"/>
            <w:shd w:fill="EEF4F8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40" w:line="240" w:lineRule="auto"/>
            </w:pPr>
            <w:r>
              <w:rPr>
                <w:rFonts w:ascii="Calibri" w:hAnsi="Calibri"/>
                <w:sz w:val="18"/>
              </w:rPr>
              <w:t>Sitio</w:t>
            </w:r>
          </w:p>
        </w:tc>
        <w:tc>
          <w:tcPr>
            <w:tcW w:type="dxa" w:w="7460"/>
            <w:shd w:fill="EEF4F8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40" w:line="240" w:lineRule="auto"/>
            </w:pPr>
            <w:r>
              <w:rPr>
                <w:rFonts w:ascii="Calibri" w:hAnsi="Calibri"/>
                <w:sz w:val="18"/>
              </w:rPr>
              <w:t>https://www.overfore.example</w:t>
            </w:r>
          </w:p>
        </w:tc>
      </w:tr>
      <w:tr>
        <w:trPr>
          <w:cantSplit/>
        </w:trP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40" w:line="240" w:lineRule="auto"/>
            </w:pPr>
            <w:r>
              <w:rPr>
                <w:rFonts w:ascii="Calibri" w:hAnsi="Calibri"/>
                <w:sz w:val="18"/>
              </w:rPr>
              <w:t>Licitaciones</w:t>
            </w:r>
          </w:p>
        </w:tc>
        <w:tc>
          <w:tcPr>
            <w:tcW w:type="dxa" w:w="74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40" w:line="240" w:lineRule="auto"/>
            </w:pPr>
            <w:r>
              <w:rPr>
                <w:rFonts w:ascii="Calibri" w:hAnsi="Calibri"/>
                <w:sz w:val="18"/>
              </w:rPr>
              <w:t>licitaciones@overfore.example</w:t>
            </w:r>
          </w:p>
        </w:tc>
      </w:tr>
      <w:tr>
        <w:trPr>
          <w:cantSplit/>
        </w:trPr>
        <w:tc>
          <w:tcPr>
            <w:tcW w:type="dxa" w:w="1900"/>
            <w:shd w:fill="EEF4F8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40" w:line="240" w:lineRule="auto"/>
            </w:pPr>
            <w:r>
              <w:rPr>
                <w:rFonts w:ascii="Calibri" w:hAnsi="Calibri"/>
                <w:sz w:val="18"/>
              </w:rPr>
              <w:t>Proyecto Aranda</w:t>
            </w:r>
          </w:p>
        </w:tc>
        <w:tc>
          <w:tcPr>
            <w:tcW w:type="dxa" w:w="7460"/>
            <w:shd w:fill="EEF4F8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40" w:line="240" w:lineRule="auto"/>
            </w:pPr>
            <w:r>
              <w:rPr>
                <w:rFonts w:ascii="Calibri" w:hAnsi="Calibri"/>
                <w:sz w:val="18"/>
              </w:rPr>
              <w:t>proyecto.aranda@overfore.example</w:t>
            </w:r>
          </w:p>
        </w:tc>
      </w:tr>
      <w:tr>
        <w:trPr>
          <w:cantSplit/>
        </w:trP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40" w:line="240" w:lineRule="auto"/>
            </w:pPr>
            <w:r>
              <w:rPr>
                <w:rFonts w:ascii="Calibri" w:hAnsi="Calibri"/>
                <w:sz w:val="18"/>
              </w:rPr>
              <w:t>Seguridad</w:t>
            </w:r>
          </w:p>
        </w:tc>
        <w:tc>
          <w:tcPr>
            <w:tcW w:type="dxa" w:w="74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40" w:line="240" w:lineRule="auto"/>
            </w:pPr>
            <w:r>
              <w:rPr>
                <w:rFonts w:ascii="Calibri" w:hAnsi="Calibri"/>
                <w:sz w:val="18"/>
              </w:rPr>
              <w:t>seguridad@overfore.example</w:t>
            </w:r>
          </w:p>
        </w:tc>
      </w:tr>
      <w:tr>
        <w:trPr>
          <w:cantSplit/>
        </w:trPr>
        <w:tc>
          <w:tcPr>
            <w:tcW w:type="dxa" w:w="1900"/>
            <w:shd w:fill="EEF4F8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40" w:line="240" w:lineRule="auto"/>
            </w:pPr>
            <w:r>
              <w:rPr>
                <w:rFonts w:ascii="Calibri" w:hAnsi="Calibri"/>
                <w:sz w:val="18"/>
              </w:rPr>
              <w:t>Mesa de servicio</w:t>
            </w:r>
          </w:p>
        </w:tc>
        <w:tc>
          <w:tcPr>
            <w:tcW w:type="dxa" w:w="7460"/>
            <w:shd w:fill="EEF4F8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40" w:line="240" w:lineRule="auto"/>
            </w:pPr>
            <w:r>
              <w:rPr>
                <w:rFonts w:ascii="Calibri" w:hAnsi="Calibri"/>
                <w:sz w:val="18"/>
              </w:rPr>
              <w:t>soporte@overfore.example</w:t>
            </w:r>
          </w:p>
        </w:tc>
      </w:tr>
    </w:tbl>
    <w:p>
      <w:pPr>
        <w:spacing w:after="20"/>
      </w:pPr>
    </w:p>
    <w:p>
      <w:pPr>
        <w:pStyle w:val="Heading1"/>
        <w:keepNext/>
      </w:pPr>
      <w:r>
        <w:t>3. Líneas de negocio, productos y servicios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200"/>
        <w:gridCol w:w="7160"/>
      </w:tblGrid>
      <w:tr>
        <w:trPr>
          <w:tblHeader w:val="true"/>
          <w:cantSplit/>
        </w:trPr>
        <w:tc>
          <w:tcPr>
            <w:tcW w:type="dxa" w:w="2200"/>
            <w:shd w:fill="1F4E78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r>
              <w:rPr>
                <w:b/>
                <w:color w:val="FFFFFF"/>
                <w:sz w:val="18"/>
              </w:rPr>
              <w:t>Línea</w:t>
            </w:r>
          </w:p>
        </w:tc>
        <w:tc>
          <w:tcPr>
            <w:tcW w:type="dxa" w:w="7160"/>
            <w:shd w:fill="1F4E78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r>
              <w:rPr>
                <w:b/>
                <w:color w:val="FFFFFF"/>
                <w:sz w:val="18"/>
              </w:rPr>
              <w:t>Servicios ofrecidos</w:t>
            </w:r>
          </w:p>
        </w:tc>
      </w:tr>
      <w:tr>
        <w:trPr>
          <w:cantSplit/>
        </w:trP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40" w:line="240" w:lineRule="auto"/>
            </w:pPr>
            <w:r>
              <w:rPr>
                <w:rFonts w:ascii="Calibri" w:hAnsi="Calibri"/>
                <w:sz w:val="18"/>
              </w:rPr>
              <w:t>Arquitectura híbrida</w:t>
            </w:r>
          </w:p>
        </w:tc>
        <w:tc>
          <w:tcPr>
            <w:tcW w:type="dxa" w:w="71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40" w:line="240" w:lineRule="auto"/>
            </w:pPr>
            <w:r>
              <w:rPr>
                <w:rFonts w:ascii="Calibri" w:hAnsi="Calibri"/>
                <w:sz w:val="18"/>
              </w:rPr>
              <w:t>Diseño cloud-on-premise-edge; landing zones Azure; alta disponibilidad; recuperación regional y sitio secundario.</w:t>
            </w:r>
          </w:p>
        </w:tc>
      </w:tr>
      <w:tr>
        <w:trPr>
          <w:cantSplit/>
        </w:trPr>
        <w:tc>
          <w:tcPr>
            <w:tcW w:type="dxa" w:w="2200"/>
            <w:shd w:fill="EEF4F8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40" w:line="240" w:lineRule="auto"/>
            </w:pPr>
            <w:r>
              <w:rPr>
                <w:rFonts w:ascii="Calibri" w:hAnsi="Calibri"/>
                <w:sz w:val="18"/>
              </w:rPr>
              <w:t>Integración industrial y empresarial</w:t>
            </w:r>
          </w:p>
        </w:tc>
        <w:tc>
          <w:tcPr>
            <w:tcW w:type="dxa" w:w="7160"/>
            <w:shd w:fill="EEF4F8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40" w:line="240" w:lineRule="auto"/>
            </w:pPr>
            <w:r>
              <w:rPr>
                <w:rFonts w:ascii="Calibri" w:hAnsi="Calibri"/>
                <w:sz w:val="18"/>
              </w:rPr>
              <w:t>Capa anticorrupción para ERP, despacho, LIMS, planificación, telemetría; OPC UA sólo lectura e ISA-95.</w:t>
            </w:r>
          </w:p>
        </w:tc>
      </w:tr>
      <w:tr>
        <w:trPr>
          <w:cantSplit/>
        </w:trP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40" w:line="240" w:lineRule="auto"/>
            </w:pPr>
            <w:r>
              <w:rPr>
                <w:rFonts w:ascii="Calibri" w:hAnsi="Calibri"/>
                <w:sz w:val="18"/>
              </w:rPr>
              <w:t>Trazabilidad operacional</w:t>
            </w:r>
          </w:p>
        </w:tc>
        <w:tc>
          <w:tcPr>
            <w:tcW w:type="dxa" w:w="71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40" w:line="240" w:lineRule="auto"/>
            </w:pPr>
            <w:r>
              <w:rPr>
                <w:rFonts w:ascii="Calibri" w:hAnsi="Calibri"/>
                <w:sz w:val="18"/>
              </w:rPr>
              <w:t>Captura de eventos, identificación de personas/equipos, cadena de custodia, conciliación y auditoría.</w:t>
            </w:r>
          </w:p>
        </w:tc>
      </w:tr>
      <w:tr>
        <w:trPr>
          <w:cantSplit/>
        </w:trPr>
        <w:tc>
          <w:tcPr>
            <w:tcW w:type="dxa" w:w="2200"/>
            <w:shd w:fill="EEF4F8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40" w:line="240" w:lineRule="auto"/>
            </w:pPr>
            <w:r>
              <w:rPr>
                <w:rFonts w:ascii="Calibri" w:hAnsi="Calibri"/>
                <w:sz w:val="18"/>
              </w:rPr>
              <w:t>Edge y movilidad desconectada</w:t>
            </w:r>
          </w:p>
        </w:tc>
        <w:tc>
          <w:tcPr>
            <w:tcW w:type="dxa" w:w="7160"/>
            <w:shd w:fill="EEF4F8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40" w:line="240" w:lineRule="auto"/>
            </w:pPr>
            <w:r>
              <w:rPr>
                <w:rFonts w:ascii="Calibri" w:hAnsi="Calibri"/>
                <w:sz w:val="18"/>
              </w:rPr>
              <w:t>Aplicaciones rugerizadas, SQLite cifrado, PostgreSQL de borde, colas persistentes e idempotencia.</w:t>
            </w:r>
          </w:p>
        </w:tc>
      </w:tr>
      <w:tr>
        <w:trPr>
          <w:cantSplit/>
        </w:trP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40" w:line="240" w:lineRule="auto"/>
            </w:pPr>
            <w:r>
              <w:rPr>
                <w:rFonts w:ascii="Calibri" w:hAnsi="Calibri"/>
                <w:sz w:val="18"/>
              </w:rPr>
              <w:t>Datos y analítica</w:t>
            </w:r>
          </w:p>
        </w:tc>
        <w:tc>
          <w:tcPr>
            <w:tcW w:type="dxa" w:w="71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40" w:line="240" w:lineRule="auto"/>
            </w:pPr>
            <w:r>
              <w:rPr>
                <w:rFonts w:ascii="Calibri" w:hAnsi="Calibri"/>
                <w:sz w:val="18"/>
              </w:rPr>
              <w:t>PostgreSQL 16+, TimescaleDB, ClickHouse 24.8 LTS+, almacenamiento compatible S3, OpenSearch y Redis.</w:t>
            </w:r>
          </w:p>
        </w:tc>
      </w:tr>
      <w:tr>
        <w:trPr>
          <w:cantSplit/>
        </w:trPr>
        <w:tc>
          <w:tcPr>
            <w:tcW w:type="dxa" w:w="2200"/>
            <w:shd w:fill="EEF4F8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40" w:line="240" w:lineRule="auto"/>
            </w:pPr>
            <w:r>
              <w:rPr>
                <w:rFonts w:ascii="Calibri" w:hAnsi="Calibri"/>
                <w:sz w:val="18"/>
              </w:rPr>
              <w:t>Ciberseguridad</w:t>
            </w:r>
          </w:p>
        </w:tc>
        <w:tc>
          <w:tcPr>
            <w:tcW w:type="dxa" w:w="7160"/>
            <w:shd w:fill="EEF4F8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40" w:line="240" w:lineRule="auto"/>
            </w:pPr>
            <w:r>
              <w:rPr>
                <w:rFonts w:ascii="Calibri" w:hAnsi="Calibri"/>
                <w:sz w:val="18"/>
              </w:rPr>
              <w:t>Zero Trust, segmentación TI/TO, MFA/PAM, cifrado, hardening CIS, SIEM/SOC y respuesta a incidentes.</w:t>
            </w:r>
          </w:p>
        </w:tc>
      </w:tr>
      <w:tr>
        <w:trPr>
          <w:cantSplit/>
        </w:trP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40" w:line="240" w:lineRule="auto"/>
            </w:pPr>
            <w:r>
              <w:rPr>
                <w:rFonts w:ascii="Calibri" w:hAnsi="Calibri"/>
                <w:sz w:val="18"/>
              </w:rPr>
              <w:t>Infraestructura y redes</w:t>
            </w:r>
          </w:p>
        </w:tc>
        <w:tc>
          <w:tcPr>
            <w:tcW w:type="dxa" w:w="71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40" w:line="240" w:lineRule="auto"/>
            </w:pPr>
            <w:r>
              <w:rPr>
                <w:rFonts w:ascii="Calibri" w:hAnsi="Calibri"/>
                <w:sz w:val="18"/>
              </w:rPr>
              <w:t>Data centers, WAN redundante, routing, switching, NGFW, RF, gabinetes industriales, UPS y observabilidad.</w:t>
            </w:r>
          </w:p>
        </w:tc>
      </w:tr>
      <w:tr>
        <w:trPr>
          <w:cantSplit/>
        </w:trPr>
        <w:tc>
          <w:tcPr>
            <w:tcW w:type="dxa" w:w="2200"/>
            <w:shd w:fill="EEF4F8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40" w:line="240" w:lineRule="auto"/>
            </w:pPr>
            <w:r>
              <w:rPr>
                <w:rFonts w:ascii="Calibri" w:hAnsi="Calibri"/>
                <w:sz w:val="18"/>
              </w:rPr>
              <w:t>Operación gestionada</w:t>
            </w:r>
          </w:p>
        </w:tc>
        <w:tc>
          <w:tcPr>
            <w:tcW w:type="dxa" w:w="7160"/>
            <w:shd w:fill="EEF4F8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40" w:line="240" w:lineRule="auto"/>
            </w:pPr>
            <w:r>
              <w:rPr>
                <w:rFonts w:ascii="Calibri" w:hAnsi="Calibri"/>
                <w:sz w:val="18"/>
              </w:rPr>
              <w:t>NOC/SOC 24x7, mesa de servicio, mantenimiento, parches, backup 3-2-1-1-0, DR y transferencia.</w:t>
            </w:r>
          </w:p>
        </w:tc>
      </w:tr>
    </w:tbl>
    <w:p>
      <w:pPr>
        <w:spacing w:after="20"/>
      </w:pPr>
    </w:p>
    <w:p>
      <w:pPr>
        <w:pStyle w:val="Heading1"/>
        <w:keepNext/>
      </w:pPr>
      <w:r>
        <w:t>4. Capacidades instaladas aplicadas a Aranda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700"/>
        <w:gridCol w:w="3460"/>
        <w:gridCol w:w="4200"/>
      </w:tblGrid>
      <w:tr>
        <w:trPr>
          <w:tblHeader w:val="true"/>
          <w:cantSplit/>
        </w:trPr>
        <w:tc>
          <w:tcPr>
            <w:tcW w:type="dxa" w:w="1700"/>
            <w:shd w:fill="1F4E78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r>
              <w:rPr>
                <w:b/>
                <w:color w:val="FFFFFF"/>
                <w:sz w:val="18"/>
              </w:rPr>
              <w:t>Capacidad</w:t>
            </w:r>
          </w:p>
        </w:tc>
        <w:tc>
          <w:tcPr>
            <w:tcW w:type="dxa" w:w="3460"/>
            <w:shd w:fill="1F4E78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r>
              <w:rPr>
                <w:b/>
                <w:color w:val="FFFFFF"/>
                <w:sz w:val="18"/>
              </w:rPr>
              <w:t>Qué domina OVERFORE</w:t>
            </w:r>
          </w:p>
        </w:tc>
        <w:tc>
          <w:tcPr>
            <w:tcW w:type="dxa" w:w="4200"/>
            <w:shd w:fill="1F4E78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r>
              <w:rPr>
                <w:b/>
                <w:color w:val="FFFFFF"/>
                <w:sz w:val="18"/>
              </w:rPr>
              <w:t>Aplicación específica</w:t>
            </w:r>
          </w:p>
        </w:tc>
      </w:tr>
      <w:tr>
        <w:trPr>
          <w:cantSplit/>
        </w:trP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40" w:line="240" w:lineRule="auto"/>
            </w:pPr>
            <w:r>
              <w:rPr>
                <w:rFonts w:ascii="Calibri" w:hAnsi="Calibri"/>
                <w:sz w:val="17"/>
              </w:rPr>
              <w:t>Cloud Azure</w:t>
            </w:r>
          </w:p>
        </w:tc>
        <w:tc>
          <w:tcPr>
            <w:tcW w:type="dxa" w:w="34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40" w:line="240" w:lineRule="auto"/>
            </w:pPr>
            <w:r>
              <w:rPr>
                <w:rFonts w:ascii="Calibri" w:hAnsi="Calibri"/>
                <w:sz w:val="17"/>
              </w:rPr>
              <w:t>IaC, FinOps, redes privadas, multi-zona, AKS, servicios administrados, reversibilidad y copias regionales.</w:t>
            </w:r>
          </w:p>
        </w:tc>
        <w:tc>
          <w:tcPr>
            <w:tcW w:type="dxa" w:w="42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40" w:line="240" w:lineRule="auto"/>
            </w:pPr>
            <w:r>
              <w:rPr>
                <w:rFonts w:ascii="Calibri" w:hAnsi="Calibri"/>
                <w:sz w:val="17"/>
              </w:rPr>
              <w:t>C-01/C-02/C-05/C-08/C-15/C-16/C-20/C-22 en Chile Central; recuperación Brazil South.</w:t>
            </w:r>
          </w:p>
        </w:tc>
      </w:tr>
      <w:tr>
        <w:trPr>
          <w:cantSplit/>
        </w:trPr>
        <w:tc>
          <w:tcPr>
            <w:tcW w:type="dxa" w:w="1700"/>
            <w:shd w:fill="EEF4F8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40" w:line="240" w:lineRule="auto"/>
            </w:pPr>
            <w:r>
              <w:rPr>
                <w:rFonts w:ascii="Calibri" w:hAnsi="Calibri"/>
                <w:sz w:val="17"/>
              </w:rPr>
              <w:t>On-premise</w:t>
            </w:r>
          </w:p>
        </w:tc>
        <w:tc>
          <w:tcPr>
            <w:tcW w:type="dxa" w:w="3460"/>
            <w:shd w:fill="EEF4F8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40" w:line="240" w:lineRule="auto"/>
            </w:pPr>
            <w:r>
              <w:rPr>
                <w:rFonts w:ascii="Calibri" w:hAnsi="Calibri"/>
                <w:sz w:val="17"/>
              </w:rPr>
              <w:t>Clústeres N+1, almacenamiento RAID, core/NGFW HA, doble carrier, energía/clima/incendio y site secundario.</w:t>
            </w:r>
          </w:p>
        </w:tc>
        <w:tc>
          <w:tcPr>
            <w:tcW w:type="dxa" w:w="4200"/>
            <w:shd w:fill="EEF4F8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40" w:line="240" w:lineRule="auto"/>
            </w:pPr>
            <w:r>
              <w:rPr>
                <w:rFonts w:ascii="Calibri" w:hAnsi="Calibri"/>
                <w:sz w:val="17"/>
              </w:rPr>
              <w:t>Faena operacional y CIO warm standby sin duplicar el plano central.</w:t>
            </w:r>
          </w:p>
        </w:tc>
      </w:tr>
      <w:tr>
        <w:trPr>
          <w:cantSplit/>
        </w:trP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40" w:line="240" w:lineRule="auto"/>
            </w:pPr>
            <w:r>
              <w:rPr>
                <w:rFonts w:ascii="Calibri" w:hAnsi="Calibri"/>
                <w:sz w:val="17"/>
              </w:rPr>
              <w:t>Edge industrial</w:t>
            </w:r>
          </w:p>
        </w:tc>
        <w:tc>
          <w:tcPr>
            <w:tcW w:type="dxa" w:w="34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40" w:line="240" w:lineRule="auto"/>
            </w:pPr>
            <w:r>
              <w:rPr>
                <w:rFonts w:ascii="Calibri" w:hAnsi="Calibri"/>
                <w:sz w:val="17"/>
              </w:rPr>
              <w:t>Servidor, router y switch industrial; redundancia active-passive; buffer 48 h; MDM.</w:t>
            </w:r>
          </w:p>
        </w:tc>
        <w:tc>
          <w:tcPr>
            <w:tcW w:type="dxa" w:w="42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40" w:line="240" w:lineRule="auto"/>
            </w:pPr>
            <w:r>
              <w:rPr>
                <w:rFonts w:ascii="Calibri" w:hAnsi="Calibri"/>
                <w:sz w:val="17"/>
              </w:rPr>
              <w:t>Cuatro C-04 en Portería, Planta, Relaves y Puerto.</w:t>
            </w:r>
          </w:p>
        </w:tc>
      </w:tr>
      <w:tr>
        <w:trPr>
          <w:cantSplit/>
        </w:trPr>
        <w:tc>
          <w:tcPr>
            <w:tcW w:type="dxa" w:w="1700"/>
            <w:shd w:fill="EEF4F8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40" w:line="240" w:lineRule="auto"/>
            </w:pPr>
            <w:r>
              <w:rPr>
                <w:rFonts w:ascii="Calibri" w:hAnsi="Calibri"/>
                <w:sz w:val="17"/>
              </w:rPr>
              <w:t>Integración TI/TO</w:t>
            </w:r>
          </w:p>
        </w:tc>
        <w:tc>
          <w:tcPr>
            <w:tcW w:type="dxa" w:w="3460"/>
            <w:shd w:fill="EEF4F8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40" w:line="240" w:lineRule="auto"/>
            </w:pPr>
            <w:r>
              <w:rPr>
                <w:rFonts w:ascii="Calibri" w:hAnsi="Calibri"/>
                <w:sz w:val="17"/>
              </w:rPr>
              <w:t>Certificados, allowlist, DMZ y pruebas negativas Write/Call.</w:t>
            </w:r>
          </w:p>
        </w:tc>
        <w:tc>
          <w:tcPr>
            <w:tcW w:type="dxa" w:w="4200"/>
            <w:shd w:fill="EEF4F8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40" w:line="240" w:lineRule="auto"/>
            </w:pPr>
            <w:r>
              <w:rPr>
                <w:rFonts w:ascii="Calibri" w:hAnsi="Calibri"/>
                <w:sz w:val="17"/>
              </w:rPr>
              <w:t>C-14 OPC UA sólo lectura sobre historiador y balanza de alimentación.</w:t>
            </w:r>
          </w:p>
        </w:tc>
      </w:tr>
      <w:tr>
        <w:trPr>
          <w:cantSplit/>
        </w:trP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40" w:line="240" w:lineRule="auto"/>
            </w:pPr>
            <w:r>
              <w:rPr>
                <w:rFonts w:ascii="Calibri" w:hAnsi="Calibri"/>
                <w:sz w:val="17"/>
              </w:rPr>
              <w:t>Datos</w:t>
            </w:r>
          </w:p>
        </w:tc>
        <w:tc>
          <w:tcPr>
            <w:tcW w:type="dxa" w:w="34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40" w:line="240" w:lineRule="auto"/>
            </w:pPr>
            <w:r>
              <w:rPr>
                <w:rFonts w:ascii="Calibri" w:hAnsi="Calibri"/>
                <w:sz w:val="17"/>
              </w:rPr>
              <w:t>Motores especializados, retención 5/7/10 años, cifrado a nivel de campo y auditoría.</w:t>
            </w:r>
          </w:p>
        </w:tc>
        <w:tc>
          <w:tcPr>
            <w:tcW w:type="dxa" w:w="42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40" w:line="240" w:lineRule="auto"/>
            </w:pPr>
            <w:r>
              <w:rPr>
                <w:rFonts w:ascii="Calibri" w:hAnsi="Calibri"/>
                <w:sz w:val="17"/>
              </w:rPr>
              <w:t>Trazabilidad desde polígono/viaje hasta stockpile y lote embarcado.</w:t>
            </w:r>
          </w:p>
        </w:tc>
      </w:tr>
      <w:tr>
        <w:trPr>
          <w:cantSplit/>
        </w:trPr>
        <w:tc>
          <w:tcPr>
            <w:tcW w:type="dxa" w:w="1700"/>
            <w:shd w:fill="EEF4F8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40" w:line="240" w:lineRule="auto"/>
            </w:pPr>
            <w:r>
              <w:rPr>
                <w:rFonts w:ascii="Calibri" w:hAnsi="Calibri"/>
                <w:sz w:val="17"/>
              </w:rPr>
              <w:t>Continuidad</w:t>
            </w:r>
          </w:p>
        </w:tc>
        <w:tc>
          <w:tcPr>
            <w:tcW w:type="dxa" w:w="3460"/>
            <w:shd w:fill="EEF4F8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40" w:line="240" w:lineRule="auto"/>
            </w:pPr>
            <w:r>
              <w:rPr>
                <w:rFonts w:ascii="Calibri" w:hAnsi="Calibri"/>
                <w:sz w:val="17"/>
              </w:rPr>
              <w:t>RPO cero eventos en terreno; RTO &lt;=1 h edge; RTO &lt;=4 h/RPO &lt;=15 min central.</w:t>
            </w:r>
          </w:p>
        </w:tc>
        <w:tc>
          <w:tcPr>
            <w:tcW w:type="dxa" w:w="4200"/>
            <w:shd w:fill="EEF4F8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40" w:line="240" w:lineRule="auto"/>
            </w:pPr>
            <w:r>
              <w:rPr>
                <w:rFonts w:ascii="Calibri" w:hAnsi="Calibri"/>
                <w:sz w:val="17"/>
              </w:rPr>
              <w:t>C-03/C-04 offline, réplica al CIO y recuperación regional cloud.</w:t>
            </w:r>
          </w:p>
        </w:tc>
      </w:tr>
      <w:tr>
        <w:trPr>
          <w:cantSplit/>
        </w:trP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40" w:line="240" w:lineRule="auto"/>
            </w:pPr>
            <w:r>
              <w:rPr>
                <w:rFonts w:ascii="Calibri" w:hAnsi="Calibri"/>
                <w:sz w:val="17"/>
              </w:rPr>
              <w:t>Operación minera</w:t>
            </w:r>
          </w:p>
        </w:tc>
        <w:tc>
          <w:tcPr>
            <w:tcW w:type="dxa" w:w="34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40" w:line="240" w:lineRule="auto"/>
            </w:pPr>
            <w:r>
              <w:rPr>
                <w:rFonts w:ascii="Calibri" w:hAnsi="Calibri"/>
                <w:sz w:val="17"/>
              </w:rPr>
              <w:t>Trabajo con guantes, altura, acreditación, turnos 7x7, ventanas protegidas y soporte en faena.</w:t>
            </w:r>
          </w:p>
        </w:tc>
        <w:tc>
          <w:tcPr>
            <w:tcW w:type="dxa" w:w="42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40" w:line="240" w:lineRule="auto"/>
            </w:pPr>
            <w:r>
              <w:rPr>
                <w:rFonts w:ascii="Calibri" w:hAnsi="Calibri"/>
                <w:sz w:val="17"/>
              </w:rPr>
              <w:t>Adaptación sectorial guiada por el caso y especialistas aliados.</w:t>
            </w:r>
          </w:p>
        </w:tc>
      </w:tr>
    </w:tbl>
    <w:p>
      <w:pPr>
        <w:spacing w:after="20"/>
      </w:pPr>
    </w:p>
    <w:p>
      <w:pPr>
        <w:pStyle w:val="Heading1"/>
        <w:keepNext/>
      </w:pPr>
      <w:r>
        <w:t>5. Organización y dotación del proyecto</w:t>
      </w:r>
    </w:p>
    <w:p>
      <w:r>
        <w:t>La propuesta dispone de nueve integrantes. Claudio Cabello mantiene la dirección y la coherencia contractual; los demás participantes se organizan por entregables. La distribución académica no sustituye el Formulario T-8 ni atribuye certificaciones individuales no acreditadas.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100"/>
        <w:gridCol w:w="3300"/>
        <w:gridCol w:w="3960"/>
      </w:tblGrid>
      <w:tr>
        <w:trPr>
          <w:tblHeader w:val="true"/>
          <w:cantSplit/>
        </w:trPr>
        <w:tc>
          <w:tcPr>
            <w:tcW w:type="dxa" w:w="2100"/>
            <w:shd w:fill="1F4E78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r>
              <w:rPr>
                <w:b/>
                <w:color w:val="FFFFFF"/>
                <w:sz w:val="18"/>
              </w:rPr>
              <w:t>Grupo</w:t>
            </w:r>
          </w:p>
        </w:tc>
        <w:tc>
          <w:tcPr>
            <w:tcW w:type="dxa" w:w="3300"/>
            <w:shd w:fill="1F4E78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r>
              <w:rPr>
                <w:b/>
                <w:color w:val="FFFFFF"/>
                <w:sz w:val="18"/>
              </w:rPr>
              <w:t>Integrantes</w:t>
            </w:r>
          </w:p>
        </w:tc>
        <w:tc>
          <w:tcPr>
            <w:tcW w:type="dxa" w:w="3960"/>
            <w:shd w:fill="1F4E78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r>
              <w:rPr>
                <w:b/>
                <w:color w:val="FFFFFF"/>
                <w:sz w:val="18"/>
              </w:rPr>
              <w:t>Responsabilidad</w:t>
            </w:r>
          </w:p>
        </w:tc>
      </w:tr>
      <w:tr>
        <w:trPr>
          <w:cantSplit/>
        </w:trP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40" w:line="240" w:lineRule="auto"/>
            </w:pPr>
            <w:r>
              <w:rPr>
                <w:rFonts w:ascii="Calibri" w:hAnsi="Calibri"/>
                <w:sz w:val="17"/>
              </w:rPr>
              <w:t>Grupo 1 - Estrategia y Alcance</w:t>
            </w:r>
          </w:p>
        </w:tc>
        <w:tc>
          <w:tcPr>
            <w:tcW w:type="dxa" w:w="33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40" w:line="240" w:lineRule="auto"/>
            </w:pPr>
            <w:r>
              <w:rPr>
                <w:rFonts w:ascii="Calibri" w:hAnsi="Calibri"/>
                <w:sz w:val="17"/>
              </w:rPr>
              <w:t>David Martínez Canto; Claudio Cabello Vásquez; Benjamín Velásquez Farías</w:t>
            </w:r>
          </w:p>
        </w:tc>
        <w:tc>
          <w:tcPr>
            <w:tcW w:type="dxa" w:w="39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40" w:line="240" w:lineRule="auto"/>
            </w:pPr>
            <w:r>
              <w:rPr>
                <w:rFonts w:ascii="Calibri" w:hAnsi="Calibri"/>
                <w:sz w:val="17"/>
              </w:rPr>
              <w:t>Subdocs. 2 y 3; problema, requerimientos, alcance, exclusiones, T-12 y trazabilidad.</w:t>
            </w:r>
          </w:p>
        </w:tc>
      </w:tr>
      <w:tr>
        <w:trPr>
          <w:cantSplit/>
        </w:trPr>
        <w:tc>
          <w:tcPr>
            <w:tcW w:type="dxa" w:w="2100"/>
            <w:shd w:fill="EEF4F8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40" w:line="240" w:lineRule="auto"/>
            </w:pPr>
            <w:r>
              <w:rPr>
                <w:rFonts w:ascii="Calibri" w:hAnsi="Calibri"/>
                <w:sz w:val="17"/>
              </w:rPr>
              <w:t>Grupo 2 - Arquitectura Lógica y Datos</w:t>
            </w:r>
          </w:p>
        </w:tc>
        <w:tc>
          <w:tcPr>
            <w:tcW w:type="dxa" w:w="3300"/>
            <w:shd w:fill="EEF4F8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40" w:line="240" w:lineRule="auto"/>
            </w:pPr>
            <w:r>
              <w:rPr>
                <w:rFonts w:ascii="Calibri" w:hAnsi="Calibri"/>
                <w:sz w:val="17"/>
              </w:rPr>
              <w:t>Lucas Zamora Gatica; Gabriel Sanzana Cuibin; Patricio Figueroa Gallardo</w:t>
            </w:r>
          </w:p>
        </w:tc>
        <w:tc>
          <w:tcPr>
            <w:tcW w:type="dxa" w:w="3960"/>
            <w:shd w:fill="EEF4F8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40" w:line="240" w:lineRule="auto"/>
            </w:pPr>
            <w:r>
              <w:rPr>
                <w:rFonts w:ascii="Calibri" w:hAnsi="Calibri"/>
                <w:sz w:val="17"/>
              </w:rPr>
              <w:t>Subdocs. 4.1 y 5; componentes C-01 a C-22, eventos, seguridad, modelo y gobierno de datos.</w:t>
            </w:r>
          </w:p>
        </w:tc>
      </w:tr>
      <w:tr>
        <w:trPr>
          <w:cantSplit/>
        </w:trP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40" w:line="240" w:lineRule="auto"/>
            </w:pPr>
            <w:r>
              <w:rPr>
                <w:rFonts w:ascii="Calibri" w:hAnsi="Calibri"/>
                <w:sz w:val="17"/>
              </w:rPr>
              <w:t>Grupo 3 - Infraestructura y Presentación</w:t>
            </w:r>
          </w:p>
        </w:tc>
        <w:tc>
          <w:tcPr>
            <w:tcW w:type="dxa" w:w="33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40" w:line="240" w:lineRule="auto"/>
            </w:pPr>
            <w:r>
              <w:rPr>
                <w:rFonts w:ascii="Calibri" w:hAnsi="Calibri"/>
                <w:sz w:val="17"/>
              </w:rPr>
              <w:t>Marcelo Flores Coloane; Benjamín Rodríguez Pavez; Kavon Kermani Órdenes</w:t>
            </w:r>
          </w:p>
        </w:tc>
        <w:tc>
          <w:tcPr>
            <w:tcW w:type="dxa" w:w="39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40" w:line="240" w:lineRule="auto"/>
            </w:pPr>
            <w:r>
              <w:rPr>
                <w:rFonts w:ascii="Calibri" w:hAnsi="Calibri"/>
                <w:sz w:val="17"/>
              </w:rPr>
              <w:t>Subdocs. 4.2 y 1; T-11, T-6, cloud, data centers, redes, edge, OPC UA y presentación institucional.</w:t>
            </w:r>
          </w:p>
        </w:tc>
      </w:tr>
    </w:tbl>
    <w:p>
      <w:pPr>
        <w:spacing w:after="20"/>
      </w:pPr>
    </w:p>
    <w:p>
      <w:pPr>
        <w:pStyle w:val="Heading2"/>
        <w:keepNext/>
      </w:pPr>
      <w:r>
        <w:t>5.1 Gobierno mínimo de la oferta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000"/>
        <w:gridCol w:w="2500"/>
        <w:gridCol w:w="4860"/>
      </w:tblGrid>
      <w:tr>
        <w:trPr>
          <w:tblHeader w:val="true"/>
          <w:cantSplit/>
        </w:trPr>
        <w:tc>
          <w:tcPr>
            <w:tcW w:type="dxa" w:w="2000"/>
            <w:shd w:fill="1F4E78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r>
              <w:rPr>
                <w:b/>
                <w:color w:val="FFFFFF"/>
                <w:sz w:val="18"/>
              </w:rPr>
              <w:t>Función</w:t>
            </w:r>
          </w:p>
        </w:tc>
        <w:tc>
          <w:tcPr>
            <w:tcW w:type="dxa" w:w="2500"/>
            <w:shd w:fill="1F4E78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r>
              <w:rPr>
                <w:b/>
                <w:color w:val="FFFFFF"/>
                <w:sz w:val="18"/>
              </w:rPr>
              <w:t>Responsable académico</w:t>
            </w:r>
          </w:p>
        </w:tc>
        <w:tc>
          <w:tcPr>
            <w:tcW w:type="dxa" w:w="4860"/>
            <w:shd w:fill="1F4E78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r>
              <w:rPr>
                <w:b/>
                <w:color w:val="FFFFFF"/>
                <w:sz w:val="18"/>
              </w:rPr>
              <w:t>Responsabilidad</w:t>
            </w:r>
          </w:p>
        </w:tc>
      </w:tr>
      <w:tr>
        <w:trPr>
          <w:cantSplit/>
        </w:trPr>
        <w:tc>
          <w:tcPr>
            <w:tcW w:type="dxa" w:w="20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40" w:line="240" w:lineRule="auto"/>
            </w:pPr>
            <w:r>
              <w:rPr>
                <w:rFonts w:ascii="Calibri" w:hAnsi="Calibri"/>
                <w:sz w:val="17"/>
              </w:rPr>
              <w:t>Jefe de Proyecto</w:t>
            </w:r>
          </w:p>
        </w:tc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40" w:line="240" w:lineRule="auto"/>
            </w:pPr>
            <w:r>
              <w:rPr>
                <w:rFonts w:ascii="Calibri" w:hAnsi="Calibri"/>
                <w:sz w:val="17"/>
              </w:rPr>
              <w:t>Claudio Cabello</w:t>
            </w:r>
          </w:p>
        </w:tc>
        <w:tc>
          <w:tcPr>
            <w:tcW w:type="dxa" w:w="48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40" w:line="240" w:lineRule="auto"/>
            </w:pPr>
            <w:r>
              <w:rPr>
                <w:rFonts w:ascii="Calibri" w:hAnsi="Calibri"/>
                <w:sz w:val="17"/>
              </w:rPr>
              <w:t>Dirección, contraparte, riesgos, integración de grupos y control de coherencia.</w:t>
            </w:r>
          </w:p>
        </w:tc>
      </w:tr>
      <w:tr>
        <w:trPr>
          <w:cantSplit/>
        </w:trPr>
        <w:tc>
          <w:tcPr>
            <w:tcW w:type="dxa" w:w="2000"/>
            <w:shd w:fill="EEF4F8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40" w:line="240" w:lineRule="auto"/>
            </w:pPr>
            <w:r>
              <w:rPr>
                <w:rFonts w:ascii="Calibri" w:hAnsi="Calibri"/>
                <w:sz w:val="17"/>
              </w:rPr>
              <w:t>Arquitectura de solución</w:t>
            </w:r>
          </w:p>
        </w:tc>
        <w:tc>
          <w:tcPr>
            <w:tcW w:type="dxa" w:w="2500"/>
            <w:shd w:fill="EEF4F8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40" w:line="240" w:lineRule="auto"/>
            </w:pPr>
            <w:r>
              <w:rPr>
                <w:rFonts w:ascii="Calibri" w:hAnsi="Calibri"/>
                <w:sz w:val="17"/>
              </w:rPr>
              <w:t>Liderazgo Grupo 2 con revisión Grupo 3</w:t>
            </w:r>
          </w:p>
        </w:tc>
        <w:tc>
          <w:tcPr>
            <w:tcW w:type="dxa" w:w="4860"/>
            <w:shd w:fill="EEF4F8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40" w:line="240" w:lineRule="auto"/>
            </w:pPr>
            <w:r>
              <w:rPr>
                <w:rFonts w:ascii="Calibri" w:hAnsi="Calibri"/>
                <w:sz w:val="17"/>
              </w:rPr>
              <w:t>Arquitectura lógica, datos y despliegue físico.</w:t>
            </w:r>
          </w:p>
        </w:tc>
      </w:tr>
      <w:tr>
        <w:trPr>
          <w:cantSplit/>
        </w:trPr>
        <w:tc>
          <w:tcPr>
            <w:tcW w:type="dxa" w:w="20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40" w:line="240" w:lineRule="auto"/>
            </w:pPr>
            <w:r>
              <w:rPr>
                <w:rFonts w:ascii="Calibri" w:hAnsi="Calibri"/>
                <w:sz w:val="17"/>
              </w:rPr>
              <w:t>Seguridad de la información</w:t>
            </w:r>
          </w:p>
        </w:tc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40" w:line="240" w:lineRule="auto"/>
            </w:pPr>
            <w:r>
              <w:rPr>
                <w:rFonts w:ascii="Calibri" w:hAnsi="Calibri"/>
                <w:sz w:val="17"/>
              </w:rPr>
              <w:t>Función transversal Grupo 2</w:t>
            </w:r>
          </w:p>
        </w:tc>
        <w:tc>
          <w:tcPr>
            <w:tcW w:type="dxa" w:w="48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40" w:line="240" w:lineRule="auto"/>
            </w:pPr>
            <w:r>
              <w:rPr>
                <w:rFonts w:ascii="Calibri" w:hAnsi="Calibri"/>
                <w:sz w:val="17"/>
              </w:rPr>
              <w:t>Zero Trust, privacidad, controles, evidencias y segregación.</w:t>
            </w:r>
          </w:p>
        </w:tc>
      </w:tr>
      <w:tr>
        <w:trPr>
          <w:cantSplit/>
        </w:trPr>
        <w:tc>
          <w:tcPr>
            <w:tcW w:type="dxa" w:w="2000"/>
            <w:shd w:fill="EEF4F8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40" w:line="240" w:lineRule="auto"/>
            </w:pPr>
            <w:r>
              <w:rPr>
                <w:rFonts w:ascii="Calibri" w:hAnsi="Calibri"/>
                <w:sz w:val="17"/>
              </w:rPr>
              <w:t>Datos</w:t>
            </w:r>
          </w:p>
        </w:tc>
        <w:tc>
          <w:tcPr>
            <w:tcW w:type="dxa" w:w="2500"/>
            <w:shd w:fill="EEF4F8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40" w:line="240" w:lineRule="auto"/>
            </w:pPr>
            <w:r>
              <w:rPr>
                <w:rFonts w:ascii="Calibri" w:hAnsi="Calibri"/>
                <w:sz w:val="17"/>
              </w:rPr>
              <w:t>Gabriel Sanzana / Grupo 2</w:t>
            </w:r>
          </w:p>
        </w:tc>
        <w:tc>
          <w:tcPr>
            <w:tcW w:type="dxa" w:w="4860"/>
            <w:shd w:fill="EEF4F8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40" w:line="240" w:lineRule="auto"/>
            </w:pPr>
            <w:r>
              <w:rPr>
                <w:rFonts w:ascii="Calibri" w:hAnsi="Calibri"/>
                <w:sz w:val="17"/>
              </w:rPr>
              <w:t>Modelo, motores, calidad, retención, migración y explotación.</w:t>
            </w:r>
          </w:p>
        </w:tc>
      </w:tr>
      <w:tr>
        <w:trPr>
          <w:cantSplit/>
        </w:trPr>
        <w:tc>
          <w:tcPr>
            <w:tcW w:type="dxa" w:w="20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40" w:line="240" w:lineRule="auto"/>
            </w:pPr>
            <w:r>
              <w:rPr>
                <w:rFonts w:ascii="Calibri" w:hAnsi="Calibri"/>
                <w:sz w:val="17"/>
              </w:rPr>
              <w:t>Calidad</w:t>
            </w:r>
          </w:p>
        </w:tc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40" w:line="240" w:lineRule="auto"/>
            </w:pPr>
            <w:r>
              <w:rPr>
                <w:rFonts w:ascii="Calibri" w:hAnsi="Calibri"/>
                <w:sz w:val="17"/>
              </w:rPr>
              <w:t>David Martínez / Grupo 1</w:t>
            </w:r>
          </w:p>
        </w:tc>
        <w:tc>
          <w:tcPr>
            <w:tcW w:type="dxa" w:w="48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40" w:line="240" w:lineRule="auto"/>
            </w:pPr>
            <w:r>
              <w:rPr>
                <w:rFonts w:ascii="Calibri" w:hAnsi="Calibri"/>
                <w:sz w:val="17"/>
              </w:rPr>
              <w:t>Trazabilidad, revisión independiente, no conformidades y aceptación.</w:t>
            </w:r>
          </w:p>
        </w:tc>
      </w:tr>
      <w:tr>
        <w:trPr>
          <w:cantSplit/>
        </w:trPr>
        <w:tc>
          <w:tcPr>
            <w:tcW w:type="dxa" w:w="2000"/>
            <w:shd w:fill="EEF4F8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40" w:line="240" w:lineRule="auto"/>
            </w:pPr>
            <w:r>
              <w:rPr>
                <w:rFonts w:ascii="Calibri" w:hAnsi="Calibri"/>
                <w:sz w:val="17"/>
              </w:rPr>
              <w:t>Operación</w:t>
            </w:r>
          </w:p>
        </w:tc>
        <w:tc>
          <w:tcPr>
            <w:tcW w:type="dxa" w:w="2500"/>
            <w:shd w:fill="EEF4F8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40" w:line="240" w:lineRule="auto"/>
            </w:pPr>
            <w:r>
              <w:rPr>
                <w:rFonts w:ascii="Calibri" w:hAnsi="Calibri"/>
                <w:sz w:val="17"/>
              </w:rPr>
              <w:t>Marcelo Flores / Grupo 3</w:t>
            </w:r>
          </w:p>
        </w:tc>
        <w:tc>
          <w:tcPr>
            <w:tcW w:type="dxa" w:w="4860"/>
            <w:shd w:fill="EEF4F8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40" w:line="240" w:lineRule="auto"/>
            </w:pPr>
            <w:r>
              <w:rPr>
                <w:rFonts w:ascii="Calibri" w:hAnsi="Calibri"/>
                <w:sz w:val="17"/>
              </w:rPr>
              <w:t>Infraestructura, continuidad, NOC, soporte y transferencia.</w:t>
            </w:r>
          </w:p>
        </w:tc>
      </w:tr>
    </w:tbl>
    <w:p>
      <w:pPr>
        <w:spacing w:after="20"/>
      </w:pPr>
    </w:p>
    <w:p>
      <w:pPr>
        <w:pStyle w:val="Heading1"/>
        <w:keepNext/>
      </w:pPr>
      <w:r>
        <w:t>6. Certificaciones y competencias</w:t>
      </w:r>
    </w:p>
    <w:p>
      <w:r>
        <w:t>Las certificaciones se declaran por capacidad institucional y por grupo, no como credenciales personales. En el escenario académico se consideran vigentes; una oferta real debe adjuntar certificado, titular, número, emisor y vigencia.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900"/>
        <w:gridCol w:w="2700"/>
        <w:gridCol w:w="4760"/>
      </w:tblGrid>
      <w:tr>
        <w:trPr>
          <w:tblHeader w:val="true"/>
          <w:cantSplit/>
        </w:trPr>
        <w:tc>
          <w:tcPr>
            <w:tcW w:type="dxa" w:w="1900"/>
            <w:shd w:fill="1F4E78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r>
              <w:rPr>
                <w:b/>
                <w:color w:val="FFFFFF"/>
                <w:sz w:val="18"/>
              </w:rPr>
              <w:t>Familia</w:t>
            </w:r>
          </w:p>
        </w:tc>
        <w:tc>
          <w:tcPr>
            <w:tcW w:type="dxa" w:w="2700"/>
            <w:shd w:fill="1F4E78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r>
              <w:rPr>
                <w:b/>
                <w:color w:val="FFFFFF"/>
                <w:sz w:val="18"/>
              </w:rPr>
              <w:t>Certificación institucional simulada</w:t>
            </w:r>
          </w:p>
        </w:tc>
        <w:tc>
          <w:tcPr>
            <w:tcW w:type="dxa" w:w="4760"/>
            <w:shd w:fill="1F4E78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r>
              <w:rPr>
                <w:b/>
                <w:color w:val="FFFFFF"/>
                <w:sz w:val="18"/>
              </w:rPr>
              <w:t>Aplicación</w:t>
            </w:r>
          </w:p>
        </w:tc>
      </w:tr>
      <w:tr>
        <w:trPr>
          <w:cantSplit/>
        </w:trP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40" w:line="240" w:lineRule="auto"/>
            </w:pPr>
            <w:r>
              <w:rPr>
                <w:rFonts w:ascii="Calibri" w:hAnsi="Calibri"/>
                <w:sz w:val="17"/>
              </w:rPr>
              <w:t>Calidad</w:t>
            </w:r>
          </w:p>
        </w:tc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40" w:line="240" w:lineRule="auto"/>
            </w:pPr>
            <w:r>
              <w:rPr>
                <w:rFonts w:ascii="Calibri" w:hAnsi="Calibri"/>
                <w:sz w:val="17"/>
              </w:rPr>
              <w:t>ISO 9001:2015</w:t>
            </w:r>
          </w:p>
        </w:tc>
        <w:tc>
          <w:tcPr>
            <w:tcW w:type="dxa" w:w="47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40" w:line="240" w:lineRule="auto"/>
            </w:pPr>
            <w:r>
              <w:rPr>
                <w:rFonts w:ascii="Calibri" w:hAnsi="Calibri"/>
                <w:sz w:val="17"/>
              </w:rPr>
              <w:t>Gestión documental, revisión de entregables, no conformidades y mejora.</w:t>
            </w:r>
          </w:p>
        </w:tc>
      </w:tr>
      <w:tr>
        <w:trPr>
          <w:cantSplit/>
        </w:trPr>
        <w:tc>
          <w:tcPr>
            <w:tcW w:type="dxa" w:w="1900"/>
            <w:shd w:fill="EEF4F8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40" w:line="240" w:lineRule="auto"/>
            </w:pPr>
            <w:r>
              <w:rPr>
                <w:rFonts w:ascii="Calibri" w:hAnsi="Calibri"/>
                <w:sz w:val="17"/>
              </w:rPr>
              <w:t>Seguridad</w:t>
            </w:r>
          </w:p>
        </w:tc>
        <w:tc>
          <w:tcPr>
            <w:tcW w:type="dxa" w:w="2700"/>
            <w:shd w:fill="EEF4F8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40" w:line="240" w:lineRule="auto"/>
            </w:pPr>
            <w:r>
              <w:rPr>
                <w:rFonts w:ascii="Calibri" w:hAnsi="Calibri"/>
                <w:sz w:val="17"/>
              </w:rPr>
              <w:t>ISO/IEC 27001:2022</w:t>
            </w:r>
          </w:p>
        </w:tc>
        <w:tc>
          <w:tcPr>
            <w:tcW w:type="dxa" w:w="4760"/>
            <w:shd w:fill="EEF4F8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40" w:line="240" w:lineRule="auto"/>
            </w:pPr>
            <w:r>
              <w:rPr>
                <w:rFonts w:ascii="Calibri" w:hAnsi="Calibri"/>
                <w:sz w:val="17"/>
              </w:rPr>
              <w:t>SGSI, riesgos, controles y auditoría.</w:t>
            </w:r>
          </w:p>
        </w:tc>
      </w:tr>
      <w:tr>
        <w:trPr>
          <w:cantSplit/>
        </w:trP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40" w:line="240" w:lineRule="auto"/>
            </w:pPr>
            <w:r>
              <w:rPr>
                <w:rFonts w:ascii="Calibri" w:hAnsi="Calibri"/>
                <w:sz w:val="17"/>
              </w:rPr>
              <w:t>Continuidad</w:t>
            </w:r>
          </w:p>
        </w:tc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40" w:line="240" w:lineRule="auto"/>
            </w:pPr>
            <w:r>
              <w:rPr>
                <w:rFonts w:ascii="Calibri" w:hAnsi="Calibri"/>
                <w:sz w:val="17"/>
              </w:rPr>
              <w:t>ISO 22301:2019</w:t>
            </w:r>
          </w:p>
        </w:tc>
        <w:tc>
          <w:tcPr>
            <w:tcW w:type="dxa" w:w="47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40" w:line="240" w:lineRule="auto"/>
            </w:pPr>
            <w:r>
              <w:rPr>
                <w:rFonts w:ascii="Calibri" w:hAnsi="Calibri"/>
                <w:sz w:val="17"/>
              </w:rPr>
              <w:t>BCP, análisis de impacto, ejercicios y mejora de continuidad.</w:t>
            </w:r>
          </w:p>
        </w:tc>
      </w:tr>
      <w:tr>
        <w:trPr>
          <w:cantSplit/>
        </w:trPr>
        <w:tc>
          <w:tcPr>
            <w:tcW w:type="dxa" w:w="1900"/>
            <w:shd w:fill="EEF4F8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40" w:line="240" w:lineRule="auto"/>
            </w:pPr>
            <w:r>
              <w:rPr>
                <w:rFonts w:ascii="Calibri" w:hAnsi="Calibri"/>
                <w:sz w:val="17"/>
              </w:rPr>
              <w:t>Servicios TI</w:t>
            </w:r>
          </w:p>
        </w:tc>
        <w:tc>
          <w:tcPr>
            <w:tcW w:type="dxa" w:w="2700"/>
            <w:shd w:fill="EEF4F8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40" w:line="240" w:lineRule="auto"/>
            </w:pPr>
            <w:r>
              <w:rPr>
                <w:rFonts w:ascii="Calibri" w:hAnsi="Calibri"/>
                <w:sz w:val="17"/>
              </w:rPr>
              <w:t>ISO/IEC 20000-1:2018</w:t>
            </w:r>
          </w:p>
        </w:tc>
        <w:tc>
          <w:tcPr>
            <w:tcW w:type="dxa" w:w="4760"/>
            <w:shd w:fill="EEF4F8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40" w:line="240" w:lineRule="auto"/>
            </w:pPr>
            <w:r>
              <w:rPr>
                <w:rFonts w:ascii="Calibri" w:hAnsi="Calibri"/>
                <w:sz w:val="17"/>
              </w:rPr>
              <w:t>Mesa de servicio, incidentes, problemas, cambios y niveles de servicio.</w:t>
            </w:r>
          </w:p>
        </w:tc>
      </w:tr>
      <w:tr>
        <w:trPr>
          <w:cantSplit/>
        </w:trP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40" w:line="240" w:lineRule="auto"/>
            </w:pPr>
            <w:r>
              <w:rPr>
                <w:rFonts w:ascii="Calibri" w:hAnsi="Calibri"/>
                <w:sz w:val="17"/>
              </w:rPr>
              <w:t>Nube y privacidad</w:t>
            </w:r>
          </w:p>
        </w:tc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40" w:line="240" w:lineRule="auto"/>
            </w:pPr>
            <w:r>
              <w:rPr>
                <w:rFonts w:ascii="Calibri" w:hAnsi="Calibri"/>
                <w:sz w:val="17"/>
              </w:rPr>
              <w:t>ISO/IEC 27017 e ISO/IEC 27018</w:t>
            </w:r>
          </w:p>
        </w:tc>
        <w:tc>
          <w:tcPr>
            <w:tcW w:type="dxa" w:w="47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40" w:line="240" w:lineRule="auto"/>
            </w:pPr>
            <w:r>
              <w:rPr>
                <w:rFonts w:ascii="Calibri" w:hAnsi="Calibri"/>
                <w:sz w:val="17"/>
              </w:rPr>
              <w:t>Controles cloud y protección de información personal.</w:t>
            </w:r>
          </w:p>
        </w:tc>
      </w:tr>
      <w:tr>
        <w:trPr>
          <w:cantSplit/>
        </w:trPr>
        <w:tc>
          <w:tcPr>
            <w:tcW w:type="dxa" w:w="1900"/>
            <w:shd w:fill="EEF4F8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40" w:line="240" w:lineRule="auto"/>
            </w:pPr>
            <w:r>
              <w:rPr>
                <w:rFonts w:ascii="Calibri" w:hAnsi="Calibri"/>
                <w:sz w:val="17"/>
              </w:rPr>
              <w:t>Seguridad y salud</w:t>
            </w:r>
          </w:p>
        </w:tc>
        <w:tc>
          <w:tcPr>
            <w:tcW w:type="dxa" w:w="2700"/>
            <w:shd w:fill="EEF4F8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40" w:line="240" w:lineRule="auto"/>
            </w:pPr>
            <w:r>
              <w:rPr>
                <w:rFonts w:ascii="Calibri" w:hAnsi="Calibri"/>
                <w:sz w:val="17"/>
              </w:rPr>
              <w:t>ISO 45001:2018</w:t>
            </w:r>
          </w:p>
        </w:tc>
        <w:tc>
          <w:tcPr>
            <w:tcW w:type="dxa" w:w="4760"/>
            <w:shd w:fill="EEF4F8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40" w:line="240" w:lineRule="auto"/>
            </w:pPr>
            <w:r>
              <w:rPr>
                <w:rFonts w:ascii="Calibri" w:hAnsi="Calibri"/>
                <w:sz w:val="17"/>
              </w:rPr>
              <w:t>Trabajo seguro, acreditación y operación en faena.</w:t>
            </w:r>
          </w:p>
        </w:tc>
      </w:tr>
      <w:tr>
        <w:trPr>
          <w:cantSplit/>
        </w:trP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40" w:line="240" w:lineRule="auto"/>
            </w:pPr>
            <w:r>
              <w:rPr>
                <w:rFonts w:ascii="Calibri" w:hAnsi="Calibri"/>
                <w:sz w:val="17"/>
              </w:rPr>
              <w:t>Medio ambiente</w:t>
            </w:r>
          </w:p>
        </w:tc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40" w:line="240" w:lineRule="auto"/>
            </w:pPr>
            <w:r>
              <w:rPr>
                <w:rFonts w:ascii="Calibri" w:hAnsi="Calibri"/>
                <w:sz w:val="17"/>
              </w:rPr>
              <w:t>ISO 14001:2015</w:t>
            </w:r>
          </w:p>
        </w:tc>
        <w:tc>
          <w:tcPr>
            <w:tcW w:type="dxa" w:w="47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40" w:line="240" w:lineRule="auto"/>
            </w:pPr>
            <w:r>
              <w:rPr>
                <w:rFonts w:ascii="Calibri" w:hAnsi="Calibri"/>
                <w:sz w:val="17"/>
              </w:rPr>
              <w:t>Gestión ambiental y soporte a trazabilidad de compromisos.</w:t>
            </w:r>
          </w:p>
        </w:tc>
      </w:tr>
    </w:tbl>
    <w:p>
      <w:pPr>
        <w:spacing w:after="20"/>
      </w:pP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600"/>
        <w:gridCol w:w="4800"/>
        <w:gridCol w:w="2960"/>
      </w:tblGrid>
      <w:tr>
        <w:trPr>
          <w:tblHeader w:val="true"/>
          <w:cantSplit/>
        </w:trPr>
        <w:tc>
          <w:tcPr>
            <w:tcW w:type="dxa" w:w="1600"/>
            <w:shd w:fill="1F4E78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r>
              <w:rPr>
                <w:b/>
                <w:color w:val="FFFFFF"/>
                <w:sz w:val="18"/>
              </w:rPr>
              <w:t>Grupo</w:t>
            </w:r>
          </w:p>
        </w:tc>
        <w:tc>
          <w:tcPr>
            <w:tcW w:type="dxa" w:w="4800"/>
            <w:shd w:fill="1F4E78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r>
              <w:rPr>
                <w:b/>
                <w:color w:val="FFFFFF"/>
                <w:sz w:val="18"/>
              </w:rPr>
              <w:t>Portafolio de competencias simulado</w:t>
            </w:r>
          </w:p>
        </w:tc>
        <w:tc>
          <w:tcPr>
            <w:tcW w:type="dxa" w:w="2960"/>
            <w:shd w:fill="1F4E78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r>
              <w:rPr>
                <w:b/>
                <w:color w:val="FFFFFF"/>
                <w:sz w:val="18"/>
              </w:rPr>
              <w:t>Uso en Aranda</w:t>
            </w:r>
          </w:p>
        </w:tc>
      </w:tr>
      <w:tr>
        <w:trPr>
          <w:cantSplit/>
        </w:trPr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40" w:line="240" w:lineRule="auto"/>
            </w:pPr>
            <w:r>
              <w:rPr>
                <w:rFonts w:ascii="Calibri" w:hAnsi="Calibri"/>
                <w:sz w:val="16"/>
              </w:rPr>
              <w:t>Grupo 1</w:t>
            </w:r>
          </w:p>
        </w:tc>
        <w:tc>
          <w:tcPr>
            <w:tcW w:type="dxa" w:w="48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40" w:line="240" w:lineRule="auto"/>
            </w:pPr>
            <w:r>
              <w:rPr>
                <w:rFonts w:ascii="Calibri" w:hAnsi="Calibri"/>
                <w:sz w:val="16"/>
              </w:rPr>
              <w:t>PMP/PMBOK; Scrum Master; ITIL 4 Foundation; IREB CPRE Foundation; auditor interno ISO 9001.</w:t>
            </w:r>
          </w:p>
        </w:tc>
        <w:tc>
          <w:tcPr>
            <w:tcW w:type="dxa" w:w="29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40" w:line="240" w:lineRule="auto"/>
            </w:pPr>
            <w:r>
              <w:rPr>
                <w:rFonts w:ascii="Calibri" w:hAnsi="Calibri"/>
                <w:sz w:val="16"/>
              </w:rPr>
              <w:t>Gobierno, alcance, requerimientos, trazabilidad, calidad y aceptación.</w:t>
            </w:r>
          </w:p>
        </w:tc>
      </w:tr>
      <w:tr>
        <w:trPr>
          <w:cantSplit/>
        </w:trPr>
        <w:tc>
          <w:tcPr>
            <w:tcW w:type="dxa" w:w="1600"/>
            <w:shd w:fill="EEF4F8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40" w:line="240" w:lineRule="auto"/>
            </w:pPr>
            <w:r>
              <w:rPr>
                <w:rFonts w:ascii="Calibri" w:hAnsi="Calibri"/>
                <w:sz w:val="16"/>
              </w:rPr>
              <w:t>Grupo 2</w:t>
            </w:r>
          </w:p>
        </w:tc>
        <w:tc>
          <w:tcPr>
            <w:tcW w:type="dxa" w:w="4800"/>
            <w:shd w:fill="EEF4F8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40" w:line="240" w:lineRule="auto"/>
            </w:pPr>
            <w:r>
              <w:rPr>
                <w:rFonts w:ascii="Calibri" w:hAnsi="Calibri"/>
                <w:sz w:val="16"/>
              </w:rPr>
              <w:t>Azure Solutions Architect/Data Engineer; TOGAF Foundation; PostgreSQL; ISO/IEC 27001 Foundation; ISA/IEC 62443 Fundamentals; ISTQB Foundation.</w:t>
            </w:r>
          </w:p>
        </w:tc>
        <w:tc>
          <w:tcPr>
            <w:tcW w:type="dxa" w:w="2960"/>
            <w:shd w:fill="EEF4F8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40" w:line="240" w:lineRule="auto"/>
            </w:pPr>
            <w:r>
              <w:rPr>
                <w:rFonts w:ascii="Calibri" w:hAnsi="Calibri"/>
                <w:sz w:val="16"/>
              </w:rPr>
              <w:t>Arquitectura C-01 a C-22, datos, seguridad, integración, pruebas y TI/TO.</w:t>
            </w:r>
          </w:p>
        </w:tc>
      </w:tr>
      <w:tr>
        <w:trPr>
          <w:cantSplit/>
        </w:trPr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40" w:line="240" w:lineRule="auto"/>
            </w:pPr>
            <w:r>
              <w:rPr>
                <w:rFonts w:ascii="Calibri" w:hAnsi="Calibri"/>
                <w:sz w:val="16"/>
              </w:rPr>
              <w:t>Grupo 3</w:t>
            </w:r>
          </w:p>
        </w:tc>
        <w:tc>
          <w:tcPr>
            <w:tcW w:type="dxa" w:w="48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40" w:line="240" w:lineRule="auto"/>
            </w:pPr>
            <w:r>
              <w:rPr>
                <w:rFonts w:ascii="Calibri" w:hAnsi="Calibri"/>
                <w:sz w:val="16"/>
              </w:rPr>
              <w:t>Cisco CCNA y CCNP Enterprise; Fortinet FCP/FCA; Azure Network Engineer; Linux/RHCSA; Certified Data Centre Professional; OPC UA Fundamentals; ITIL 4 Foundation.</w:t>
            </w:r>
          </w:p>
        </w:tc>
        <w:tc>
          <w:tcPr>
            <w:tcW w:type="dxa" w:w="29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40" w:line="240" w:lineRule="auto"/>
            </w:pPr>
            <w:r>
              <w:rPr>
                <w:rFonts w:ascii="Calibri" w:hAnsi="Calibri"/>
                <w:sz w:val="16"/>
              </w:rPr>
              <w:t>Routing/switching, VPN/SD-WAN, NGFW, data centers, edge, redes industriales, alta disponibilidad y OPC UA.</w:t>
            </w:r>
          </w:p>
        </w:tc>
      </w:tr>
    </w:tbl>
    <w:p>
      <w:pPr>
        <w:spacing w:after="20"/>
      </w:pP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cantSplit/>
        </w:trP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FF2CC"/>
          </w:tcPr>
          <w:p>
            <w:pPr>
              <w:spacing w:after="0"/>
            </w:pPr>
            <w:r>
              <w:rPr>
                <w:b/>
                <w:color w:val="17365D"/>
              </w:rPr>
              <w:t xml:space="preserve">Límite de declaración. </w:t>
            </w:r>
            <w:r>
              <w:t>El portafolio demuestra cobertura esperada del equipo. No significa que cada integrante posea todas las credenciales. La asignación nominal y la evidencia corresponden al T-8.</w:t>
            </w:r>
          </w:p>
        </w:tc>
      </w:tr>
    </w:tbl>
    <w:p>
      <w:pPr>
        <w:spacing w:after="20"/>
      </w:pPr>
    </w:p>
    <w:p>
      <w:pPr>
        <w:pStyle w:val="Heading1"/>
        <w:keepNext/>
      </w:pPr>
      <w:r>
        <w:t>7. Alianzas tecnológicas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500"/>
        <w:gridCol w:w="2850"/>
        <w:gridCol w:w="2800"/>
        <w:gridCol w:w="2210"/>
      </w:tblGrid>
      <w:tr>
        <w:trPr>
          <w:tblHeader w:val="true"/>
          <w:cantSplit/>
        </w:trPr>
        <w:tc>
          <w:tcPr>
            <w:tcW w:type="dxa" w:w="1500"/>
            <w:shd w:fill="1F4E78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r>
              <w:rPr>
                <w:b/>
                <w:color w:val="FFFFFF"/>
                <w:sz w:val="18"/>
              </w:rPr>
              <w:t>Tipo</w:t>
            </w:r>
          </w:p>
        </w:tc>
        <w:tc>
          <w:tcPr>
            <w:tcW w:type="dxa" w:w="2850"/>
            <w:shd w:fill="1F4E78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r>
              <w:rPr>
                <w:b/>
                <w:color w:val="FFFFFF"/>
                <w:sz w:val="18"/>
              </w:rPr>
              <w:t>Entidad</w:t>
            </w:r>
          </w:p>
        </w:tc>
        <w:tc>
          <w:tcPr>
            <w:tcW w:type="dxa" w:w="2800"/>
            <w:shd w:fill="1F4E78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r>
              <w:rPr>
                <w:b/>
                <w:color w:val="FFFFFF"/>
                <w:sz w:val="18"/>
              </w:rPr>
              <w:t>Participación</w:t>
            </w:r>
          </w:p>
        </w:tc>
        <w:tc>
          <w:tcPr>
            <w:tcW w:type="dxa" w:w="2210"/>
            <w:shd w:fill="1F4E78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r>
              <w:rPr>
                <w:b/>
                <w:color w:val="FFFFFF"/>
                <w:sz w:val="18"/>
              </w:rPr>
              <w:t>Límite</w:t>
            </w:r>
          </w:p>
        </w:tc>
      </w:tr>
      <w:tr>
        <w:trPr>
          <w:cantSplit/>
        </w:trP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40" w:line="240" w:lineRule="auto"/>
            </w:pPr>
            <w:r>
              <w:rPr>
                <w:rFonts w:ascii="Calibri" w:hAnsi="Calibri"/>
                <w:sz w:val="16"/>
              </w:rPr>
              <w:t>Proveedor cloud</w:t>
            </w:r>
          </w:p>
        </w:tc>
        <w:tc>
          <w:tcPr>
            <w:tcW w:type="dxa" w:w="285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40" w:line="240" w:lineRule="auto"/>
            </w:pPr>
            <w:r>
              <w:rPr>
                <w:rFonts w:ascii="Calibri" w:hAnsi="Calibri"/>
                <w:sz w:val="16"/>
              </w:rPr>
              <w:t>Microsoft Azure</w:t>
            </w:r>
          </w:p>
        </w:tc>
        <w:tc>
          <w:tcPr>
            <w:tcW w:type="dxa" w:w="28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40" w:line="240" w:lineRule="auto"/>
            </w:pPr>
            <w:r>
              <w:rPr>
                <w:rFonts w:ascii="Calibri" w:hAnsi="Calibri"/>
                <w:sz w:val="16"/>
              </w:rPr>
              <w:t>Plataforma central en Chile Central y recuperación en Brazil South.</w:t>
            </w:r>
          </w:p>
        </w:tc>
        <w:tc>
          <w:tcPr>
            <w:tcW w:type="dxa" w:w="221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40" w:line="240" w:lineRule="auto"/>
            </w:pPr>
            <w:r>
              <w:rPr>
                <w:rFonts w:ascii="Calibri" w:hAnsi="Calibri"/>
                <w:sz w:val="16"/>
              </w:rPr>
              <w:t>OVERFORE mantiene responsabilidad integral.</w:t>
            </w:r>
          </w:p>
        </w:tc>
      </w:tr>
      <w:tr>
        <w:trPr>
          <w:cantSplit/>
        </w:trPr>
        <w:tc>
          <w:tcPr>
            <w:tcW w:type="dxa" w:w="1500"/>
            <w:shd w:fill="EEF4F8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40" w:line="240" w:lineRule="auto"/>
            </w:pPr>
            <w:r>
              <w:rPr>
                <w:rFonts w:ascii="Calibri" w:hAnsi="Calibri"/>
                <w:sz w:val="16"/>
              </w:rPr>
              <w:t>Socio cloud</w:t>
            </w:r>
          </w:p>
        </w:tc>
        <w:tc>
          <w:tcPr>
            <w:tcW w:type="dxa" w:w="2850"/>
            <w:shd w:fill="EEF4F8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40" w:line="240" w:lineRule="auto"/>
            </w:pPr>
            <w:r>
              <w:rPr>
                <w:rFonts w:ascii="Calibri" w:hAnsi="Calibri"/>
                <w:sz w:val="16"/>
              </w:rPr>
              <w:t>NubeAndes Cloud SpA (ficticia), Microsoft Solutions Partner para Infrastructure (Azure) en el escenario académico</w:t>
            </w:r>
          </w:p>
        </w:tc>
        <w:tc>
          <w:tcPr>
            <w:tcW w:type="dxa" w:w="2800"/>
            <w:shd w:fill="EEF4F8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40" w:line="240" w:lineRule="auto"/>
            </w:pPr>
            <w:r>
              <w:rPr>
                <w:rFonts w:ascii="Calibri" w:hAnsi="Calibri"/>
                <w:sz w:val="16"/>
              </w:rPr>
              <w:t>Landing zone, redes cloud, FinOps, soporte y recuperación regional.</w:t>
            </w:r>
          </w:p>
        </w:tc>
        <w:tc>
          <w:tcPr>
            <w:tcW w:type="dxa" w:w="2210"/>
            <w:shd w:fill="EEF4F8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40" w:line="240" w:lineRule="auto"/>
            </w:pPr>
            <w:r>
              <w:rPr>
                <w:rFonts w:ascii="Calibri" w:hAnsi="Calibri"/>
                <w:sz w:val="16"/>
              </w:rPr>
              <w:t>Carta de compromiso simulada; debe reemplazarse por evidencia real.</w:t>
            </w:r>
          </w:p>
        </w:tc>
      </w:tr>
      <w:tr>
        <w:trPr>
          <w:cantSplit/>
        </w:trP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40" w:line="240" w:lineRule="auto"/>
            </w:pPr>
            <w:r>
              <w:rPr>
                <w:rFonts w:ascii="Calibri" w:hAnsi="Calibri"/>
                <w:sz w:val="16"/>
              </w:rPr>
              <w:t>Socio TI/TO</w:t>
            </w:r>
          </w:p>
        </w:tc>
        <w:tc>
          <w:tcPr>
            <w:tcW w:type="dxa" w:w="285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40" w:line="240" w:lineRule="auto"/>
            </w:pPr>
            <w:r>
              <w:rPr>
                <w:rFonts w:ascii="Calibri" w:hAnsi="Calibri"/>
                <w:sz w:val="16"/>
              </w:rPr>
              <w:t>Integra OT Ltda. (ficticia)</w:t>
            </w:r>
          </w:p>
        </w:tc>
        <w:tc>
          <w:tcPr>
            <w:tcW w:type="dxa" w:w="28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40" w:line="240" w:lineRule="auto"/>
            </w:pPr>
            <w:r>
              <w:rPr>
                <w:rFonts w:ascii="Calibri" w:hAnsi="Calibri"/>
                <w:sz w:val="16"/>
              </w:rPr>
              <w:t>OPC UA, inventario de nodos, certificados, DMZ y evaluación IEC 62443.</w:t>
            </w:r>
          </w:p>
        </w:tc>
        <w:tc>
          <w:tcPr>
            <w:tcW w:type="dxa" w:w="221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40" w:line="240" w:lineRule="auto"/>
            </w:pPr>
            <w:r>
              <w:rPr>
                <w:rFonts w:ascii="Calibri" w:hAnsi="Calibri"/>
                <w:sz w:val="16"/>
              </w:rPr>
              <w:t>No modifica PLC/DCS ni lógica de control.</w:t>
            </w:r>
          </w:p>
        </w:tc>
      </w:tr>
      <w:tr>
        <w:trPr>
          <w:cantSplit/>
        </w:trPr>
        <w:tc>
          <w:tcPr>
            <w:tcW w:type="dxa" w:w="1500"/>
            <w:shd w:fill="EEF4F8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40" w:line="240" w:lineRule="auto"/>
            </w:pPr>
            <w:r>
              <w:rPr>
                <w:rFonts w:ascii="Calibri" w:hAnsi="Calibri"/>
                <w:sz w:val="16"/>
              </w:rPr>
              <w:t>Socio redes/terreno</w:t>
            </w:r>
          </w:p>
        </w:tc>
        <w:tc>
          <w:tcPr>
            <w:tcW w:type="dxa" w:w="2850"/>
            <w:shd w:fill="EEF4F8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40" w:line="240" w:lineRule="auto"/>
            </w:pPr>
            <w:r>
              <w:rPr>
                <w:rFonts w:ascii="Calibri" w:hAnsi="Calibri"/>
                <w:sz w:val="16"/>
              </w:rPr>
              <w:t>RedNorte Industrial SpA (ficticia)</w:t>
            </w:r>
          </w:p>
        </w:tc>
        <w:tc>
          <w:tcPr>
            <w:tcW w:type="dxa" w:w="2800"/>
            <w:shd w:fill="EEF4F8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40" w:line="240" w:lineRule="auto"/>
            </w:pPr>
            <w:r>
              <w:rPr>
                <w:rFonts w:ascii="Calibri" w:hAnsi="Calibri"/>
                <w:sz w:val="16"/>
              </w:rPr>
              <w:t>Estudio RF, equipos industriales, altura, repuestos y atención en faena.</w:t>
            </w:r>
          </w:p>
        </w:tc>
        <w:tc>
          <w:tcPr>
            <w:tcW w:type="dxa" w:w="2210"/>
            <w:shd w:fill="EEF4F8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40" w:line="240" w:lineRule="auto"/>
            </w:pPr>
            <w:r>
              <w:rPr>
                <w:rFonts w:ascii="Calibri" w:hAnsi="Calibri"/>
                <w:sz w:val="16"/>
              </w:rPr>
              <w:t>La construcción de la red del rajo sigue a cargo del CLIENTE.</w:t>
            </w:r>
          </w:p>
        </w:tc>
      </w:tr>
    </w:tbl>
    <w:p>
      <w:pPr>
        <w:spacing w:after="20"/>
      </w:pPr>
    </w:p>
    <w:p>
      <w:pPr>
        <w:pStyle w:val="Heading1"/>
        <w:keepNext/>
      </w:pPr>
      <w:r>
        <w:t>8. Experiencia relevante y transferibilidad</w:t>
      </w:r>
    </w:p>
    <w:p>
      <w:r>
        <w:t>El Formulario T-6 declara tres proyectos ficticios finalizados y en operación dentro de los últimos cinco años. Los sectores no son mineros deliberadamente: acreditan capacidades técnicas equivalentes sin afirmar experiencia minera inexistente. Los tres son híbridos y tienen SLA de 99,5% o superior.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800"/>
        <w:gridCol w:w="1500"/>
        <w:gridCol w:w="3400"/>
        <w:gridCol w:w="2660"/>
      </w:tblGrid>
      <w:tr>
        <w:trPr>
          <w:tblHeader w:val="true"/>
          <w:cantSplit/>
        </w:trPr>
        <w:tc>
          <w:tcPr>
            <w:tcW w:type="dxa" w:w="1800"/>
            <w:shd w:fill="1F4E78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r>
              <w:rPr>
                <w:b/>
                <w:color w:val="FFFFFF"/>
                <w:sz w:val="18"/>
              </w:rPr>
              <w:t>Proyecto</w:t>
            </w:r>
          </w:p>
        </w:tc>
        <w:tc>
          <w:tcPr>
            <w:tcW w:type="dxa" w:w="1500"/>
            <w:shd w:fill="1F4E78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r>
              <w:rPr>
                <w:b/>
                <w:color w:val="FFFFFF"/>
                <w:sz w:val="18"/>
              </w:rPr>
              <w:t>Industria</w:t>
            </w:r>
          </w:p>
        </w:tc>
        <w:tc>
          <w:tcPr>
            <w:tcW w:type="dxa" w:w="3400"/>
            <w:shd w:fill="1F4E78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r>
              <w:rPr>
                <w:b/>
                <w:color w:val="FFFFFF"/>
                <w:sz w:val="18"/>
              </w:rPr>
              <w:t>Capacidad demostrada</w:t>
            </w:r>
          </w:p>
        </w:tc>
        <w:tc>
          <w:tcPr>
            <w:tcW w:type="dxa" w:w="2660"/>
            <w:shd w:fill="1F4E78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r>
              <w:rPr>
                <w:b/>
                <w:color w:val="FFFFFF"/>
                <w:sz w:val="18"/>
              </w:rPr>
              <w:t>Transferencia al caso</w:t>
            </w:r>
          </w:p>
        </w:tc>
      </w:tr>
      <w:tr>
        <w:trPr>
          <w:cantSplit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40" w:line="240" w:lineRule="auto"/>
            </w:pPr>
            <w:r>
              <w:rPr>
                <w:rFonts w:ascii="Calibri" w:hAnsi="Calibri"/>
                <w:sz w:val="16"/>
              </w:rPr>
              <w:t>NexoPuerto (2023-2024)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40" w:line="240" w:lineRule="auto"/>
            </w:pPr>
            <w:r>
              <w:rPr>
                <w:rFonts w:ascii="Calibri" w:hAnsi="Calibri"/>
                <w:sz w:val="16"/>
              </w:rPr>
              <w:t>Logística portuaria</w:t>
            </w:r>
          </w:p>
        </w:tc>
        <w:tc>
          <w:tcPr>
            <w:tcW w:type="dxa" w:w="34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40" w:line="240" w:lineRule="auto"/>
            </w:pPr>
            <w:r>
              <w:rPr>
                <w:rFonts w:ascii="Calibri" w:hAnsi="Calibri"/>
                <w:sz w:val="16"/>
              </w:rPr>
              <w:t>RFID, básculas, carga a granel, captura offline, ERP/despacho y 1,8 M eventos/año.</w:t>
            </w:r>
          </w:p>
        </w:tc>
        <w:tc>
          <w:tcPr>
            <w:tcW w:type="dxa" w:w="26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40" w:line="240" w:lineRule="auto"/>
            </w:pPr>
            <w:r>
              <w:rPr>
                <w:rFonts w:ascii="Calibri" w:hAnsi="Calibri"/>
                <w:sz w:val="16"/>
              </w:rPr>
              <w:t>Acopio/embarque, pesaje, cadena de custodia y lote comercial.</w:t>
            </w:r>
          </w:p>
        </w:tc>
      </w:tr>
      <w:tr>
        <w:trPr>
          <w:cantSplit/>
        </w:trPr>
        <w:tc>
          <w:tcPr>
            <w:tcW w:type="dxa" w:w="1800"/>
            <w:shd w:fill="EEF4F8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40" w:line="240" w:lineRule="auto"/>
            </w:pPr>
            <w:r>
              <w:rPr>
                <w:rFonts w:ascii="Calibri" w:hAnsi="Calibri"/>
                <w:sz w:val="16"/>
              </w:rPr>
              <w:t>Planta Conecta (2022-2023)</w:t>
            </w:r>
          </w:p>
        </w:tc>
        <w:tc>
          <w:tcPr>
            <w:tcW w:type="dxa" w:w="1500"/>
            <w:shd w:fill="EEF4F8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40" w:line="240" w:lineRule="auto"/>
            </w:pPr>
            <w:r>
              <w:rPr>
                <w:rFonts w:ascii="Calibri" w:hAnsi="Calibri"/>
                <w:sz w:val="16"/>
              </w:rPr>
              <w:t>Manufactura de proceso</w:t>
            </w:r>
          </w:p>
        </w:tc>
        <w:tc>
          <w:tcPr>
            <w:tcW w:type="dxa" w:w="3400"/>
            <w:shd w:fill="EEF4F8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40" w:line="240" w:lineRule="auto"/>
            </w:pPr>
            <w:r>
              <w:rPr>
                <w:rFonts w:ascii="Calibri" w:hAnsi="Calibri"/>
                <w:sz w:val="16"/>
              </w:rPr>
              <w:t>OPC UA sólo lectura, edge industrial, 3.500 tags y detenciones.</w:t>
            </w:r>
          </w:p>
        </w:tc>
        <w:tc>
          <w:tcPr>
            <w:tcW w:type="dxa" w:w="2660"/>
            <w:shd w:fill="EEF4F8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40" w:line="240" w:lineRule="auto"/>
            </w:pPr>
            <w:r>
              <w:rPr>
                <w:rFonts w:ascii="Calibri" w:hAnsi="Calibri"/>
                <w:sz w:val="16"/>
              </w:rPr>
              <w:t>Historiador, balanza de alimentación, C-14 y segregación TI/TO.</w:t>
            </w:r>
          </w:p>
        </w:tc>
      </w:tr>
      <w:tr>
        <w:trPr>
          <w:cantSplit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40" w:line="240" w:lineRule="auto"/>
            </w:pPr>
            <w:r>
              <w:rPr>
                <w:rFonts w:ascii="Calibri" w:hAnsi="Calibri"/>
                <w:sz w:val="16"/>
              </w:rPr>
              <w:t>RedFrío 360 (2021-2022)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40" w:line="240" w:lineRule="auto"/>
            </w:pPr>
            <w:r>
              <w:rPr>
                <w:rFonts w:ascii="Calibri" w:hAnsi="Calibri"/>
                <w:sz w:val="16"/>
              </w:rPr>
              <w:t>Cadena de frío</w:t>
            </w:r>
          </w:p>
        </w:tc>
        <w:tc>
          <w:tcPr>
            <w:tcW w:type="dxa" w:w="34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40" w:line="240" w:lineRule="auto"/>
            </w:pPr>
            <w:r>
              <w:rPr>
                <w:rFonts w:ascii="Calibri" w:hAnsi="Calibri"/>
                <w:sz w:val="16"/>
              </w:rPr>
              <w:t>24 sitios, 75 gateways, 680 dispositivos, sincronización, DR y 99,5% SLA.</w:t>
            </w:r>
          </w:p>
        </w:tc>
        <w:tc>
          <w:tcPr>
            <w:tcW w:type="dxa" w:w="26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40" w:line="240" w:lineRule="auto"/>
            </w:pPr>
            <w:r>
              <w:rPr>
                <w:rFonts w:ascii="Calibri" w:hAnsi="Calibri"/>
                <w:sz w:val="16"/>
              </w:rPr>
              <w:t>48 h offline, relaves/puerto intermitentes y observabilidad unificada.</w:t>
            </w:r>
          </w:p>
        </w:tc>
      </w:tr>
    </w:tbl>
    <w:p>
      <w:pPr>
        <w:spacing w:after="20"/>
      </w:pP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cantSplit/>
        </w:trP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E2F0D9"/>
          </w:tcPr>
          <w:p>
            <w:pPr>
              <w:spacing w:after="0"/>
            </w:pPr>
            <w:r>
              <w:rPr>
                <w:b/>
                <w:color w:val="17365D"/>
              </w:rPr>
              <w:t xml:space="preserve">Brecha minera reconocida. </w:t>
            </w:r>
            <w:r>
              <w:t>Estas referencias no acreditan experiencia en faena minera. OVERFORE cubre la brecha mediante especialistas aliados, capacitación en Reglamento de Seguridad Minera, inducción y acreditación de contratista, examen de altura, levantamiento conjunto con mina/planta/metalurgia y validación del vocabulario sectorial antes de diseño detallado.</w:t>
            </w:r>
          </w:p>
        </w:tc>
      </w:tr>
    </w:tbl>
    <w:p>
      <w:pPr>
        <w:spacing w:after="20"/>
      </w:pPr>
    </w:p>
    <w:p>
      <w:pPr>
        <w:pStyle w:val="Heading1"/>
        <w:keepNext/>
      </w:pPr>
      <w:r>
        <w:t>9. Formulario T-6 - resumen de cumplimiento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700"/>
        <w:gridCol w:w="2100"/>
        <w:gridCol w:w="4560"/>
      </w:tblGrid>
      <w:tr>
        <w:trPr>
          <w:tblHeader w:val="true"/>
          <w:cantSplit/>
        </w:trPr>
        <w:tc>
          <w:tcPr>
            <w:tcW w:type="dxa" w:w="2700"/>
            <w:shd w:fill="1F4E78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r>
              <w:rPr>
                <w:b/>
                <w:color w:val="FFFFFF"/>
                <w:sz w:val="18"/>
              </w:rPr>
              <w:t>Criterio</w:t>
            </w:r>
          </w:p>
        </w:tc>
        <w:tc>
          <w:tcPr>
            <w:tcW w:type="dxa" w:w="2100"/>
            <w:shd w:fill="1F4E78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r>
              <w:rPr>
                <w:b/>
                <w:color w:val="FFFFFF"/>
                <w:sz w:val="18"/>
              </w:rPr>
              <w:t>Estado</w:t>
            </w:r>
          </w:p>
        </w:tc>
        <w:tc>
          <w:tcPr>
            <w:tcW w:type="dxa" w:w="4560"/>
            <w:shd w:fill="1F4E78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r>
              <w:rPr>
                <w:b/>
                <w:color w:val="FFFFFF"/>
                <w:sz w:val="18"/>
              </w:rPr>
              <w:t>Evidencia</w:t>
            </w:r>
          </w:p>
        </w:tc>
      </w:tr>
      <w:tr>
        <w:trPr>
          <w:cantSplit/>
        </w:trP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40" w:line="240" w:lineRule="auto"/>
            </w:pPr>
            <w:r>
              <w:rPr>
                <w:rFonts w:ascii="Calibri" w:hAnsi="Calibri"/>
                <w:sz w:val="17"/>
              </w:rPr>
              <w:t>Tres proyectos finalizados y en operación</w:t>
            </w:r>
          </w:p>
        </w:tc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40" w:line="240" w:lineRule="auto"/>
            </w:pPr>
            <w:r>
              <w:rPr>
                <w:rFonts w:ascii="Calibri" w:hAnsi="Calibri"/>
                <w:sz w:val="17"/>
              </w:rPr>
              <w:t>Sí, simulados: 2021-2024</w:t>
            </w:r>
          </w:p>
        </w:tc>
        <w:tc>
          <w:tcPr>
            <w:tcW w:type="dxa" w:w="45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40" w:line="240" w:lineRule="auto"/>
            </w:pPr>
            <w:r>
              <w:rPr>
                <w:rFonts w:ascii="Calibri" w:hAnsi="Calibri"/>
                <w:sz w:val="17"/>
              </w:rPr>
              <w:t>T-6, filas de fechas y estado.</w:t>
            </w:r>
          </w:p>
        </w:tc>
      </w:tr>
      <w:tr>
        <w:trPr>
          <w:cantSplit/>
        </w:trPr>
        <w:tc>
          <w:tcPr>
            <w:tcW w:type="dxa" w:w="2700"/>
            <w:shd w:fill="EEF4F8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40" w:line="240" w:lineRule="auto"/>
            </w:pPr>
            <w:r>
              <w:rPr>
                <w:rFonts w:ascii="Calibri" w:hAnsi="Calibri"/>
                <w:sz w:val="17"/>
              </w:rPr>
              <w:t>Últimos cinco años</w:t>
            </w:r>
          </w:p>
        </w:tc>
        <w:tc>
          <w:tcPr>
            <w:tcW w:type="dxa" w:w="2100"/>
            <w:shd w:fill="EEF4F8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40" w:line="240" w:lineRule="auto"/>
            </w:pPr>
            <w:r>
              <w:rPr>
                <w:rFonts w:ascii="Calibri" w:hAnsi="Calibri"/>
                <w:sz w:val="17"/>
              </w:rPr>
              <w:t>Sí</w:t>
            </w:r>
          </w:p>
        </w:tc>
        <w:tc>
          <w:tcPr>
            <w:tcW w:type="dxa" w:w="4560"/>
            <w:shd w:fill="EEF4F8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40" w:line="240" w:lineRule="auto"/>
            </w:pPr>
            <w:r>
              <w:rPr>
                <w:rFonts w:ascii="Calibri" w:hAnsi="Calibri"/>
                <w:sz w:val="17"/>
              </w:rPr>
              <w:t>Todos concluyen entre 2022 y 2024.</w:t>
            </w:r>
          </w:p>
        </w:tc>
      </w:tr>
      <w:tr>
        <w:trPr>
          <w:cantSplit/>
        </w:trP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40" w:line="240" w:lineRule="auto"/>
            </w:pPr>
            <w:r>
              <w:rPr>
                <w:rFonts w:ascii="Calibri" w:hAnsi="Calibri"/>
                <w:sz w:val="17"/>
              </w:rPr>
              <w:t>Arquitectura híbrida</w:t>
            </w:r>
          </w:p>
        </w:tc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40" w:line="240" w:lineRule="auto"/>
            </w:pPr>
            <w:r>
              <w:rPr>
                <w:rFonts w:ascii="Calibri" w:hAnsi="Calibri"/>
                <w:sz w:val="17"/>
              </w:rPr>
              <w:t>Sí, tres proyectos</w:t>
            </w:r>
          </w:p>
        </w:tc>
        <w:tc>
          <w:tcPr>
            <w:tcW w:type="dxa" w:w="45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40" w:line="240" w:lineRule="auto"/>
            </w:pPr>
            <w:r>
              <w:rPr>
                <w:rFonts w:ascii="Calibri" w:hAnsi="Calibri"/>
                <w:sz w:val="17"/>
              </w:rPr>
              <w:t>Azure + gateways/nodos on-premise.</w:t>
            </w:r>
          </w:p>
        </w:tc>
      </w:tr>
      <w:tr>
        <w:trPr>
          <w:cantSplit/>
        </w:trPr>
        <w:tc>
          <w:tcPr>
            <w:tcW w:type="dxa" w:w="2700"/>
            <w:shd w:fill="EEF4F8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40" w:line="240" w:lineRule="auto"/>
            </w:pPr>
            <w:r>
              <w:rPr>
                <w:rFonts w:ascii="Calibri" w:hAnsi="Calibri"/>
                <w:sz w:val="17"/>
              </w:rPr>
              <w:t>SLA &gt;=99,5%</w:t>
            </w:r>
          </w:p>
        </w:tc>
        <w:tc>
          <w:tcPr>
            <w:tcW w:type="dxa" w:w="2100"/>
            <w:shd w:fill="EEF4F8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40" w:line="240" w:lineRule="auto"/>
            </w:pPr>
            <w:r>
              <w:rPr>
                <w:rFonts w:ascii="Calibri" w:hAnsi="Calibri"/>
                <w:sz w:val="17"/>
              </w:rPr>
              <w:t>Sí, tres proyectos</w:t>
            </w:r>
          </w:p>
        </w:tc>
        <w:tc>
          <w:tcPr>
            <w:tcW w:type="dxa" w:w="4560"/>
            <w:shd w:fill="EEF4F8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40" w:line="240" w:lineRule="auto"/>
            </w:pPr>
            <w:r>
              <w:rPr>
                <w:rFonts w:ascii="Calibri" w:hAnsi="Calibri"/>
                <w:sz w:val="17"/>
              </w:rPr>
              <w:t>99,7%; 99,6%; 99,5%.</w:t>
            </w:r>
          </w:p>
        </w:tc>
      </w:tr>
      <w:tr>
        <w:trPr>
          <w:cantSplit/>
        </w:trP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40" w:line="240" w:lineRule="auto"/>
            </w:pPr>
            <w:r>
              <w:rPr>
                <w:rFonts w:ascii="Calibri" w:hAnsi="Calibri"/>
                <w:sz w:val="17"/>
              </w:rPr>
              <w:t>Volumen cuantificado</w:t>
            </w:r>
          </w:p>
        </w:tc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40" w:line="240" w:lineRule="auto"/>
            </w:pPr>
            <w:r>
              <w:rPr>
                <w:rFonts w:ascii="Calibri" w:hAnsi="Calibri"/>
                <w:sz w:val="17"/>
              </w:rPr>
              <w:t>Sí</w:t>
            </w:r>
          </w:p>
        </w:tc>
        <w:tc>
          <w:tcPr>
            <w:tcW w:type="dxa" w:w="45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40" w:line="240" w:lineRule="auto"/>
            </w:pPr>
            <w:r>
              <w:rPr>
                <w:rFonts w:ascii="Calibri" w:hAnsi="Calibri"/>
                <w:sz w:val="17"/>
              </w:rPr>
              <w:t>Eventos, tags, usuarios, gateways y dispositivos.</w:t>
            </w:r>
          </w:p>
        </w:tc>
      </w:tr>
      <w:tr>
        <w:trPr>
          <w:cantSplit/>
        </w:trPr>
        <w:tc>
          <w:tcPr>
            <w:tcW w:type="dxa" w:w="2700"/>
            <w:shd w:fill="EEF4F8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40" w:line="240" w:lineRule="auto"/>
            </w:pPr>
            <w:r>
              <w:rPr>
                <w:rFonts w:ascii="Calibri" w:hAnsi="Calibri"/>
                <w:sz w:val="17"/>
              </w:rPr>
              <w:t>Rol de OVERFORE</w:t>
            </w:r>
          </w:p>
        </w:tc>
        <w:tc>
          <w:tcPr>
            <w:tcW w:type="dxa" w:w="2100"/>
            <w:shd w:fill="EEF4F8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40" w:line="240" w:lineRule="auto"/>
            </w:pPr>
            <w:r>
              <w:rPr>
                <w:rFonts w:ascii="Calibri" w:hAnsi="Calibri"/>
                <w:sz w:val="17"/>
              </w:rPr>
              <w:t>Principal en tres; aliado OT en uno</w:t>
            </w:r>
          </w:p>
        </w:tc>
        <w:tc>
          <w:tcPr>
            <w:tcW w:type="dxa" w:w="4560"/>
            <w:shd w:fill="EEF4F8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40" w:line="240" w:lineRule="auto"/>
            </w:pPr>
            <w:r>
              <w:rPr>
                <w:rFonts w:ascii="Calibri" w:hAnsi="Calibri"/>
                <w:sz w:val="17"/>
              </w:rPr>
              <w:t>Responsabilidad explícita.</w:t>
            </w:r>
          </w:p>
        </w:tc>
      </w:tr>
      <w:tr>
        <w:trPr>
          <w:cantSplit/>
        </w:trP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40" w:line="240" w:lineRule="auto"/>
            </w:pPr>
            <w:r>
              <w:rPr>
                <w:rFonts w:ascii="Calibri" w:hAnsi="Calibri"/>
                <w:sz w:val="17"/>
              </w:rPr>
              <w:t>Contraparte verificable</w:t>
            </w:r>
          </w:p>
        </w:tc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40" w:line="240" w:lineRule="auto"/>
            </w:pPr>
            <w:r>
              <w:rPr>
                <w:rFonts w:ascii="Calibri" w:hAnsi="Calibri"/>
                <w:sz w:val="17"/>
              </w:rPr>
              <w:t>Sólo dentro del escenario académico</w:t>
            </w:r>
          </w:p>
        </w:tc>
        <w:tc>
          <w:tcPr>
            <w:tcW w:type="dxa" w:w="45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40" w:line="240" w:lineRule="auto"/>
            </w:pPr>
            <w:r>
              <w:rPr>
                <w:rFonts w:ascii="Calibri" w:hAnsi="Calibri"/>
                <w:sz w:val="17"/>
              </w:rPr>
              <w:t>Contactos ficticios con dominio .example; no usar fuera del curso.</w:t>
            </w:r>
          </w:p>
        </w:tc>
      </w:tr>
    </w:tbl>
    <w:p>
      <w:pPr>
        <w:spacing w:after="20"/>
      </w:pPr>
    </w:p>
    <w:p>
      <w:pPr>
        <w:pStyle w:val="Heading1"/>
        <w:keepNext/>
      </w:pPr>
      <w:r>
        <w:t>10. Modelo interno de calidad, seguridad y conocimiento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800"/>
        <w:gridCol w:w="1400"/>
        <w:gridCol w:w="4760"/>
        <w:gridCol w:w="1400"/>
      </w:tblGrid>
      <w:tr>
        <w:trPr>
          <w:tblHeader w:val="true"/>
          <w:cantSplit/>
        </w:trPr>
        <w:tc>
          <w:tcPr>
            <w:tcW w:type="dxa" w:w="1800"/>
            <w:shd w:fill="1F4E78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r>
              <w:rPr>
                <w:b/>
                <w:color w:val="FFFFFF"/>
                <w:sz w:val="18"/>
              </w:rPr>
              <w:t>Instancia</w:t>
            </w:r>
          </w:p>
        </w:tc>
        <w:tc>
          <w:tcPr>
            <w:tcW w:type="dxa" w:w="1400"/>
            <w:shd w:fill="1F4E78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r>
              <w:rPr>
                <w:b/>
                <w:color w:val="FFFFFF"/>
                <w:sz w:val="18"/>
              </w:rPr>
              <w:t>Frecuencia</w:t>
            </w:r>
          </w:p>
        </w:tc>
        <w:tc>
          <w:tcPr>
            <w:tcW w:type="dxa" w:w="4760"/>
            <w:shd w:fill="1F4E78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r>
              <w:rPr>
                <w:b/>
                <w:color w:val="FFFFFF"/>
                <w:sz w:val="18"/>
              </w:rPr>
              <w:t>Control / evidencia</w:t>
            </w:r>
          </w:p>
        </w:tc>
        <w:tc>
          <w:tcPr>
            <w:tcW w:type="dxa" w:w="1400"/>
            <w:shd w:fill="1F4E78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r>
              <w:rPr>
                <w:b/>
                <w:color w:val="FFFFFF"/>
                <w:sz w:val="18"/>
              </w:rPr>
              <w:t>Responsable</w:t>
            </w:r>
          </w:p>
        </w:tc>
      </w:tr>
      <w:tr>
        <w:trPr>
          <w:cantSplit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40" w:line="240" w:lineRule="auto"/>
            </w:pPr>
            <w:r>
              <w:rPr>
                <w:rFonts w:ascii="Calibri" w:hAnsi="Calibri"/>
                <w:sz w:val="16"/>
              </w:rPr>
              <w:t>Comité de proyecto</w:t>
            </w:r>
          </w:p>
        </w:tc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40" w:line="240" w:lineRule="auto"/>
            </w:pPr>
            <w:r>
              <w:rPr>
                <w:rFonts w:ascii="Calibri" w:hAnsi="Calibri"/>
                <w:sz w:val="16"/>
              </w:rPr>
              <w:t>Semanal</w:t>
            </w:r>
          </w:p>
        </w:tc>
        <w:tc>
          <w:tcPr>
            <w:tcW w:type="dxa" w:w="47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40" w:line="240" w:lineRule="auto"/>
            </w:pPr>
            <w:r>
              <w:rPr>
                <w:rFonts w:ascii="Calibri" w:hAnsi="Calibri"/>
                <w:sz w:val="16"/>
              </w:rPr>
              <w:t>Avance, riesgos, dependencias, decisiones y coherencia de subdocumentos.</w:t>
            </w:r>
          </w:p>
        </w:tc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40" w:line="240" w:lineRule="auto"/>
            </w:pPr>
            <w:r>
              <w:rPr>
                <w:rFonts w:ascii="Calibri" w:hAnsi="Calibri"/>
                <w:sz w:val="16"/>
              </w:rPr>
              <w:t>Claudio Cabello</w:t>
            </w:r>
          </w:p>
        </w:tc>
      </w:tr>
      <w:tr>
        <w:trPr>
          <w:cantSplit/>
        </w:trPr>
        <w:tc>
          <w:tcPr>
            <w:tcW w:type="dxa" w:w="1800"/>
            <w:shd w:fill="EEF4F8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40" w:line="240" w:lineRule="auto"/>
            </w:pPr>
            <w:r>
              <w:rPr>
                <w:rFonts w:ascii="Calibri" w:hAnsi="Calibri"/>
                <w:sz w:val="16"/>
              </w:rPr>
              <w:t>Consejo de arquitectura</w:t>
            </w:r>
          </w:p>
        </w:tc>
        <w:tc>
          <w:tcPr>
            <w:tcW w:type="dxa" w:w="1400"/>
            <w:shd w:fill="EEF4F8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40" w:line="240" w:lineRule="auto"/>
            </w:pPr>
            <w:r>
              <w:rPr>
                <w:rFonts w:ascii="Calibri" w:hAnsi="Calibri"/>
                <w:sz w:val="16"/>
              </w:rPr>
              <w:t>Por decisión relevante</w:t>
            </w:r>
          </w:p>
        </w:tc>
        <w:tc>
          <w:tcPr>
            <w:tcW w:type="dxa" w:w="4760"/>
            <w:shd w:fill="EEF4F8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40" w:line="240" w:lineRule="auto"/>
            </w:pPr>
            <w:r>
              <w:rPr>
                <w:rFonts w:ascii="Calibri" w:hAnsi="Calibri"/>
                <w:sz w:val="16"/>
              </w:rPr>
              <w:t>ADR fechado; revisión lógica, datos, física, seguridad y costos.</w:t>
            </w:r>
          </w:p>
        </w:tc>
        <w:tc>
          <w:tcPr>
            <w:tcW w:type="dxa" w:w="1400"/>
            <w:shd w:fill="EEF4F8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40" w:line="240" w:lineRule="auto"/>
            </w:pPr>
            <w:r>
              <w:rPr>
                <w:rFonts w:ascii="Calibri" w:hAnsi="Calibri"/>
                <w:sz w:val="16"/>
              </w:rPr>
              <w:t>Grupos 2 y 3</w:t>
            </w:r>
          </w:p>
        </w:tc>
      </w:tr>
      <w:tr>
        <w:trPr>
          <w:cantSplit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40" w:line="240" w:lineRule="auto"/>
            </w:pPr>
            <w:r>
              <w:rPr>
                <w:rFonts w:ascii="Calibri" w:hAnsi="Calibri"/>
                <w:sz w:val="16"/>
              </w:rPr>
              <w:t>Puerta de calidad</w:t>
            </w:r>
          </w:p>
        </w:tc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40" w:line="240" w:lineRule="auto"/>
            </w:pPr>
            <w:r>
              <w:rPr>
                <w:rFonts w:ascii="Calibri" w:hAnsi="Calibri"/>
                <w:sz w:val="16"/>
              </w:rPr>
              <w:t>Antes de cada entrega/hito</w:t>
            </w:r>
          </w:p>
        </w:tc>
        <w:tc>
          <w:tcPr>
            <w:tcW w:type="dxa" w:w="47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40" w:line="240" w:lineRule="auto"/>
            </w:pPr>
            <w:r>
              <w:rPr>
                <w:rFonts w:ascii="Calibri" w:hAnsi="Calibri"/>
                <w:sz w:val="16"/>
              </w:rPr>
              <w:t>Trazabilidad T-12, revisión cruzada, defectos, criterios de aceptación y control de versión.</w:t>
            </w:r>
          </w:p>
        </w:tc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40" w:line="240" w:lineRule="auto"/>
            </w:pPr>
            <w:r>
              <w:rPr>
                <w:rFonts w:ascii="Calibri" w:hAnsi="Calibri"/>
                <w:sz w:val="16"/>
              </w:rPr>
              <w:t>Grupo 1</w:t>
            </w:r>
          </w:p>
        </w:tc>
      </w:tr>
      <w:tr>
        <w:trPr>
          <w:cantSplit/>
        </w:trPr>
        <w:tc>
          <w:tcPr>
            <w:tcW w:type="dxa" w:w="1800"/>
            <w:shd w:fill="EEF4F8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40" w:line="240" w:lineRule="auto"/>
            </w:pPr>
            <w:r>
              <w:rPr>
                <w:rFonts w:ascii="Calibri" w:hAnsi="Calibri"/>
                <w:sz w:val="16"/>
              </w:rPr>
              <w:t>Revisión de seguridad</w:t>
            </w:r>
          </w:p>
        </w:tc>
        <w:tc>
          <w:tcPr>
            <w:tcW w:type="dxa" w:w="1400"/>
            <w:shd w:fill="EEF4F8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40" w:line="240" w:lineRule="auto"/>
            </w:pPr>
            <w:r>
              <w:rPr>
                <w:rFonts w:ascii="Calibri" w:hAnsi="Calibri"/>
                <w:sz w:val="16"/>
              </w:rPr>
              <w:t>Por release y trimestral</w:t>
            </w:r>
          </w:p>
        </w:tc>
        <w:tc>
          <w:tcPr>
            <w:tcW w:type="dxa" w:w="4760"/>
            <w:shd w:fill="EEF4F8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40" w:line="240" w:lineRule="auto"/>
            </w:pPr>
            <w:r>
              <w:rPr>
                <w:rFonts w:ascii="Calibri" w:hAnsi="Calibri"/>
                <w:sz w:val="16"/>
              </w:rPr>
              <w:t>Modelado de amenazas, vulnerabilidades, accesos, secretos, SBOM y hardening.</w:t>
            </w:r>
          </w:p>
        </w:tc>
        <w:tc>
          <w:tcPr>
            <w:tcW w:type="dxa" w:w="1400"/>
            <w:shd w:fill="EEF4F8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40" w:line="240" w:lineRule="auto"/>
            </w:pPr>
            <w:r>
              <w:rPr>
                <w:rFonts w:ascii="Calibri" w:hAnsi="Calibri"/>
                <w:sz w:val="16"/>
              </w:rPr>
              <w:t>Función seguridad</w:t>
            </w:r>
          </w:p>
        </w:tc>
      </w:tr>
      <w:tr>
        <w:trPr>
          <w:cantSplit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40" w:line="240" w:lineRule="auto"/>
            </w:pPr>
            <w:r>
              <w:rPr>
                <w:rFonts w:ascii="Calibri" w:hAnsi="Calibri"/>
                <w:sz w:val="16"/>
              </w:rPr>
              <w:t>Gestión de cambios</w:t>
            </w:r>
          </w:p>
        </w:tc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40" w:line="240" w:lineRule="auto"/>
            </w:pPr>
            <w:r>
              <w:rPr>
                <w:rFonts w:ascii="Calibri" w:hAnsi="Calibri"/>
                <w:sz w:val="16"/>
              </w:rPr>
              <w:t>Continua</w:t>
            </w:r>
          </w:p>
        </w:tc>
        <w:tc>
          <w:tcPr>
            <w:tcW w:type="dxa" w:w="47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40" w:line="240" w:lineRule="auto"/>
            </w:pPr>
            <w:r>
              <w:rPr>
                <w:rFonts w:ascii="Calibri" w:hAnsi="Calibri"/>
                <w:sz w:val="16"/>
              </w:rPr>
              <w:t>Repositorio del CLIENTE, revisión por pares, CI/CD, IaC y segregación de ambientes.</w:t>
            </w:r>
          </w:p>
        </w:tc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40" w:line="240" w:lineRule="auto"/>
            </w:pPr>
            <w:r>
              <w:rPr>
                <w:rFonts w:ascii="Calibri" w:hAnsi="Calibri"/>
                <w:sz w:val="16"/>
              </w:rPr>
              <w:t>Arquitectura/operación</w:t>
            </w:r>
          </w:p>
        </w:tc>
      </w:tr>
      <w:tr>
        <w:trPr>
          <w:cantSplit/>
        </w:trPr>
        <w:tc>
          <w:tcPr>
            <w:tcW w:type="dxa" w:w="1800"/>
            <w:shd w:fill="EEF4F8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40" w:line="240" w:lineRule="auto"/>
            </w:pPr>
            <w:r>
              <w:rPr>
                <w:rFonts w:ascii="Calibri" w:hAnsi="Calibri"/>
                <w:sz w:val="16"/>
              </w:rPr>
              <w:t>Gestión del conocimiento</w:t>
            </w:r>
          </w:p>
        </w:tc>
        <w:tc>
          <w:tcPr>
            <w:tcW w:type="dxa" w:w="1400"/>
            <w:shd w:fill="EEF4F8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40" w:line="240" w:lineRule="auto"/>
            </w:pPr>
            <w:r>
              <w:rPr>
                <w:rFonts w:ascii="Calibri" w:hAnsi="Calibri"/>
                <w:sz w:val="16"/>
              </w:rPr>
              <w:t>En cada hito</w:t>
            </w:r>
          </w:p>
        </w:tc>
        <w:tc>
          <w:tcPr>
            <w:tcW w:type="dxa" w:w="4760"/>
            <w:shd w:fill="EEF4F8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40" w:line="240" w:lineRule="auto"/>
            </w:pPr>
            <w:r>
              <w:rPr>
                <w:rFonts w:ascii="Calibri" w:hAnsi="Calibri"/>
                <w:sz w:val="16"/>
              </w:rPr>
              <w:t>Runbooks, manuales en español, decisiones, sesiones grabadas y transferencia al equipo de 11 personas.</w:t>
            </w:r>
          </w:p>
        </w:tc>
        <w:tc>
          <w:tcPr>
            <w:tcW w:type="dxa" w:w="1400"/>
            <w:shd w:fill="EEF4F8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40" w:line="240" w:lineRule="auto"/>
            </w:pPr>
            <w:r>
              <w:rPr>
                <w:rFonts w:ascii="Calibri" w:hAnsi="Calibri"/>
                <w:sz w:val="16"/>
              </w:rPr>
              <w:t>Todos los grupos</w:t>
            </w:r>
          </w:p>
        </w:tc>
      </w:tr>
      <w:tr>
        <w:trPr>
          <w:cantSplit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40" w:line="240" w:lineRule="auto"/>
            </w:pPr>
            <w:r>
              <w:rPr>
                <w:rFonts w:ascii="Calibri" w:hAnsi="Calibri"/>
                <w:sz w:val="16"/>
              </w:rPr>
              <w:t>Mejora operacional</w:t>
            </w:r>
          </w:p>
        </w:tc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40" w:line="240" w:lineRule="auto"/>
            </w:pPr>
            <w:r>
              <w:rPr>
                <w:rFonts w:ascii="Calibri" w:hAnsi="Calibri"/>
                <w:sz w:val="16"/>
              </w:rPr>
              <w:t>Mensual y post-incidente</w:t>
            </w:r>
          </w:p>
        </w:tc>
        <w:tc>
          <w:tcPr>
            <w:tcW w:type="dxa" w:w="47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40" w:line="240" w:lineRule="auto"/>
            </w:pPr>
            <w:r>
              <w:rPr>
                <w:rFonts w:ascii="Calibri" w:hAnsi="Calibri"/>
                <w:sz w:val="16"/>
              </w:rPr>
              <w:t>SLA, MTTR, cambios fallidos, causa raíz, capacidad y plan de acción.</w:t>
            </w:r>
          </w:p>
        </w:tc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40" w:line="240" w:lineRule="auto"/>
            </w:pPr>
            <w:r>
              <w:rPr>
                <w:rFonts w:ascii="Calibri" w:hAnsi="Calibri"/>
                <w:sz w:val="16"/>
              </w:rPr>
              <w:t>Operación/NOC/SOC</w:t>
            </w:r>
          </w:p>
        </w:tc>
      </w:tr>
    </w:tbl>
    <w:p>
      <w:pPr>
        <w:spacing w:after="20"/>
      </w:pPr>
    </w:p>
    <w:p>
      <w:pPr>
        <w:pStyle w:val="Heading1"/>
        <w:keepNext/>
      </w:pPr>
      <w:r>
        <w:t>11. Consistencia con la oferta técnica</w:t>
      </w:r>
    </w:p>
    <w:p>
      <w:pPr>
        <w:pStyle w:val="ListBullet"/>
      </w:pPr>
      <w:r>
        <w:t>El proveedor cloud y regiones coinciden con el Subdocumento 4.2 y T-11: Azure Chile Central y Brazil South.</w:t>
      </w:r>
    </w:p>
    <w:p>
      <w:pPr>
        <w:pStyle w:val="ListBullet"/>
      </w:pPr>
      <w:r>
        <w:t>Las capacidades de datos coinciden con el Subdocumento 5: PostgreSQL, TimescaleDB, ClickHouse, S3 compatible, OpenSearch, Redis y SQLite edge.</w:t>
      </w:r>
    </w:p>
    <w:p>
      <w:pPr>
        <w:pStyle w:val="ListBullet"/>
      </w:pPr>
      <w:r>
        <w:t>Las alianzas OT no crean escritura hacia historiador, PLC o DCS; C-14 permanece sólo lectura.</w:t>
      </w:r>
    </w:p>
    <w:p>
      <w:pPr>
        <w:pStyle w:val="ListBullet"/>
      </w:pPr>
      <w:r>
        <w:t>La experiencia T-6 no introduce componentes ni procesos fuera de C-01 a C-22.</w:t>
      </w:r>
    </w:p>
    <w:p>
      <w:pPr>
        <w:pStyle w:val="ListBullet"/>
      </w:pPr>
      <w:r>
        <w:t>La construcción de red del rajo y la compra masiva de hardware de terreno siguen a cargo del CLIENTE.</w:t>
      </w:r>
    </w:p>
    <w:p>
      <w:pPr>
        <w:pStyle w:val="ListBullet"/>
      </w:pPr>
      <w:r>
        <w:t>Las certificaciones se mantienen institucionales o por grupo hasta que T-8 asigne evidencia personal.</w:t>
      </w:r>
    </w:p>
    <w:p>
      <w:pPr>
        <w:pStyle w:val="ListBullet"/>
      </w:pPr>
      <w:r>
        <w:t>Todo antecedente simulado se encuentra marcado como tal.</w:t>
      </w:r>
    </w:p>
    <w:p>
      <w:pPr>
        <w:pStyle w:val="Heading1"/>
        <w:keepNext/>
      </w:pPr>
      <w:r>
        <w:t>12. Referencias</w:t>
      </w:r>
    </w:p>
    <w:p>
      <w:pPr>
        <w:pStyle w:val="ListBullet"/>
      </w:pPr>
      <w:r>
        <w:t>Pontificia Universidad Católica de Valparaíso. (2026). Bases Administrativas TFEP-01/2026, artículos 34 y formularios T-6/T-7.</w:t>
      </w:r>
    </w:p>
    <w:p>
      <w:pPr>
        <w:pStyle w:val="ListBullet"/>
      </w:pPr>
      <w:r>
        <w:t>Pontificia Universidad Católica de Valparaíso. (2026). Bases Técnicas Transversales TFEP-01/2026.</w:t>
      </w:r>
    </w:p>
    <w:p>
      <w:pPr>
        <w:pStyle w:val="ListBullet"/>
      </w:pPr>
      <w:r>
        <w:t>Pontificia Universidad Católica de Valparaíso. (2026). Caso 01 - Minería: Bases Técnicas del Caso.</w:t>
      </w:r>
    </w:p>
    <w:p>
      <w:pPr>
        <w:pStyle w:val="ListBullet"/>
      </w:pPr>
      <w:r>
        <w:t>OVERFORE S.A. (2026). Subdocumento 4.1 - Arquitectura Lógica, v4.2.</w:t>
      </w:r>
    </w:p>
    <w:p>
      <w:pPr>
        <w:pStyle w:val="ListBullet"/>
      </w:pPr>
      <w:r>
        <w:t>OVERFORE S.A. (2026). Subdocumento 4.2 - Arquitectura Física y Especificaciones, v1.1.</w:t>
      </w:r>
    </w:p>
    <w:p>
      <w:pPr>
        <w:pStyle w:val="ListBullet"/>
      </w:pPr>
      <w:r>
        <w:t>OVERFORE S.A. (2026). Subdocumento 5 - Modelo y gestión de datos, v2.1.</w:t>
      </w:r>
    </w:p>
    <w:p>
      <w:pPr>
        <w:pStyle w:val="ListBullet"/>
      </w:pPr>
      <w:r>
        <w:t>OVERFORE S.A. (2026). Formulario T-11, v1.0 y Matriz de Distribución Nube-Faena-CIO, v1.0.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color w:val="5B6573"/>
        <w:sz w:val="17"/>
      </w:rPr>
      <w:t xml:space="preserve">Presentación de la empresa | Página </w:t>
    </w:r>
    <w:r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b/>
        <w:color w:val="5B6573"/>
        <w:sz w:val="17"/>
      </w:rPr>
      <w:t>OVERFORE S.A. | TFEP-01/2026 | SUBDOCUMENTO 1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4" w:lineRule="auto"/>
    </w:pPr>
    <w:rPr>
      <w:rFonts w:ascii="Calibri" w:hAnsi="Calibri"/>
      <w:color w:val="1F2937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Calibri" w:hAnsi="Calibri"/>
      <w:b/>
      <w:bCs/>
      <w:color w:val="1F4E78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Calibri" w:hAnsi="Calibri"/>
      <w:b/>
      <w:bCs/>
      <w:color w:val="1F4E78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Calibri" w:hAnsi="Calibr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120" w:line="280" w:lineRule="auto"/>
      <w:contextualSpacing/>
    </w:pPr>
    <w:rPr>
      <w:rFonts w:ascii="Calibri" w:hAnsi="Calibri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120" w:line="280" w:lineRule="auto"/>
      <w:contextualSpacing/>
    </w:pPr>
    <w:rPr>
      <w:rFonts w:ascii="Calibri" w:hAnsi="Calibri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TableCaption">
    <w:name w:val="Table Caption"/>
    <w:pPr>
      <w:keepNext/>
      <w:spacing w:before="80" w:after="80"/>
    </w:pPr>
    <w:rPr>
      <w:rFonts w:ascii="Calibri" w:hAnsi="Calibri"/>
      <w:i/>
      <w:color w:val="5B6573"/>
      <w:sz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Subdocumento 1 - Presentación de la empresa</dc:title>
  <dc:subject>TFEP-01/2026 Caso 01 Minería</dc:subject>
  <dc:creator>OVERFORE S.A. - Grupo 3</dc:creator>
  <cp:keywords>empresa, capacidades, alianzas, certificaciones, T-6, Azure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