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b/>
          <w:color w:val="0D2B45"/>
          <w:sz w:val="38"/>
        </w:rPr>
        <w:t>Subdocumento 5 — Modelo y gestión de datos</w:t>
      </w:r>
    </w:p>
    <w:p>
      <w:pPr>
        <w:jc w:val="both"/>
      </w:pPr>
      <w:r>
        <w:rPr>
          <w:color w:val="5B6878"/>
          <w:sz w:val="23"/>
        </w:rPr>
        <w:t>Licitación TFEP-01/2026 · Caso 01 Minería · Compañía Minera Altos de Aranda S.A.</w:t>
      </w:r>
    </w:p>
    <w:tbl>
      <w:tblPr>
        <w:tblStyle w:val="TableGrid"/>
        <w:tblW w:type="auto" w:w="0"/>
        <w:jc w:val="center"/>
        <w:tblLook w:firstColumn="1" w:firstRow="1" w:lastColumn="0" w:lastRow="0" w:noHBand="0" w:noVBand="1" w:val="04A0"/>
      </w:tblPr>
      <w:tblGrid>
        <w:gridCol w:w="4876"/>
        <w:gridCol w:w="4876"/>
      </w:tblGrid>
      <w:tr>
        <w:tc>
          <w:tcPr>
            <w:tcW w:type="dxa" w:w="4876"/>
            <w:shd w:val="clear" w:fill="F4F7FB"/>
          </w:tcPr>
          <w:p>
            <w:pPr>
              <w:spacing w:after="20"/>
            </w:pPr>
            <w:r/>
            <w:r>
              <w:rPr>
                <w:sz w:val="17"/>
              </w:rPr>
              <w:t>Proponente</w:t>
            </w:r>
          </w:p>
        </w:tc>
        <w:tc>
          <w:tcPr>
            <w:tcW w:type="dxa" w:w="4876"/>
          </w:tcPr>
          <w:p>
            <w:pPr>
              <w:spacing w:after="20"/>
            </w:pPr>
            <w:r/>
            <w:r>
              <w:rPr>
                <w:sz w:val="17"/>
              </w:rPr>
              <w:t>OVERFORE S.A.</w:t>
            </w:r>
          </w:p>
        </w:tc>
      </w:tr>
      <w:tr>
        <w:tc>
          <w:tcPr>
            <w:tcW w:type="dxa" w:w="4876"/>
            <w:shd w:val="clear" w:fill="F4F7FB"/>
          </w:tcPr>
          <w:p>
            <w:pPr>
              <w:spacing w:after="20"/>
            </w:pPr>
            <w:r/>
            <w:r>
              <w:rPr>
                <w:sz w:val="17"/>
              </w:rPr>
              <w:t>Contenido</w:t>
            </w:r>
          </w:p>
        </w:tc>
        <w:tc>
          <w:tcPr>
            <w:tcW w:type="dxa" w:w="4876"/>
          </w:tcPr>
          <w:p>
            <w:pPr>
              <w:spacing w:after="20"/>
            </w:pPr>
            <w:r/>
            <w:r>
              <w:rPr>
                <w:sz w:val="17"/>
              </w:rPr>
              <w:t>Dominio de información · Selección del motor y del paradigma de persistencia · Estrategia de migración, saneamiento, validación y conciliación de los datos históricos · Estrategia de desempeño · Separación transaccional y analítica, y modelo de explotación · Calidad de datos, retención, archivado y eliminación segura</w:t>
            </w:r>
          </w:p>
        </w:tc>
      </w:tr>
      <w:tr>
        <w:tc>
          <w:tcPr>
            <w:tcW w:type="dxa" w:w="4876"/>
            <w:shd w:val="clear" w:fill="F4F7FB"/>
          </w:tcPr>
          <w:p>
            <w:pPr>
              <w:spacing w:after="20"/>
            </w:pPr>
            <w:r/>
            <w:r>
              <w:rPr>
                <w:sz w:val="17"/>
              </w:rPr>
              <w:t>Anexo</w:t>
            </w:r>
          </w:p>
        </w:tc>
        <w:tc>
          <w:tcPr>
            <w:tcW w:type="dxa" w:w="4876"/>
          </w:tcPr>
          <w:p>
            <w:pPr>
              <w:spacing w:after="20"/>
            </w:pPr>
            <w:r/>
            <w:r>
              <w:rPr>
                <w:sz w:val="17"/>
              </w:rPr>
              <w:t xml:space="preserve">Diccionario de datos: planilla </w:t>
            </w:r>
            <w:r>
              <w:rPr>
                <w:rFonts w:ascii="Consolas" w:hAnsi="Consolas"/>
                <w:sz w:val="15"/>
              </w:rPr>
              <w:t>Diccionario_Datos_Overfore_v2.1.xlsx</w:t>
            </w:r>
            <w:r>
              <w:rPr>
                <w:sz w:val="17"/>
              </w:rPr>
              <w:t>, con las hojas Diccionario, Entidades y Dominios</w:t>
            </w:r>
          </w:p>
        </w:tc>
      </w:tr>
      <w:tr>
        <w:tc>
          <w:tcPr>
            <w:tcW w:type="dxa" w:w="4876"/>
            <w:shd w:val="clear" w:fill="F4F7FB"/>
          </w:tcPr>
          <w:p>
            <w:pPr>
              <w:spacing w:after="20"/>
            </w:pPr>
            <w:r/>
            <w:r>
              <w:rPr>
                <w:sz w:val="17"/>
              </w:rPr>
              <w:t>Versión</w:t>
            </w:r>
          </w:p>
        </w:tc>
        <w:tc>
          <w:tcPr>
            <w:tcW w:type="dxa" w:w="4876"/>
          </w:tcPr>
          <w:p>
            <w:pPr>
              <w:spacing w:after="20"/>
            </w:pPr>
            <w:r/>
            <w:r>
              <w:rPr>
                <w:sz w:val="17"/>
              </w:rPr>
              <w:t>2.1 — 2 de septiembre de 2026. Revisión de consistencia del 4 de septiembre de 2026: se alinea el subdocumento con el anexo Diccionario de datos v2.1 vigente, que ya no lleva columna de linaje ni hoja «Decisiones 16.1»; se traslada al cuerpo el mapa de las catorce decisiones del numeral 16.1, incluida la n.º 14, que la hoja retirada no listaba; se corrige la premisa de partición del apartado 2.4 frente al doble carrier del Subdocumento 4.2 v1.1; y se alinean tres cifras del apartado 4.6 —concurrencia comprometida, dispositivos de terreno simultáneos y señales del historiador ingestadas— con RNF-CAP-004, con el Formulario T-11 v1.0 y con el numeral 14.1 del caso.</w:t>
            </w:r>
          </w:p>
        </w:tc>
      </w:tr>
    </w:tbl>
    <w:p>
      <w:pPr>
        <w:spacing w:after="40"/>
      </w:pPr>
    </w:p>
    <w:p>
      <w:pPr>
        <w:keepNext/>
        <w:spacing w:before="280" w:after="80"/>
      </w:pPr>
      <w:r>
        <w:rPr>
          <w:b/>
          <w:color w:val="0D2B45"/>
          <w:sz w:val="28"/>
        </w:rPr>
        <w:t>1. Dominio de información</w:t>
      </w:r>
    </w:p>
    <w:p>
      <w:pPr>
        <w:keepNext/>
        <w:spacing w:before="200" w:after="80"/>
      </w:pPr>
      <w:r>
        <w:rPr>
          <w:b/>
          <w:color w:val="1F4D75"/>
          <w:sz w:val="23"/>
        </w:rPr>
        <w:t>1.1 Los nueve dominios de datos</w:t>
      </w:r>
    </w:p>
    <w:p>
      <w:pPr>
        <w:jc w:val="both"/>
      </w:pPr>
      <w:r>
        <w:rPr>
          <w:sz w:val="20"/>
        </w:rPr>
        <w:t>El dominio de datos coincide con el límite de contexto de la arquitectura lógica: cada uno tiene un agregado raíz, un propietario funcional y una frontera declarada. Es la unidad sobre la que se declaran el paradigma de persistencia, la posición CAP y la retención.</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shd w:val="clear" w:fill="E7EEF6"/>
          </w:tcPr>
          <w:p>
            <w:pPr>
              <w:spacing w:after="20"/>
            </w:pPr>
            <w:r/>
            <w:r>
              <w:rPr>
                <w:b/>
                <w:sz w:val="17"/>
              </w:rPr>
              <w:t>Dominio</w:t>
            </w:r>
          </w:p>
        </w:tc>
        <w:tc>
          <w:tcPr>
            <w:tcW w:type="dxa" w:w="1950"/>
            <w:shd w:val="clear" w:fill="E7EEF6"/>
          </w:tcPr>
          <w:p>
            <w:pPr>
              <w:spacing w:after="20"/>
            </w:pPr>
            <w:r/>
            <w:r>
              <w:rPr>
                <w:b/>
                <w:sz w:val="17"/>
              </w:rPr>
              <w:t>Agregado raíz</w:t>
            </w:r>
          </w:p>
        </w:tc>
        <w:tc>
          <w:tcPr>
            <w:tcW w:type="dxa" w:w="1950"/>
            <w:shd w:val="clear" w:fill="E7EEF6"/>
          </w:tcPr>
          <w:p>
            <w:pPr>
              <w:spacing w:after="20"/>
            </w:pPr>
            <w:r/>
            <w:r>
              <w:rPr>
                <w:b/>
                <w:sz w:val="17"/>
              </w:rPr>
              <w:t>Qué contiene</w:t>
            </w:r>
          </w:p>
        </w:tc>
        <w:tc>
          <w:tcPr>
            <w:tcW w:type="dxa" w:w="1950"/>
            <w:shd w:val="clear" w:fill="E7EEF6"/>
          </w:tcPr>
          <w:p>
            <w:pPr>
              <w:spacing w:after="20"/>
            </w:pPr>
            <w:r/>
            <w:r>
              <w:rPr>
                <w:b/>
                <w:sz w:val="17"/>
              </w:rPr>
              <w:t>Propietario funcional</w:t>
            </w:r>
          </w:p>
        </w:tc>
        <w:tc>
          <w:tcPr>
            <w:tcW w:type="dxa" w:w="1950"/>
            <w:shd w:val="clear" w:fill="E7EEF6"/>
          </w:tcPr>
          <w:p>
            <w:pPr>
              <w:spacing w:after="20"/>
            </w:pPr>
            <w:r/>
            <w:r>
              <w:rPr>
                <w:b/>
                <w:sz w:val="17"/>
              </w:rPr>
              <w:t>Retención</w:t>
            </w:r>
          </w:p>
        </w:tc>
      </w:tr>
      <w:tr>
        <w:tc>
          <w:tcPr>
            <w:tcW w:type="dxa" w:w="1950"/>
          </w:tcPr>
          <w:p>
            <w:pPr>
              <w:spacing w:after="20"/>
            </w:pPr>
            <w:r/>
            <w:r>
              <w:rPr>
                <w:sz w:val="17"/>
              </w:rPr>
              <w:t>Mineral</w:t>
            </w:r>
          </w:p>
        </w:tc>
        <w:tc>
          <w:tcPr>
            <w:tcW w:type="dxa" w:w="1950"/>
          </w:tcPr>
          <w:p>
            <w:pPr>
              <w:spacing w:after="20"/>
            </w:pPr>
            <w:r/>
            <w:r>
              <w:rPr>
                <w:sz w:val="17"/>
              </w:rPr>
              <w:t>El viaje de camión de extracción</w:t>
            </w:r>
          </w:p>
        </w:tc>
        <w:tc>
          <w:tcPr>
            <w:tcW w:type="dxa" w:w="1950"/>
          </w:tcPr>
          <w:p>
            <w:pPr>
              <w:spacing w:after="20"/>
            </w:pPr>
            <w:r/>
            <w:r>
              <w:rPr>
                <w:sz w:val="17"/>
              </w:rPr>
              <w:t>Polígono, viaje, pesaje, stock, aporte, retoma, lote de chancado, lote comercial, plan versionado, conciliación</w:t>
            </w:r>
          </w:p>
        </w:tc>
        <w:tc>
          <w:tcPr>
            <w:tcW w:type="dxa" w:w="1950"/>
          </w:tcPr>
          <w:p>
            <w:pPr>
              <w:spacing w:after="20"/>
            </w:pPr>
            <w:r/>
            <w:r>
              <w:rPr>
                <w:sz w:val="17"/>
              </w:rPr>
              <w:t>Superintendencia de Planificación Minera y Gerencia de Operaciones Mina</w:t>
            </w:r>
          </w:p>
        </w:tc>
        <w:tc>
          <w:tcPr>
            <w:tcW w:type="dxa" w:w="1950"/>
          </w:tcPr>
          <w:p>
            <w:pPr>
              <w:spacing w:after="20"/>
            </w:pPr>
            <w:r/>
            <w:r>
              <w:rPr>
                <w:sz w:val="17"/>
              </w:rPr>
              <w:t>10 años</w:t>
            </w:r>
          </w:p>
        </w:tc>
      </w:tr>
      <w:tr>
        <w:tc>
          <w:tcPr>
            <w:tcW w:type="dxa" w:w="1950"/>
          </w:tcPr>
          <w:p>
            <w:pPr>
              <w:spacing w:after="20"/>
            </w:pPr>
            <w:r/>
            <w:r>
              <w:rPr>
                <w:sz w:val="17"/>
              </w:rPr>
              <w:t>Terreno</w:t>
            </w:r>
          </w:p>
        </w:tc>
        <w:tc>
          <w:tcPr>
            <w:tcW w:type="dxa" w:w="1950"/>
          </w:tcPr>
          <w:p>
            <w:pPr>
              <w:spacing w:after="20"/>
            </w:pPr>
            <w:r/>
            <w:r>
              <w:rPr>
                <w:sz w:val="17"/>
              </w:rPr>
              <w:t>El evento de terreno</w:t>
            </w:r>
          </w:p>
        </w:tc>
        <w:tc>
          <w:tcPr>
            <w:tcW w:type="dxa" w:w="1950"/>
          </w:tcPr>
          <w:p>
            <w:pPr>
              <w:spacing w:after="20"/>
            </w:pPr>
            <w:r/>
            <w:r>
              <w:rPr>
                <w:sz w:val="17"/>
              </w:rPr>
              <w:t>Evento firmado con identificador de dispositivo, sesión de operador, cola de sincronización</w:t>
            </w:r>
          </w:p>
        </w:tc>
        <w:tc>
          <w:tcPr>
            <w:tcW w:type="dxa" w:w="1950"/>
          </w:tcPr>
          <w:p>
            <w:pPr>
              <w:spacing w:after="20"/>
            </w:pPr>
            <w:r/>
            <w:r>
              <w:rPr>
                <w:sz w:val="17"/>
              </w:rPr>
              <w:t>Gerencia de Operaciones Mina</w:t>
            </w:r>
          </w:p>
        </w:tc>
        <w:tc>
          <w:tcPr>
            <w:tcW w:type="dxa" w:w="1950"/>
          </w:tcPr>
          <w:p>
            <w:pPr>
              <w:spacing w:after="20"/>
            </w:pPr>
            <w:r/>
            <w:r>
              <w:rPr>
                <w:sz w:val="17"/>
              </w:rPr>
              <w:t>5 años</w:t>
            </w:r>
          </w:p>
        </w:tc>
      </w:tr>
      <w:tr>
        <w:tc>
          <w:tcPr>
            <w:tcW w:type="dxa" w:w="1950"/>
          </w:tcPr>
          <w:p>
            <w:pPr>
              <w:spacing w:after="20"/>
            </w:pPr>
            <w:r/>
            <w:r>
              <w:rPr>
                <w:sz w:val="17"/>
              </w:rPr>
              <w:t>Personas</w:t>
            </w:r>
          </w:p>
        </w:tc>
        <w:tc>
          <w:tcPr>
            <w:tcW w:type="dxa" w:w="1950"/>
          </w:tcPr>
          <w:p>
            <w:pPr>
              <w:spacing w:after="20"/>
            </w:pPr>
            <w:r/>
            <w:r>
              <w:rPr>
                <w:sz w:val="17"/>
              </w:rPr>
              <w:t>La persona habilitada</w:t>
            </w:r>
          </w:p>
        </w:tc>
        <w:tc>
          <w:tcPr>
            <w:tcW w:type="dxa" w:w="1950"/>
          </w:tcPr>
          <w:p>
            <w:pPr>
              <w:spacing w:after="20"/>
            </w:pPr>
            <w:r/>
            <w:r>
              <w:rPr>
                <w:sz w:val="17"/>
              </w:rPr>
              <w:t>Persona, habilitación, credencial, empresa contratista</w:t>
            </w:r>
          </w:p>
        </w:tc>
        <w:tc>
          <w:tcPr>
            <w:tcW w:type="dxa" w:w="1950"/>
          </w:tcPr>
          <w:p>
            <w:pPr>
              <w:spacing w:after="20"/>
            </w:pPr>
            <w:r/>
            <w:r>
              <w:rPr>
                <w:sz w:val="17"/>
              </w:rPr>
              <w:t>Área de Seguridad y Salud Ocupacional</w:t>
            </w:r>
          </w:p>
        </w:tc>
        <w:tc>
          <w:tcPr>
            <w:tcW w:type="dxa" w:w="1950"/>
          </w:tcPr>
          <w:p>
            <w:pPr>
              <w:spacing w:after="20"/>
            </w:pPr>
            <w:r/>
            <w:r>
              <w:rPr>
                <w:sz w:val="17"/>
              </w:rPr>
              <w:t>10 años</w:t>
            </w:r>
          </w:p>
        </w:tc>
      </w:tr>
      <w:tr>
        <w:tc>
          <w:tcPr>
            <w:tcW w:type="dxa" w:w="1950"/>
          </w:tcPr>
          <w:p>
            <w:pPr>
              <w:spacing w:after="20"/>
            </w:pPr>
            <w:r/>
            <w:r>
              <w:rPr>
                <w:sz w:val="17"/>
              </w:rPr>
              <w:t>Calidad</w:t>
            </w:r>
          </w:p>
        </w:tc>
        <w:tc>
          <w:tcPr>
            <w:tcW w:type="dxa" w:w="1950"/>
          </w:tcPr>
          <w:p>
            <w:pPr>
              <w:spacing w:after="20"/>
            </w:pPr>
            <w:r/>
            <w:r>
              <w:rPr>
                <w:sz w:val="17"/>
              </w:rPr>
              <w:t>La muestra y su análisis</w:t>
            </w:r>
          </w:p>
        </w:tc>
        <w:tc>
          <w:tcPr>
            <w:tcW w:type="dxa" w:w="1950"/>
          </w:tcPr>
          <w:p>
            <w:pPr>
              <w:spacing w:after="20"/>
            </w:pPr>
            <w:r/>
            <w:r>
              <w:rPr>
                <w:sz w:val="17"/>
              </w:rPr>
              <w:t>Punto de muestreo, muestra, análisis, laboratorio, arbitraje</w:t>
            </w:r>
          </w:p>
        </w:tc>
        <w:tc>
          <w:tcPr>
            <w:tcW w:type="dxa" w:w="1950"/>
          </w:tcPr>
          <w:p>
            <w:pPr>
              <w:spacing w:after="20"/>
            </w:pPr>
            <w:r/>
            <w:r>
              <w:rPr>
                <w:sz w:val="17"/>
              </w:rPr>
              <w:t>Superintendencia de Planta Concentradora y Laboratorio</w:t>
            </w:r>
          </w:p>
        </w:tc>
        <w:tc>
          <w:tcPr>
            <w:tcW w:type="dxa" w:w="1950"/>
          </w:tcPr>
          <w:p>
            <w:pPr>
              <w:spacing w:after="20"/>
            </w:pPr>
            <w:r/>
            <w:r>
              <w:rPr>
                <w:sz w:val="17"/>
              </w:rPr>
              <w:t>10 años</w:t>
            </w:r>
          </w:p>
        </w:tc>
      </w:tr>
      <w:tr>
        <w:tc>
          <w:tcPr>
            <w:tcW w:type="dxa" w:w="1950"/>
          </w:tcPr>
          <w:p>
            <w:pPr>
              <w:spacing w:after="20"/>
            </w:pPr>
            <w:r/>
            <w:r>
              <w:rPr>
                <w:sz w:val="17"/>
              </w:rPr>
              <w:t>Activos</w:t>
            </w:r>
          </w:p>
        </w:tc>
        <w:tc>
          <w:tcPr>
            <w:tcW w:type="dxa" w:w="1950"/>
          </w:tcPr>
          <w:p>
            <w:pPr>
              <w:spacing w:after="20"/>
            </w:pPr>
            <w:r/>
            <w:r>
              <w:rPr>
                <w:sz w:val="17"/>
              </w:rPr>
              <w:t>El equipo y su línea de tiempo de estados</w:t>
            </w:r>
          </w:p>
        </w:tc>
        <w:tc>
          <w:tcPr>
            <w:tcW w:type="dxa" w:w="1950"/>
          </w:tcPr>
          <w:p>
            <w:pPr>
              <w:spacing w:after="20"/>
            </w:pPr>
            <w:r/>
            <w:r>
              <w:rPr>
                <w:sz w:val="17"/>
              </w:rPr>
              <w:t>Equipo, detención, turno, pauta de mantenimiento, alarma de fabricante</w:t>
            </w:r>
          </w:p>
        </w:tc>
        <w:tc>
          <w:tcPr>
            <w:tcW w:type="dxa" w:w="1950"/>
          </w:tcPr>
          <w:p>
            <w:pPr>
              <w:spacing w:after="20"/>
            </w:pPr>
            <w:r/>
            <w:r>
              <w:rPr>
                <w:sz w:val="17"/>
              </w:rPr>
              <w:t>Jefatura de Mantenimiento</w:t>
            </w:r>
          </w:p>
        </w:tc>
        <w:tc>
          <w:tcPr>
            <w:tcW w:type="dxa" w:w="1950"/>
          </w:tcPr>
          <w:p>
            <w:pPr>
              <w:spacing w:after="20"/>
            </w:pPr>
            <w:r/>
            <w:r>
              <w:rPr>
                <w:sz w:val="17"/>
              </w:rPr>
              <w:t>5 años</w:t>
            </w:r>
          </w:p>
        </w:tc>
      </w:tr>
      <w:tr>
        <w:tc>
          <w:tcPr>
            <w:tcW w:type="dxa" w:w="1950"/>
          </w:tcPr>
          <w:p>
            <w:pPr>
              <w:spacing w:after="20"/>
            </w:pPr>
            <w:r/>
            <w:r>
              <w:rPr>
                <w:sz w:val="17"/>
              </w:rPr>
              <w:t>Cumplimiento</w:t>
            </w:r>
          </w:p>
        </w:tc>
        <w:tc>
          <w:tcPr>
            <w:tcW w:type="dxa" w:w="1950"/>
          </w:tcPr>
          <w:p>
            <w:pPr>
              <w:spacing w:after="20"/>
            </w:pPr>
            <w:r/>
            <w:r>
              <w:rPr>
                <w:sz w:val="17"/>
              </w:rPr>
              <w:t>El compromiso y su evidencia</w:t>
            </w:r>
          </w:p>
        </w:tc>
        <w:tc>
          <w:tcPr>
            <w:tcW w:type="dxa" w:w="1950"/>
          </w:tcPr>
          <w:p>
            <w:pPr>
              <w:spacing w:after="20"/>
            </w:pPr>
            <w:r/>
            <w:r>
              <w:rPr>
                <w:sz w:val="17"/>
              </w:rPr>
              <w:t>Compromiso, medición ambiental, incidente, inspección, alerta de fatiga</w:t>
            </w:r>
          </w:p>
        </w:tc>
        <w:tc>
          <w:tcPr>
            <w:tcW w:type="dxa" w:w="1950"/>
          </w:tcPr>
          <w:p>
            <w:pPr>
              <w:spacing w:after="20"/>
            </w:pPr>
            <w:r/>
            <w:r>
              <w:rPr>
                <w:sz w:val="17"/>
              </w:rPr>
              <w:t>Gerencia de Sustentabilidad y Área de Seguridad y Salud Ocupacional</w:t>
            </w:r>
          </w:p>
        </w:tc>
        <w:tc>
          <w:tcPr>
            <w:tcW w:type="dxa" w:w="1950"/>
          </w:tcPr>
          <w:p>
            <w:pPr>
              <w:spacing w:after="20"/>
            </w:pPr>
            <w:r/>
            <w:r>
              <w:rPr>
                <w:sz w:val="17"/>
              </w:rPr>
              <w:t>10 años</w:t>
            </w:r>
          </w:p>
        </w:tc>
      </w:tr>
      <w:tr>
        <w:tc>
          <w:tcPr>
            <w:tcW w:type="dxa" w:w="1950"/>
          </w:tcPr>
          <w:p>
            <w:pPr>
              <w:spacing w:after="20"/>
            </w:pPr>
            <w:r/>
            <w:r>
              <w:rPr>
                <w:sz w:val="17"/>
              </w:rPr>
              <w:t>Comercial</w:t>
            </w:r>
          </w:p>
        </w:tc>
        <w:tc>
          <w:tcPr>
            <w:tcW w:type="dxa" w:w="1950"/>
          </w:tcPr>
          <w:p>
            <w:pPr>
              <w:spacing w:after="20"/>
            </w:pPr>
            <w:r/>
            <w:r>
              <w:rPr>
                <w:sz w:val="17"/>
              </w:rPr>
              <w:t>El certificado derivado de un lote embarcado</w:t>
            </w:r>
          </w:p>
        </w:tc>
        <w:tc>
          <w:tcPr>
            <w:tcW w:type="dxa" w:w="1950"/>
          </w:tcPr>
          <w:p>
            <w:pPr>
              <w:spacing w:after="20"/>
            </w:pPr>
            <w:r/>
            <w:r>
              <w:rPr>
                <w:sz w:val="17"/>
              </w:rPr>
              <w:t>Embarque, liquidación, certificado derivado, devolución de concentrado</w:t>
            </w:r>
          </w:p>
        </w:tc>
        <w:tc>
          <w:tcPr>
            <w:tcW w:type="dxa" w:w="1950"/>
          </w:tcPr>
          <w:p>
            <w:pPr>
              <w:spacing w:after="20"/>
            </w:pPr>
            <w:r/>
            <w:r>
              <w:rPr>
                <w:sz w:val="17"/>
              </w:rPr>
              <w:t>Área comercial</w:t>
            </w:r>
          </w:p>
        </w:tc>
        <w:tc>
          <w:tcPr>
            <w:tcW w:type="dxa" w:w="1950"/>
          </w:tcPr>
          <w:p>
            <w:pPr>
              <w:spacing w:after="20"/>
            </w:pPr>
            <w:r/>
            <w:r>
              <w:rPr>
                <w:sz w:val="17"/>
              </w:rPr>
              <w:t>10 años</w:t>
            </w:r>
          </w:p>
        </w:tc>
      </w:tr>
      <w:tr>
        <w:tc>
          <w:tcPr>
            <w:tcW w:type="dxa" w:w="1950"/>
          </w:tcPr>
          <w:p>
            <w:pPr>
              <w:spacing w:after="20"/>
            </w:pPr>
            <w:r/>
            <w:r>
              <w:rPr>
                <w:sz w:val="17"/>
              </w:rPr>
              <w:t>Analítico</w:t>
            </w:r>
          </w:p>
        </w:tc>
        <w:tc>
          <w:tcPr>
            <w:tcW w:type="dxa" w:w="1950"/>
          </w:tcPr>
          <w:p>
            <w:pPr>
              <w:spacing w:after="20"/>
            </w:pPr>
            <w:r/>
            <w:r>
              <w:rPr>
                <w:sz w:val="17"/>
              </w:rPr>
              <w:t>El indicador con su definición versionada</w:t>
            </w:r>
          </w:p>
        </w:tc>
        <w:tc>
          <w:tcPr>
            <w:tcW w:type="dxa" w:w="1950"/>
          </w:tcPr>
          <w:p>
            <w:pPr>
              <w:spacing w:after="20"/>
            </w:pPr>
            <w:r/>
            <w:r>
              <w:rPr>
                <w:sz w:val="17"/>
              </w:rPr>
              <w:t>Indicadores por turno, conciliación, series de cumplimiento</w:t>
            </w:r>
          </w:p>
        </w:tc>
        <w:tc>
          <w:tcPr>
            <w:tcW w:type="dxa" w:w="1950"/>
          </w:tcPr>
          <w:p>
            <w:pPr>
              <w:spacing w:after="20"/>
            </w:pPr>
            <w:r/>
            <w:r>
              <w:rPr>
                <w:sz w:val="17"/>
              </w:rPr>
              <w:t>Centro Integrado de Operaciones</w:t>
            </w:r>
          </w:p>
        </w:tc>
        <w:tc>
          <w:tcPr>
            <w:tcW w:type="dxa" w:w="1950"/>
          </w:tcPr>
          <w:p>
            <w:pPr>
              <w:spacing w:after="20"/>
            </w:pPr>
            <w:r/>
            <w:r>
              <w:rPr>
                <w:sz w:val="17"/>
              </w:rPr>
              <w:t>5 años</w:t>
            </w:r>
          </w:p>
        </w:tc>
      </w:tr>
      <w:tr>
        <w:tc>
          <w:tcPr>
            <w:tcW w:type="dxa" w:w="1950"/>
          </w:tcPr>
          <w:p>
            <w:pPr>
              <w:spacing w:after="20"/>
            </w:pPr>
            <w:r/>
            <w:r>
              <w:rPr>
                <w:sz w:val="17"/>
              </w:rPr>
              <w:t>Plataforma</w:t>
            </w:r>
          </w:p>
        </w:tc>
        <w:tc>
          <w:tcPr>
            <w:tcW w:type="dxa" w:w="1950"/>
          </w:tcPr>
          <w:p>
            <w:pPr>
              <w:spacing w:after="20"/>
            </w:pPr>
            <w:r/>
            <w:r>
              <w:rPr>
                <w:sz w:val="17"/>
              </w:rPr>
              <w:t>El parámetro versionado y el asiento de auditoría</w:t>
            </w:r>
          </w:p>
        </w:tc>
        <w:tc>
          <w:tcPr>
            <w:tcW w:type="dxa" w:w="1950"/>
          </w:tcPr>
          <w:p>
            <w:pPr>
              <w:spacing w:after="20"/>
            </w:pPr>
            <w:r/>
            <w:r>
              <w:rPr>
                <w:sz w:val="17"/>
              </w:rPr>
              <w:t>Parámetro y regla con vigencia, asiento de auditoría, dispositivo inventariado</w:t>
            </w:r>
          </w:p>
        </w:tc>
        <w:tc>
          <w:tcPr>
            <w:tcW w:type="dxa" w:w="1950"/>
          </w:tcPr>
          <w:p>
            <w:pPr>
              <w:spacing w:after="20"/>
            </w:pPr>
            <w:r/>
            <w:r>
              <w:rPr>
                <w:sz w:val="17"/>
              </w:rPr>
              <w:t>Equipo de tecnologías de información del CLIENTE</w:t>
            </w:r>
          </w:p>
        </w:tc>
        <w:tc>
          <w:tcPr>
            <w:tcW w:type="dxa" w:w="1950"/>
          </w:tcPr>
          <w:p>
            <w:pPr>
              <w:spacing w:after="20"/>
            </w:pPr>
            <w:r/>
            <w:r>
              <w:rPr>
                <w:sz w:val="17"/>
              </w:rPr>
              <w:t>10 años</w:t>
            </w:r>
          </w:p>
        </w:tc>
      </w:tr>
    </w:tbl>
    <w:p>
      <w:pPr>
        <w:spacing w:after="40"/>
      </w:pPr>
    </w:p>
    <w:p>
      <w:pPr>
        <w:keepNext/>
        <w:spacing w:before="200" w:after="80"/>
      </w:pPr>
      <w:r>
        <w:rPr>
          <w:b/>
          <w:color w:val="1F4D75"/>
          <w:sz w:val="23"/>
        </w:rPr>
        <w:t>1.2 Entidades</w:t>
      </w:r>
    </w:p>
    <w:p>
      <w:pPr>
        <w:jc w:val="both"/>
      </w:pPr>
      <w:r>
        <w:rPr>
          <w:sz w:val="20"/>
        </w:rPr>
        <w:t>Cuarenta y dos entidades: treinta principales, nueve de soporte y tres asociativas. El diccionario de datos, con el nombre, el tipo, el dominio de valores, la obligatoriedad, el propietario y la sensibilidad de cada atributo, se entrega en la planilla anexa, en los términos que exige el RT-05.01. El linaje no es atributo del diccionario: viaja con el dato como identificador de correlación del evento de origen (apartado 5.2) y se mide como indicador de calidad en el apartado 6.1.</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Dominio</w:t>
            </w:r>
          </w:p>
        </w:tc>
        <w:tc>
          <w:tcPr>
            <w:tcW w:type="dxa" w:w="3251"/>
            <w:shd w:val="clear" w:fill="E7EEF6"/>
          </w:tcPr>
          <w:p>
            <w:pPr>
              <w:spacing w:after="20"/>
            </w:pPr>
            <w:r/>
            <w:r>
              <w:rPr>
                <w:b/>
                <w:sz w:val="17"/>
              </w:rPr>
              <w:t>Entidades principales</w:t>
            </w:r>
          </w:p>
        </w:tc>
        <w:tc>
          <w:tcPr>
            <w:tcW w:type="dxa" w:w="3251"/>
            <w:shd w:val="clear" w:fill="E7EEF6"/>
          </w:tcPr>
          <w:p>
            <w:pPr>
              <w:spacing w:after="20"/>
            </w:pPr>
            <w:r/>
            <w:r>
              <w:rPr>
                <w:b/>
                <w:sz w:val="17"/>
              </w:rPr>
              <w:t>De soporte y asociativas</w:t>
            </w:r>
          </w:p>
        </w:tc>
      </w:tr>
      <w:tr>
        <w:tc>
          <w:tcPr>
            <w:tcW w:type="dxa" w:w="3251"/>
          </w:tcPr>
          <w:p>
            <w:pPr>
              <w:spacing w:after="20"/>
            </w:pPr>
            <w:r/>
            <w:r>
              <w:rPr>
                <w:sz w:val="17"/>
              </w:rPr>
              <w:t>Mineral</w:t>
            </w:r>
          </w:p>
        </w:tc>
        <w:tc>
          <w:tcPr>
            <w:tcW w:type="dxa" w:w="3251"/>
          </w:tcPr>
          <w:p>
            <w:pPr>
              <w:spacing w:after="20"/>
            </w:pPr>
            <w:r/>
            <w:r>
              <w:rPr>
                <w:sz w:val="17"/>
              </w:rPr>
              <w:t>Polígono · Viaje · Pesaje · Stock · Aporte a stock · Retoma de stock · Lote de chancado · Lote comercial · Plan minero (versión) · Conciliación</w:t>
            </w:r>
          </w:p>
        </w:tc>
        <w:tc>
          <w:tcPr>
            <w:tcW w:type="dxa" w:w="3251"/>
          </w:tcPr>
          <w:p>
            <w:pPr>
              <w:spacing w:after="20"/>
            </w:pPr>
            <w:r/>
            <w:r>
              <w:rPr>
                <w:sz w:val="17"/>
              </w:rPr>
              <w:t>Composición de lote · Origen de retoma</w:t>
            </w:r>
          </w:p>
        </w:tc>
      </w:tr>
      <w:tr>
        <w:tc>
          <w:tcPr>
            <w:tcW w:type="dxa" w:w="3251"/>
          </w:tcPr>
          <w:p>
            <w:pPr>
              <w:spacing w:after="20"/>
            </w:pPr>
            <w:r/>
            <w:r>
              <w:rPr>
                <w:sz w:val="17"/>
              </w:rPr>
              <w:t>Terreno</w:t>
            </w:r>
          </w:p>
        </w:tc>
        <w:tc>
          <w:tcPr>
            <w:tcW w:type="dxa" w:w="3251"/>
          </w:tcPr>
          <w:p>
            <w:pPr>
              <w:spacing w:after="20"/>
            </w:pPr>
            <w:r/>
            <w:r>
              <w:rPr>
                <w:sz w:val="17"/>
              </w:rPr>
              <w:t>Evento de terreno · Sesión de operador</w:t>
            </w:r>
          </w:p>
        </w:tc>
        <w:tc>
          <w:tcPr>
            <w:tcW w:type="dxa" w:w="3251"/>
          </w:tcPr>
          <w:p>
            <w:pPr>
              <w:spacing w:after="20"/>
            </w:pPr>
            <w:r/>
            <w:r>
              <w:rPr>
                <w:sz w:val="17"/>
              </w:rPr>
              <w:t>—</w:t>
            </w:r>
          </w:p>
        </w:tc>
      </w:tr>
      <w:tr>
        <w:tc>
          <w:tcPr>
            <w:tcW w:type="dxa" w:w="3251"/>
          </w:tcPr>
          <w:p>
            <w:pPr>
              <w:spacing w:after="20"/>
            </w:pPr>
            <w:r/>
            <w:r>
              <w:rPr>
                <w:sz w:val="17"/>
              </w:rPr>
              <w:t>Personas</w:t>
            </w:r>
          </w:p>
        </w:tc>
        <w:tc>
          <w:tcPr>
            <w:tcW w:type="dxa" w:w="3251"/>
          </w:tcPr>
          <w:p>
            <w:pPr>
              <w:spacing w:after="20"/>
            </w:pPr>
            <w:r/>
            <w:r>
              <w:rPr>
                <w:sz w:val="17"/>
              </w:rPr>
              <w:t>Persona · Habilitación · Empresa contratista</w:t>
            </w:r>
          </w:p>
        </w:tc>
        <w:tc>
          <w:tcPr>
            <w:tcW w:type="dxa" w:w="3251"/>
          </w:tcPr>
          <w:p>
            <w:pPr>
              <w:spacing w:after="20"/>
            </w:pPr>
            <w:r/>
            <w:r>
              <w:rPr>
                <w:sz w:val="17"/>
              </w:rPr>
              <w:t>Credencial</w:t>
            </w:r>
          </w:p>
        </w:tc>
      </w:tr>
      <w:tr>
        <w:tc>
          <w:tcPr>
            <w:tcW w:type="dxa" w:w="3251"/>
          </w:tcPr>
          <w:p>
            <w:pPr>
              <w:spacing w:after="20"/>
            </w:pPr>
            <w:r/>
            <w:r>
              <w:rPr>
                <w:sz w:val="17"/>
              </w:rPr>
              <w:t>Calidad</w:t>
            </w:r>
          </w:p>
        </w:tc>
        <w:tc>
          <w:tcPr>
            <w:tcW w:type="dxa" w:w="3251"/>
          </w:tcPr>
          <w:p>
            <w:pPr>
              <w:spacing w:after="20"/>
            </w:pPr>
            <w:r/>
            <w:r>
              <w:rPr>
                <w:sz w:val="17"/>
              </w:rPr>
              <w:t>Muestra · Análisis · Arbitraje de laboratorio</w:t>
            </w:r>
          </w:p>
        </w:tc>
        <w:tc>
          <w:tcPr>
            <w:tcW w:type="dxa" w:w="3251"/>
          </w:tcPr>
          <w:p>
            <w:pPr>
              <w:spacing w:after="20"/>
            </w:pPr>
            <w:r/>
            <w:r>
              <w:rPr>
                <w:sz w:val="17"/>
              </w:rPr>
              <w:t>Punto de muestreo · Laboratorio</w:t>
            </w:r>
          </w:p>
        </w:tc>
      </w:tr>
      <w:tr>
        <w:tc>
          <w:tcPr>
            <w:tcW w:type="dxa" w:w="3251"/>
          </w:tcPr>
          <w:p>
            <w:pPr>
              <w:spacing w:after="20"/>
            </w:pPr>
            <w:r/>
            <w:r>
              <w:rPr>
                <w:sz w:val="17"/>
              </w:rPr>
              <w:t>Activos</w:t>
            </w:r>
          </w:p>
        </w:tc>
        <w:tc>
          <w:tcPr>
            <w:tcW w:type="dxa" w:w="3251"/>
          </w:tcPr>
          <w:p>
            <w:pPr>
              <w:spacing w:after="20"/>
            </w:pPr>
            <w:r/>
            <w:r>
              <w:rPr>
                <w:sz w:val="17"/>
              </w:rPr>
              <w:t>Equipo · Detención · Turno</w:t>
            </w:r>
          </w:p>
        </w:tc>
        <w:tc>
          <w:tcPr>
            <w:tcW w:type="dxa" w:w="3251"/>
          </w:tcPr>
          <w:p>
            <w:pPr>
              <w:spacing w:after="20"/>
            </w:pPr>
            <w:r/>
            <w:r>
              <w:rPr>
                <w:sz w:val="17"/>
              </w:rPr>
              <w:t>Pauta de mantenimiento · Alarma de fabricante</w:t>
            </w:r>
          </w:p>
        </w:tc>
      </w:tr>
      <w:tr>
        <w:tc>
          <w:tcPr>
            <w:tcW w:type="dxa" w:w="3251"/>
          </w:tcPr>
          <w:p>
            <w:pPr>
              <w:spacing w:after="20"/>
            </w:pPr>
            <w:r/>
            <w:r>
              <w:rPr>
                <w:sz w:val="17"/>
              </w:rPr>
              <w:t>Cumplimiento</w:t>
            </w:r>
          </w:p>
        </w:tc>
        <w:tc>
          <w:tcPr>
            <w:tcW w:type="dxa" w:w="3251"/>
          </w:tcPr>
          <w:p>
            <w:pPr>
              <w:spacing w:after="20"/>
            </w:pPr>
            <w:r/>
            <w:r>
              <w:rPr>
                <w:sz w:val="17"/>
              </w:rPr>
              <w:t>Compromiso · Medición ambiental · Incidente · Inspección</w:t>
            </w:r>
          </w:p>
        </w:tc>
        <w:tc>
          <w:tcPr>
            <w:tcW w:type="dxa" w:w="3251"/>
          </w:tcPr>
          <w:p>
            <w:pPr>
              <w:spacing w:after="20"/>
            </w:pPr>
            <w:r/>
            <w:r>
              <w:rPr>
                <w:sz w:val="17"/>
              </w:rPr>
              <w:t>Alerta de fatiga · Participación en incidente</w:t>
            </w:r>
          </w:p>
        </w:tc>
      </w:tr>
      <w:tr>
        <w:tc>
          <w:tcPr>
            <w:tcW w:type="dxa" w:w="3251"/>
          </w:tcPr>
          <w:p>
            <w:pPr>
              <w:spacing w:after="20"/>
            </w:pPr>
            <w:r/>
            <w:r>
              <w:rPr>
                <w:sz w:val="17"/>
              </w:rPr>
              <w:t>Comercial</w:t>
            </w:r>
          </w:p>
        </w:tc>
        <w:tc>
          <w:tcPr>
            <w:tcW w:type="dxa" w:w="3251"/>
          </w:tcPr>
          <w:p>
            <w:pPr>
              <w:spacing w:after="20"/>
            </w:pPr>
            <w:r/>
            <w:r>
              <w:rPr>
                <w:sz w:val="17"/>
              </w:rPr>
              <w:t>Embarque · Certificado derivado · Devolución de concentrado</w:t>
            </w:r>
          </w:p>
        </w:tc>
        <w:tc>
          <w:tcPr>
            <w:tcW w:type="dxa" w:w="3251"/>
          </w:tcPr>
          <w:p>
            <w:pPr>
              <w:spacing w:after="20"/>
            </w:pPr>
            <w:r/>
            <w:r>
              <w:rPr>
                <w:sz w:val="17"/>
              </w:rPr>
              <w:t>Liquidación</w:t>
            </w:r>
          </w:p>
        </w:tc>
      </w:tr>
      <w:tr>
        <w:tc>
          <w:tcPr>
            <w:tcW w:type="dxa" w:w="3251"/>
          </w:tcPr>
          <w:p>
            <w:pPr>
              <w:spacing w:after="20"/>
            </w:pPr>
            <w:r/>
            <w:r>
              <w:rPr>
                <w:sz w:val="17"/>
              </w:rPr>
              <w:t>Analítico</w:t>
            </w:r>
          </w:p>
        </w:tc>
        <w:tc>
          <w:tcPr>
            <w:tcW w:type="dxa" w:w="3251"/>
          </w:tcPr>
          <w:p>
            <w:pPr>
              <w:spacing w:after="20"/>
            </w:pPr>
            <w:r/>
            <w:r>
              <w:rPr>
                <w:sz w:val="17"/>
              </w:rPr>
              <w:t>Indicador (definición versionada)</w:t>
            </w:r>
          </w:p>
        </w:tc>
        <w:tc>
          <w:tcPr>
            <w:tcW w:type="dxa" w:w="3251"/>
          </w:tcPr>
          <w:p>
            <w:pPr>
              <w:spacing w:after="20"/>
            </w:pPr>
            <w:r/>
            <w:r>
              <w:rPr>
                <w:sz w:val="17"/>
              </w:rPr>
              <w:t>—</w:t>
            </w:r>
          </w:p>
        </w:tc>
      </w:tr>
      <w:tr>
        <w:tc>
          <w:tcPr>
            <w:tcW w:type="dxa" w:w="3251"/>
          </w:tcPr>
          <w:p>
            <w:pPr>
              <w:spacing w:after="20"/>
            </w:pPr>
            <w:r/>
            <w:r>
              <w:rPr>
                <w:sz w:val="17"/>
              </w:rPr>
              <w:t>Plataforma</w:t>
            </w:r>
          </w:p>
        </w:tc>
        <w:tc>
          <w:tcPr>
            <w:tcW w:type="dxa" w:w="3251"/>
          </w:tcPr>
          <w:p>
            <w:pPr>
              <w:spacing w:after="20"/>
            </w:pPr>
            <w:r/>
            <w:r>
              <w:rPr>
                <w:sz w:val="17"/>
              </w:rPr>
              <w:t>Parámetro / Regla</w:t>
            </w:r>
          </w:p>
        </w:tc>
        <w:tc>
          <w:tcPr>
            <w:tcW w:type="dxa" w:w="3251"/>
          </w:tcPr>
          <w:p>
            <w:pPr>
              <w:spacing w:after="20"/>
            </w:pPr>
            <w:r/>
            <w:r>
              <w:rPr>
                <w:sz w:val="17"/>
              </w:rPr>
              <w:t>Asiento de auditoría · Dispositivo inventariado</w:t>
            </w:r>
          </w:p>
        </w:tc>
      </w:tr>
    </w:tbl>
    <w:p>
      <w:pPr>
        <w:spacing w:after="40"/>
      </w:pPr>
    </w:p>
    <w:p>
      <w:pPr>
        <w:jc w:val="both"/>
      </w:pPr>
      <w:r>
        <w:rPr>
          <w:sz w:val="20"/>
        </w:rPr>
        <w:t>Las catorce decisiones de diseño que el numeral 16.1 del caso deja abiertas quedan resueltas en este modelo, y cada una se declara con su fundamento, su impacto si resulta equivocada y su instancia de validación como SUP-01 a SUP-14 del Registro de supuestos v1.6. En este subdocumento se resuelven así: la unidad mínima de trazabilidad y sus agregaciones derivadas, en el apartado 1.1; la fuente de verdad del tonelaje entre las tres mediciones, que se conservan sin sobrescribirse, en los apartados 1.5 y 6.1; la ley del material retomado de un stock, por promedio ponderado, en la entidad Origen de retoma del apartado 1.2 y en el indicador de exactitud del 6.1; la identificación de la persona operadora en equipo compartido, en la entidad Sesión de operador del apartado 1.2; la definición y clasificación de la detención, en el apartado 5.3; el tratamiento de la muestra rechazada y el arbitraje de laboratorio, en las entidades Muestra, Análisis y Arbitraje de laboratorio del apartado 1.2; el concentrado devuelto, en la entidad Devolución de concentrado de los apartados 1.2 y 5.3; la autenticación de la persona contratista sin correo corporativo, en los apartados 1.3 y 1.4; el registro en zona de sombra con cambio de turno sin señal, en los apartados 2.3 y 2.4; la propiedad de los datos de telemetría, mitigada con un adaptador por fabricante, en el apartado 1.5; el viaje que carga de dos polígonos, con marca de proximidad a borde y sin prorrateo automático, en el apartado 1.2; el equilibrio entre muestreo obligatorio y ciclo de mina, en la entidad Punto de muestreo del apartado 1.2; la objeción sindical a la biometría de portería, en el apartado 1.3; y el cumplimiento del plan minero medido contra la versión vigente en el instante de cada movimiento, en los apartados 2.3 y 5.3, sobre la entidad Plan minero (versión), que es inmutable y versionada.</w:t>
      </w:r>
    </w:p>
    <w:p>
      <w:pPr>
        <w:jc w:val="both"/>
      </w:pPr>
      <w:r>
        <w:rPr>
          <w:sz w:val="20"/>
        </w:rPr>
        <w:t xml:space="preserve">Dos entidades resuelven situaciones que hoy no tienen procedimiento. La </w:t>
      </w:r>
      <w:r>
        <w:rPr>
          <w:b/>
          <w:sz w:val="20"/>
        </w:rPr>
        <w:t>devolución de concentrado</w:t>
      </w:r>
      <w:r>
        <w:rPr>
          <w:sz w:val="20"/>
        </w:rPr>
        <w:t xml:space="preserve"> registra el rechazo total o parcial de un embarque, con motivo de lista cerrada, tonelaje devuelto y destino de reincorporación; el lote que recibe ese material conserva la referencia a la devolución, de modo que no se cuenta dos veces en la conciliación ni pierde su historia previa. El </w:t>
      </w:r>
      <w:r>
        <w:rPr>
          <w:b/>
          <w:sz w:val="20"/>
        </w:rPr>
        <w:t>arbitraje de laboratorio</w:t>
      </w:r>
      <w:r>
        <w:rPr>
          <w:sz w:val="20"/>
        </w:rPr>
        <w:t xml:space="preserve"> registra la discrepancia entre el análisis del CLIENTE y el del comprador, el laboratorio árbitro que la dirime y el valor dirimido: el análisis original nunca se modifica y el efecto se materializa como ajuste de liquidación.</w:t>
      </w:r>
    </w:p>
    <w:p>
      <w:pPr>
        <w:keepNext/>
        <w:spacing w:before="200" w:after="80"/>
      </w:pPr>
      <w:r>
        <w:rPr>
          <w:b/>
          <w:color w:val="1F4D75"/>
          <w:sz w:val="23"/>
        </w:rPr>
        <w:t>1.3 Clasificación de la información</w:t>
      </w:r>
    </w:p>
    <w:p>
      <w:pPr>
        <w:jc w:val="both"/>
      </w:pPr>
      <w:r>
        <w:rPr>
          <w:sz w:val="20"/>
        </w:rPr>
        <w:t>La clasificación es atributo del dato y viaja con él: la heredan el evento, el índice de búsqueda, la exportación, la réplica analítica y el respaldo.</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Nivel</w:t>
            </w:r>
          </w:p>
        </w:tc>
        <w:tc>
          <w:tcPr>
            <w:tcW w:type="dxa" w:w="3251"/>
            <w:shd w:val="clear" w:fill="E7EEF6"/>
          </w:tcPr>
          <w:p>
            <w:pPr>
              <w:spacing w:after="20"/>
            </w:pPr>
            <w:r/>
            <w:r>
              <w:rPr>
                <w:b/>
                <w:sz w:val="17"/>
              </w:rPr>
              <w:t>Qué comprende</w:t>
            </w:r>
          </w:p>
        </w:tc>
        <w:tc>
          <w:tcPr>
            <w:tcW w:type="dxa" w:w="3251"/>
            <w:shd w:val="clear" w:fill="E7EEF6"/>
          </w:tcPr>
          <w:p>
            <w:pPr>
              <w:spacing w:after="20"/>
            </w:pPr>
            <w:r/>
            <w:r>
              <w:rPr>
                <w:b/>
                <w:sz w:val="17"/>
              </w:rPr>
              <w:t>Control diferenciado</w:t>
            </w:r>
          </w:p>
        </w:tc>
      </w:tr>
      <w:tr>
        <w:tc>
          <w:tcPr>
            <w:tcW w:type="dxa" w:w="3251"/>
          </w:tcPr>
          <w:p>
            <w:pPr>
              <w:spacing w:after="20"/>
            </w:pPr>
            <w:r/>
            <w:r>
              <w:rPr>
                <w:sz w:val="17"/>
              </w:rPr>
              <w:t>Público</w:t>
            </w:r>
          </w:p>
        </w:tc>
        <w:tc>
          <w:tcPr>
            <w:tcW w:type="dxa" w:w="3251"/>
          </w:tcPr>
          <w:p>
            <w:pPr>
              <w:spacing w:after="20"/>
            </w:pPr>
            <w:r/>
            <w:r>
              <w:rPr>
                <w:sz w:val="17"/>
              </w:rPr>
              <w:t>Nivel vacío por decisión de diseño: no existe portal abierto a la ciudadanía</w:t>
            </w:r>
          </w:p>
        </w:tc>
        <w:tc>
          <w:tcPr>
            <w:tcW w:type="dxa" w:w="3251"/>
          </w:tcPr>
          <w:p>
            <w:pPr>
              <w:spacing w:after="20"/>
            </w:pPr>
            <w:r/>
            <w:r>
              <w:rPr>
                <w:sz w:val="17"/>
              </w:rPr>
              <w:t>No aplica</w:t>
            </w:r>
          </w:p>
        </w:tc>
      </w:tr>
      <w:tr>
        <w:tc>
          <w:tcPr>
            <w:tcW w:type="dxa" w:w="3251"/>
          </w:tcPr>
          <w:p>
            <w:pPr>
              <w:spacing w:after="20"/>
            </w:pPr>
            <w:r/>
            <w:r>
              <w:rPr>
                <w:sz w:val="17"/>
              </w:rPr>
              <w:t>Interno</w:t>
            </w:r>
          </w:p>
        </w:tc>
        <w:tc>
          <w:tcPr>
            <w:tcW w:type="dxa" w:w="3251"/>
          </w:tcPr>
          <w:p>
            <w:pPr>
              <w:spacing w:after="20"/>
            </w:pPr>
            <w:r/>
            <w:r>
              <w:rPr>
                <w:sz w:val="17"/>
              </w:rPr>
              <w:t>Registro operacional: viajes, pesajes, detenciones, inspecciones, estados de equipo, indicadores</w:t>
            </w:r>
          </w:p>
        </w:tc>
        <w:tc>
          <w:tcPr>
            <w:tcW w:type="dxa" w:w="3251"/>
          </w:tcPr>
          <w:p>
            <w:pPr>
              <w:spacing w:after="20"/>
            </w:pPr>
            <w:r/>
            <w:r>
              <w:rPr>
                <w:sz w:val="17"/>
              </w:rPr>
              <w:t>Cifrado en tránsito y en reposo; control de acceso por rol, área y sitio; auditoría de modificación</w:t>
            </w:r>
          </w:p>
        </w:tc>
      </w:tr>
      <w:tr>
        <w:tc>
          <w:tcPr>
            <w:tcW w:type="dxa" w:w="3251"/>
          </w:tcPr>
          <w:p>
            <w:pPr>
              <w:spacing w:after="20"/>
            </w:pPr>
            <w:r/>
            <w:r>
              <w:rPr>
                <w:sz w:val="17"/>
              </w:rPr>
              <w:t>Confidencial</w:t>
            </w:r>
          </w:p>
        </w:tc>
        <w:tc>
          <w:tcPr>
            <w:tcW w:type="dxa" w:w="3251"/>
          </w:tcPr>
          <w:p>
            <w:pPr>
              <w:spacing w:after="20"/>
            </w:pPr>
            <w:r/>
            <w:r>
              <w:rPr>
                <w:sz w:val="17"/>
              </w:rPr>
              <w:t>Ley por polígono, modelo de bloques, plan versionado, liquidaciones, penalizaciones y márgenes</w:t>
            </w:r>
          </w:p>
        </w:tc>
        <w:tc>
          <w:tcPr>
            <w:tcW w:type="dxa" w:w="3251"/>
          </w:tcPr>
          <w:p>
            <w:pPr>
              <w:spacing w:after="20"/>
            </w:pPr>
            <w:r/>
            <w:r>
              <w:rPr>
                <w:sz w:val="17"/>
              </w:rPr>
              <w:t>Lo anterior, más prohibición de exposición externa en cualquier forma derivada, aprobación comercial para publicar, registro de toda consulta y exportación restringida por rol</w:t>
            </w:r>
          </w:p>
        </w:tc>
      </w:tr>
      <w:tr>
        <w:tc>
          <w:tcPr>
            <w:tcW w:type="dxa" w:w="3251"/>
          </w:tcPr>
          <w:p>
            <w:pPr>
              <w:spacing w:after="20"/>
            </w:pPr>
            <w:r/>
            <w:r>
              <w:rPr>
                <w:sz w:val="17"/>
              </w:rPr>
              <w:t>Personal sensible</w:t>
            </w:r>
          </w:p>
        </w:tc>
        <w:tc>
          <w:tcPr>
            <w:tcW w:type="dxa" w:w="3251"/>
          </w:tcPr>
          <w:p>
            <w:pPr>
              <w:spacing w:after="20"/>
            </w:pPr>
            <w:r/>
            <w:r>
              <w:rPr>
                <w:sz w:val="17"/>
              </w:rPr>
              <w:t>Habilitación y su resultado, salud ocupacional, control de fatiga, control de alcohol y drogas, y el relato de incidentes</w:t>
            </w:r>
          </w:p>
        </w:tc>
        <w:tc>
          <w:tcPr>
            <w:tcW w:type="dxa" w:w="3251"/>
          </w:tcPr>
          <w:p>
            <w:pPr>
              <w:spacing w:after="20"/>
            </w:pPr>
            <w:r/>
            <w:r>
              <w:rPr>
                <w:sz w:val="17"/>
              </w:rPr>
              <w:t>Lo anterior, más cifrado a nivel de campo, auditoría de la consulta además de la modificación, prohibición en registros de la solución y en ambientes no productivos, y retención de 10 años sin borrado anticipado</w:t>
            </w:r>
          </w:p>
        </w:tc>
      </w:tr>
    </w:tbl>
    <w:p>
      <w:pPr>
        <w:spacing w:after="40"/>
      </w:pPr>
    </w:p>
    <w:p>
      <w:pPr>
        <w:keepNext/>
        <w:spacing w:before="200" w:after="80"/>
      </w:pPr>
      <w:r>
        <w:rPr>
          <w:b/>
          <w:color w:val="1F4D75"/>
          <w:sz w:val="23"/>
        </w:rPr>
        <w:t>1.4 Datos maestros y regla de precedencia</w:t>
      </w:r>
    </w:p>
    <w:p>
      <w:pPr>
        <w:jc w:val="both"/>
      </w:pPr>
      <w:r>
        <w:rPr>
          <w:sz w:val="20"/>
        </w:rPr>
        <w:t>Seis entidades son compartidas con sistemas del CLIENTE. Para cada una se declara el sistema que manda y qué queda prohibido. No se incorpora un producto de gestión de datos maestros: agregaría una pieza de infraestructura y una especialidad que el equipo de once personas del CLIENTE no tiene, para resolver seis entidades con maestro ya identificado y sin conflicto de escritura.</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val="clear" w:fill="E7EEF6"/>
          </w:tcPr>
          <w:p>
            <w:pPr>
              <w:spacing w:after="20"/>
            </w:pPr>
            <w:r/>
            <w:r>
              <w:rPr>
                <w:b/>
                <w:sz w:val="17"/>
              </w:rPr>
              <w:t>Entidad</w:t>
            </w:r>
          </w:p>
        </w:tc>
        <w:tc>
          <w:tcPr>
            <w:tcW w:type="dxa" w:w="2438"/>
            <w:shd w:val="clear" w:fill="E7EEF6"/>
          </w:tcPr>
          <w:p>
            <w:pPr>
              <w:spacing w:after="20"/>
            </w:pPr>
            <w:r/>
            <w:r>
              <w:rPr>
                <w:b/>
                <w:sz w:val="17"/>
              </w:rPr>
              <w:t>Sistema maestro</w:t>
            </w:r>
          </w:p>
        </w:tc>
        <w:tc>
          <w:tcPr>
            <w:tcW w:type="dxa" w:w="2438"/>
            <w:shd w:val="clear" w:fill="E7EEF6"/>
          </w:tcPr>
          <w:p>
            <w:pPr>
              <w:spacing w:after="20"/>
            </w:pPr>
            <w:r/>
            <w:r>
              <w:rPr>
                <w:b/>
                <w:sz w:val="17"/>
              </w:rPr>
              <w:t>Regla de precedencia</w:t>
            </w:r>
          </w:p>
        </w:tc>
        <w:tc>
          <w:tcPr>
            <w:tcW w:type="dxa" w:w="2438"/>
            <w:shd w:val="clear" w:fill="E7EEF6"/>
          </w:tcPr>
          <w:p>
            <w:pPr>
              <w:spacing w:after="20"/>
            </w:pPr>
            <w:r/>
            <w:r>
              <w:rPr>
                <w:b/>
                <w:sz w:val="17"/>
              </w:rPr>
              <w:t>Prohibido</w:t>
            </w:r>
          </w:p>
        </w:tc>
      </w:tr>
      <w:tr>
        <w:tc>
          <w:tcPr>
            <w:tcW w:type="dxa" w:w="2438"/>
          </w:tcPr>
          <w:p>
            <w:pPr>
              <w:spacing w:after="20"/>
            </w:pPr>
            <w:r/>
            <w:r>
              <w:rPr>
                <w:sz w:val="17"/>
              </w:rPr>
              <w:t>Persona (propia)</w:t>
            </w:r>
          </w:p>
        </w:tc>
        <w:tc>
          <w:tcPr>
            <w:tcW w:type="dxa" w:w="2438"/>
          </w:tcPr>
          <w:p>
            <w:pPr>
              <w:spacing w:after="20"/>
            </w:pPr>
            <w:r/>
            <w:r>
              <w:rPr>
                <w:sz w:val="17"/>
              </w:rPr>
              <w:t>ERP corporativo (C-12)</w:t>
            </w:r>
          </w:p>
        </w:tc>
        <w:tc>
          <w:tcPr>
            <w:tcW w:type="dxa" w:w="2438"/>
          </w:tcPr>
          <w:p>
            <w:pPr>
              <w:spacing w:after="20"/>
            </w:pPr>
            <w:r/>
            <w:r>
              <w:rPr>
                <w:sz w:val="17"/>
              </w:rPr>
              <w:t>El ERP manda en identidad, vínculo laboral y término de relación</w:t>
            </w:r>
          </w:p>
        </w:tc>
        <w:tc>
          <w:tcPr>
            <w:tcW w:type="dxa" w:w="2438"/>
          </w:tcPr>
          <w:p>
            <w:pPr>
              <w:spacing w:after="20"/>
            </w:pPr>
            <w:r/>
            <w:r>
              <w:rPr>
                <w:sz w:val="17"/>
              </w:rPr>
              <w:t>Crear o modificar personal propio desde la solución</w:t>
            </w:r>
          </w:p>
        </w:tc>
      </w:tr>
      <w:tr>
        <w:tc>
          <w:tcPr>
            <w:tcW w:type="dxa" w:w="2438"/>
          </w:tcPr>
          <w:p>
            <w:pPr>
              <w:spacing w:after="20"/>
            </w:pPr>
            <w:r/>
            <w:r>
              <w:rPr>
                <w:sz w:val="17"/>
              </w:rPr>
              <w:t>Persona (contratista)</w:t>
            </w:r>
          </w:p>
        </w:tc>
        <w:tc>
          <w:tcPr>
            <w:tcW w:type="dxa" w:w="2438"/>
          </w:tcPr>
          <w:p>
            <w:pPr>
              <w:spacing w:after="20"/>
            </w:pPr>
            <w:r/>
            <w:r>
              <w:rPr>
                <w:sz w:val="17"/>
              </w:rPr>
              <w:t>Portal de contratistas (C-06)</w:t>
            </w:r>
          </w:p>
        </w:tc>
        <w:tc>
          <w:tcPr>
            <w:tcW w:type="dxa" w:w="2438"/>
          </w:tcPr>
          <w:p>
            <w:pPr>
              <w:spacing w:after="20"/>
            </w:pPr>
            <w:r/>
            <w:r>
              <w:rPr>
                <w:sz w:val="17"/>
              </w:rPr>
              <w:t>La empresa manda en identidad y documentación; el CLIENTE, en el estado de acreditación</w:t>
            </w:r>
          </w:p>
        </w:tc>
        <w:tc>
          <w:tcPr>
            <w:tcW w:type="dxa" w:w="2438"/>
          </w:tcPr>
          <w:p>
            <w:pPr>
              <w:spacing w:after="20"/>
            </w:pPr>
            <w:r/>
            <w:r>
              <w:rPr>
                <w:sz w:val="17"/>
              </w:rPr>
              <w:t>Duplicar una persona que ya existe como propia</w:t>
            </w:r>
          </w:p>
        </w:tc>
      </w:tr>
      <w:tr>
        <w:tc>
          <w:tcPr>
            <w:tcW w:type="dxa" w:w="2438"/>
          </w:tcPr>
          <w:p>
            <w:pPr>
              <w:spacing w:after="20"/>
            </w:pPr>
            <w:r/>
            <w:r>
              <w:rPr>
                <w:sz w:val="17"/>
              </w:rPr>
              <w:t>Equipo</w:t>
            </w:r>
          </w:p>
        </w:tc>
        <w:tc>
          <w:tcPr>
            <w:tcW w:type="dxa" w:w="2438"/>
          </w:tcPr>
          <w:p>
            <w:pPr>
              <w:spacing w:after="20"/>
            </w:pPr>
            <w:r/>
            <w:r>
              <w:rPr>
                <w:sz w:val="17"/>
              </w:rPr>
              <w:t>Despacho (C-10) y ERP (C-12)</w:t>
            </w:r>
          </w:p>
        </w:tc>
        <w:tc>
          <w:tcPr>
            <w:tcW w:type="dxa" w:w="2438"/>
          </w:tcPr>
          <w:p>
            <w:pPr>
              <w:spacing w:after="20"/>
            </w:pPr>
            <w:r/>
            <w:r>
              <w:rPr>
                <w:sz w:val="17"/>
              </w:rPr>
              <w:t>El despacho manda en estado operacional y posición; el ERP, en ficha de activo y pautas</w:t>
            </w:r>
          </w:p>
        </w:tc>
        <w:tc>
          <w:tcPr>
            <w:tcW w:type="dxa" w:w="2438"/>
          </w:tcPr>
          <w:p>
            <w:pPr>
              <w:spacing w:after="20"/>
            </w:pPr>
            <w:r/>
            <w:r>
              <w:rPr>
                <w:sz w:val="17"/>
              </w:rPr>
              <w:t>Crear un equipo inexistente en ambos</w:t>
            </w:r>
          </w:p>
        </w:tc>
      </w:tr>
      <w:tr>
        <w:tc>
          <w:tcPr>
            <w:tcW w:type="dxa" w:w="2438"/>
          </w:tcPr>
          <w:p>
            <w:pPr>
              <w:spacing w:after="20"/>
            </w:pPr>
            <w:r/>
            <w:r>
              <w:rPr>
                <w:sz w:val="17"/>
              </w:rPr>
              <w:t>Polígono y plan</w:t>
            </w:r>
          </w:p>
        </w:tc>
        <w:tc>
          <w:tcPr>
            <w:tcW w:type="dxa" w:w="2438"/>
          </w:tcPr>
          <w:p>
            <w:pPr>
              <w:spacing w:after="20"/>
            </w:pPr>
            <w:r/>
            <w:r>
              <w:rPr>
                <w:sz w:val="17"/>
              </w:rPr>
              <w:t>Planificación minera (C-11)</w:t>
            </w:r>
          </w:p>
        </w:tc>
        <w:tc>
          <w:tcPr>
            <w:tcW w:type="dxa" w:w="2438"/>
          </w:tcPr>
          <w:p>
            <w:pPr>
              <w:spacing w:after="20"/>
            </w:pPr>
            <w:r/>
            <w:r>
              <w:rPr>
                <w:sz w:val="17"/>
              </w:rPr>
              <w:t>Planificación manda siempre; la solución consume la versión publicada</w:t>
            </w:r>
          </w:p>
        </w:tc>
        <w:tc>
          <w:tcPr>
            <w:tcW w:type="dxa" w:w="2438"/>
          </w:tcPr>
          <w:p>
            <w:pPr>
              <w:spacing w:after="20"/>
            </w:pPr>
            <w:r/>
            <w:r>
              <w:rPr>
                <w:sz w:val="17"/>
              </w:rPr>
              <w:t>Editar un polígono o una versión de plan</w:t>
            </w:r>
          </w:p>
        </w:tc>
      </w:tr>
      <w:tr>
        <w:tc>
          <w:tcPr>
            <w:tcW w:type="dxa" w:w="2438"/>
          </w:tcPr>
          <w:p>
            <w:pPr>
              <w:spacing w:after="20"/>
            </w:pPr>
            <w:r/>
            <w:r>
              <w:rPr>
                <w:sz w:val="17"/>
              </w:rPr>
              <w:t>Resultado de análisis</w:t>
            </w:r>
          </w:p>
        </w:tc>
        <w:tc>
          <w:tcPr>
            <w:tcW w:type="dxa" w:w="2438"/>
          </w:tcPr>
          <w:p>
            <w:pPr>
              <w:spacing w:after="20"/>
            </w:pPr>
            <w:r/>
            <w:r>
              <w:rPr>
                <w:sz w:val="17"/>
              </w:rPr>
              <w:t>Laboratorio (C-09)</w:t>
            </w:r>
          </w:p>
        </w:tc>
        <w:tc>
          <w:tcPr>
            <w:tcW w:type="dxa" w:w="2438"/>
          </w:tcPr>
          <w:p>
            <w:pPr>
              <w:spacing w:after="20"/>
            </w:pPr>
            <w:r/>
            <w:r>
              <w:rPr>
                <w:sz w:val="17"/>
              </w:rPr>
              <w:t>El laboratorio es la fuente de verdad de la ley medida; el arbitraje no lo modifica, lo dirime</w:t>
            </w:r>
          </w:p>
        </w:tc>
        <w:tc>
          <w:tcPr>
            <w:tcW w:type="dxa" w:w="2438"/>
          </w:tcPr>
          <w:p>
            <w:pPr>
              <w:spacing w:after="20"/>
            </w:pPr>
            <w:r/>
            <w:r>
              <w:rPr>
                <w:sz w:val="17"/>
              </w:rPr>
              <w:t>Sobrescribir un resultado de laboratorio</w:t>
            </w:r>
          </w:p>
        </w:tc>
      </w:tr>
      <w:tr>
        <w:tc>
          <w:tcPr>
            <w:tcW w:type="dxa" w:w="2438"/>
          </w:tcPr>
          <w:p>
            <w:pPr>
              <w:spacing w:after="20"/>
            </w:pPr>
            <w:r/>
            <w:r>
              <w:rPr>
                <w:sz w:val="17"/>
              </w:rPr>
              <w:t>Parámetro y regla</w:t>
            </w:r>
          </w:p>
        </w:tc>
        <w:tc>
          <w:tcPr>
            <w:tcW w:type="dxa" w:w="2438"/>
          </w:tcPr>
          <w:p>
            <w:pPr>
              <w:spacing w:after="20"/>
            </w:pPr>
            <w:r/>
            <w:r>
              <w:rPr>
                <w:sz w:val="17"/>
              </w:rPr>
              <w:t>La propia solución (C-20)</w:t>
            </w:r>
          </w:p>
        </w:tc>
        <w:tc>
          <w:tcPr>
            <w:tcW w:type="dxa" w:w="2438"/>
          </w:tcPr>
          <w:p>
            <w:pPr>
              <w:spacing w:after="20"/>
            </w:pPr>
            <w:r/>
            <w:r>
              <w:rPr>
                <w:sz w:val="17"/>
              </w:rPr>
              <w:t>La solución es maestro; ningún sistema externo lo modifica</w:t>
            </w:r>
          </w:p>
        </w:tc>
        <w:tc>
          <w:tcPr>
            <w:tcW w:type="dxa" w:w="2438"/>
          </w:tcPr>
          <w:p>
            <w:pPr>
              <w:spacing w:after="20"/>
            </w:pPr>
            <w:r/>
            <w:r>
              <w:rPr>
                <w:sz w:val="17"/>
              </w:rPr>
              <w:t>Cambiar un umbral mediante despliegue de código</w:t>
            </w:r>
          </w:p>
        </w:tc>
      </w:tr>
    </w:tbl>
    <w:p>
      <w:pPr>
        <w:spacing w:after="40"/>
      </w:pPr>
    </w:p>
    <w:p>
      <w:pPr>
        <w:jc w:val="both"/>
      </w:pPr>
      <w:r>
        <w:rPr>
          <w:sz w:val="20"/>
        </w:rPr>
        <w:t>Regla transversal: para los hechos observados en terreno prevalece el evento de terreno; para los datos maestros prevalece el registro central. Un evento que referencia un maestro inexistente entra en cuarentena y se resuelve al reconciliar; no se descarta ni autocrea el maestro.</w:t>
      </w:r>
    </w:p>
    <w:p>
      <w:pPr>
        <w:keepNext/>
        <w:spacing w:before="200" w:after="80"/>
      </w:pPr>
      <w:r>
        <w:rPr>
          <w:b/>
          <w:color w:val="1F4D75"/>
          <w:sz w:val="23"/>
        </w:rPr>
        <w:t>1.5 Interfaces de entrada</w:t>
      </w:r>
    </w:p>
    <w:p>
      <w:pPr>
        <w:jc w:val="both"/>
      </w:pPr>
      <w:r>
        <w:rPr>
          <w:sz w:val="20"/>
        </w:rPr>
        <w:t>Cada dato entra por una interfaz declarada, con capa anticorrupción y adaptador reemplazable. Las tres mediciones de tonelaje que la solución conserva provienen de tres caminos distintos, y eso importa porque una de ellas es la fuente de verdad.</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val="clear" w:fill="E7EEF6"/>
          </w:tcPr>
          <w:p>
            <w:pPr>
              <w:spacing w:after="20"/>
            </w:pPr>
            <w:r/>
            <w:r>
              <w:rPr>
                <w:b/>
                <w:sz w:val="17"/>
              </w:rPr>
              <w:t>Fuente</w:t>
            </w:r>
          </w:p>
        </w:tc>
        <w:tc>
          <w:tcPr>
            <w:tcW w:type="dxa" w:w="2438"/>
            <w:shd w:val="clear" w:fill="E7EEF6"/>
          </w:tcPr>
          <w:p>
            <w:pPr>
              <w:spacing w:after="20"/>
            </w:pPr>
            <w:r/>
            <w:r>
              <w:rPr>
                <w:b/>
                <w:sz w:val="17"/>
              </w:rPr>
              <w:t>Componente</w:t>
            </w:r>
          </w:p>
        </w:tc>
        <w:tc>
          <w:tcPr>
            <w:tcW w:type="dxa" w:w="2438"/>
            <w:shd w:val="clear" w:fill="E7EEF6"/>
          </w:tcPr>
          <w:p>
            <w:pPr>
              <w:spacing w:after="20"/>
            </w:pPr>
            <w:r/>
            <w:r>
              <w:rPr>
                <w:b/>
                <w:sz w:val="17"/>
              </w:rPr>
              <w:t>Qué entrega</w:t>
            </w:r>
          </w:p>
        </w:tc>
        <w:tc>
          <w:tcPr>
            <w:tcW w:type="dxa" w:w="2438"/>
            <w:shd w:val="clear" w:fill="E7EEF6"/>
          </w:tcPr>
          <w:p>
            <w:pPr>
              <w:spacing w:after="20"/>
            </w:pPr>
            <w:r/>
            <w:r>
              <w:rPr>
                <w:b/>
                <w:sz w:val="17"/>
              </w:rPr>
              <w:t>Sentido</w:t>
            </w:r>
          </w:p>
        </w:tc>
      </w:tr>
      <w:tr>
        <w:tc>
          <w:tcPr>
            <w:tcW w:type="dxa" w:w="2438"/>
          </w:tcPr>
          <w:p>
            <w:pPr>
              <w:spacing w:after="20"/>
            </w:pPr>
            <w:r/>
            <w:r>
              <w:rPr>
                <w:sz w:val="17"/>
              </w:rPr>
              <w:t>Despacho de flota</w:t>
            </w:r>
          </w:p>
        </w:tc>
        <w:tc>
          <w:tcPr>
            <w:tcW w:type="dxa" w:w="2438"/>
          </w:tcPr>
          <w:p>
            <w:pPr>
              <w:spacing w:after="20"/>
            </w:pPr>
            <w:r/>
            <w:r>
              <w:rPr>
                <w:sz w:val="17"/>
              </w:rPr>
              <w:t>C-10</w:t>
            </w:r>
          </w:p>
        </w:tc>
        <w:tc>
          <w:tcPr>
            <w:tcW w:type="dxa" w:w="2438"/>
          </w:tcPr>
          <w:p>
            <w:pPr>
              <w:spacing w:after="20"/>
            </w:pPr>
            <w:r/>
            <w:r>
              <w:rPr>
                <w:sz w:val="17"/>
              </w:rPr>
              <w:t xml:space="preserve">Ciclo mina: pala, destino, posición, hora y </w:t>
            </w:r>
            <w:r>
              <w:rPr>
                <w:b/>
                <w:sz w:val="17"/>
              </w:rPr>
              <w:t>pesaje de a bordo</w:t>
            </w:r>
          </w:p>
        </w:tc>
        <w:tc>
          <w:tcPr>
            <w:tcW w:type="dxa" w:w="2438"/>
          </w:tcPr>
          <w:p>
            <w:pPr>
              <w:spacing w:after="20"/>
            </w:pPr>
            <w:r/>
            <w:r>
              <w:rPr>
                <w:sz w:val="17"/>
              </w:rPr>
              <w:t>Lectura continua; escritura sólo de la marca de estado que el despacho admita</w:t>
            </w:r>
          </w:p>
        </w:tc>
      </w:tr>
      <w:tr>
        <w:tc>
          <w:tcPr>
            <w:tcW w:type="dxa" w:w="2438"/>
          </w:tcPr>
          <w:p>
            <w:pPr>
              <w:spacing w:after="20"/>
            </w:pPr>
            <w:r/>
            <w:r>
              <w:rPr>
                <w:sz w:val="17"/>
              </w:rPr>
              <w:t>Sistema de gestión de laboratorio</w:t>
            </w:r>
          </w:p>
        </w:tc>
        <w:tc>
          <w:tcPr>
            <w:tcW w:type="dxa" w:w="2438"/>
          </w:tcPr>
          <w:p>
            <w:pPr>
              <w:spacing w:after="20"/>
            </w:pPr>
            <w:r/>
            <w:r>
              <w:rPr>
                <w:sz w:val="17"/>
              </w:rPr>
              <w:t>C-09</w:t>
            </w:r>
          </w:p>
        </w:tc>
        <w:tc>
          <w:tcPr>
            <w:tcW w:type="dxa" w:w="2438"/>
          </w:tcPr>
          <w:p>
            <w:pPr>
              <w:spacing w:after="20"/>
            </w:pPr>
            <w:r/>
            <w:r>
              <w:rPr>
                <w:sz w:val="17"/>
              </w:rPr>
              <w:t>Solicitud de análisis y resultado validado, incluido el del laboratorio árbitro</w:t>
            </w:r>
          </w:p>
        </w:tc>
        <w:tc>
          <w:tcPr>
            <w:tcW w:type="dxa" w:w="2438"/>
          </w:tcPr>
          <w:p>
            <w:pPr>
              <w:spacing w:after="20"/>
            </w:pPr>
            <w:r/>
            <w:r>
              <w:rPr>
                <w:sz w:val="17"/>
              </w:rPr>
              <w:t>Bidireccional</w:t>
            </w:r>
          </w:p>
        </w:tc>
      </w:tr>
      <w:tr>
        <w:tc>
          <w:tcPr>
            <w:tcW w:type="dxa" w:w="2438"/>
          </w:tcPr>
          <w:p>
            <w:pPr>
              <w:spacing w:after="20"/>
            </w:pPr>
            <w:r/>
            <w:r>
              <w:rPr>
                <w:sz w:val="17"/>
              </w:rPr>
              <w:t>Planificación minera</w:t>
            </w:r>
          </w:p>
        </w:tc>
        <w:tc>
          <w:tcPr>
            <w:tcW w:type="dxa" w:w="2438"/>
          </w:tcPr>
          <w:p>
            <w:pPr>
              <w:spacing w:after="20"/>
            </w:pPr>
            <w:r/>
            <w:r>
              <w:rPr>
                <w:sz w:val="17"/>
              </w:rPr>
              <w:t>C-11</w:t>
            </w:r>
          </w:p>
        </w:tc>
        <w:tc>
          <w:tcPr>
            <w:tcW w:type="dxa" w:w="2438"/>
          </w:tcPr>
          <w:p>
            <w:pPr>
              <w:spacing w:after="20"/>
            </w:pPr>
            <w:r/>
            <w:r>
              <w:rPr>
                <w:sz w:val="17"/>
              </w:rPr>
              <w:t>Versión vigente del plan y polígonos</w:t>
            </w:r>
          </w:p>
        </w:tc>
        <w:tc>
          <w:tcPr>
            <w:tcW w:type="dxa" w:w="2438"/>
          </w:tcPr>
          <w:p>
            <w:pPr>
              <w:spacing w:after="20"/>
            </w:pPr>
            <w:r/>
            <w:r>
              <w:rPr>
                <w:sz w:val="17"/>
              </w:rPr>
              <w:t>Sólo lectura</w:t>
            </w:r>
          </w:p>
        </w:tc>
      </w:tr>
      <w:tr>
        <w:tc>
          <w:tcPr>
            <w:tcW w:type="dxa" w:w="2438"/>
          </w:tcPr>
          <w:p>
            <w:pPr>
              <w:spacing w:after="20"/>
            </w:pPr>
            <w:r/>
            <w:r>
              <w:rPr>
                <w:sz w:val="17"/>
              </w:rPr>
              <w:t>ERP corporativo</w:t>
            </w:r>
          </w:p>
        </w:tc>
        <w:tc>
          <w:tcPr>
            <w:tcW w:type="dxa" w:w="2438"/>
          </w:tcPr>
          <w:p>
            <w:pPr>
              <w:spacing w:after="20"/>
            </w:pPr>
            <w:r/>
            <w:r>
              <w:rPr>
                <w:sz w:val="17"/>
              </w:rPr>
              <w:t>C-12</w:t>
            </w:r>
          </w:p>
        </w:tc>
        <w:tc>
          <w:tcPr>
            <w:tcW w:type="dxa" w:w="2438"/>
          </w:tcPr>
          <w:p>
            <w:pPr>
              <w:spacing w:after="20"/>
            </w:pPr>
            <w:r/>
            <w:r>
              <w:rPr>
                <w:sz w:val="17"/>
              </w:rPr>
              <w:t>Maestro de personal, ficha de activos y cifra contable</w:t>
            </w:r>
          </w:p>
        </w:tc>
        <w:tc>
          <w:tcPr>
            <w:tcW w:type="dxa" w:w="2438"/>
          </w:tcPr>
          <w:p>
            <w:pPr>
              <w:spacing w:after="20"/>
            </w:pPr>
            <w:r/>
            <w:r>
              <w:rPr>
                <w:sz w:val="17"/>
              </w:rPr>
              <w:t>Bidireccional</w:t>
            </w:r>
          </w:p>
        </w:tc>
      </w:tr>
      <w:tr>
        <w:tc>
          <w:tcPr>
            <w:tcW w:type="dxa" w:w="2438"/>
          </w:tcPr>
          <w:p>
            <w:pPr>
              <w:spacing w:after="20"/>
            </w:pPr>
            <w:r/>
            <w:r>
              <w:rPr>
                <w:sz w:val="17"/>
              </w:rPr>
              <w:t>Telemetría de fabricante</w:t>
            </w:r>
          </w:p>
        </w:tc>
        <w:tc>
          <w:tcPr>
            <w:tcW w:type="dxa" w:w="2438"/>
          </w:tcPr>
          <w:p>
            <w:pPr>
              <w:spacing w:after="20"/>
            </w:pPr>
            <w:r/>
            <w:r>
              <w:rPr>
                <w:sz w:val="17"/>
              </w:rPr>
              <w:t>C-13</w:t>
            </w:r>
          </w:p>
        </w:tc>
        <w:tc>
          <w:tcPr>
            <w:tcW w:type="dxa" w:w="2438"/>
          </w:tcPr>
          <w:p>
            <w:pPr>
              <w:spacing w:after="20"/>
            </w:pPr>
            <w:r/>
            <w:r>
              <w:rPr>
                <w:sz w:val="17"/>
              </w:rPr>
              <w:t>Estado, posición, horómetro y alarmas</w:t>
            </w:r>
          </w:p>
        </w:tc>
        <w:tc>
          <w:tcPr>
            <w:tcW w:type="dxa" w:w="2438"/>
          </w:tcPr>
          <w:p>
            <w:pPr>
              <w:spacing w:after="20"/>
            </w:pPr>
            <w:r/>
            <w:r>
              <w:rPr>
                <w:sz w:val="17"/>
              </w:rPr>
              <w:t>Sólo lectura, un adaptador por fabricante</w:t>
            </w:r>
          </w:p>
        </w:tc>
      </w:tr>
      <w:tr>
        <w:tc>
          <w:tcPr>
            <w:tcW w:type="dxa" w:w="2438"/>
          </w:tcPr>
          <w:p>
            <w:pPr>
              <w:spacing w:after="20"/>
            </w:pPr>
            <w:r/>
            <w:r>
              <w:rPr>
                <w:sz w:val="17"/>
              </w:rPr>
              <w:t>Historiador de proceso de planta</w:t>
            </w:r>
          </w:p>
        </w:tc>
        <w:tc>
          <w:tcPr>
            <w:tcW w:type="dxa" w:w="2438"/>
          </w:tcPr>
          <w:p>
            <w:pPr>
              <w:spacing w:after="20"/>
            </w:pPr>
            <w:r/>
            <w:r>
              <w:rPr>
                <w:sz w:val="17"/>
              </w:rPr>
              <w:t>C-14</w:t>
            </w:r>
          </w:p>
        </w:tc>
        <w:tc>
          <w:tcPr>
            <w:tcW w:type="dxa" w:w="2438"/>
          </w:tcPr>
          <w:p>
            <w:pPr>
              <w:spacing w:after="20"/>
            </w:pPr>
            <w:r/>
            <w:r>
              <w:rPr>
                <w:b/>
                <w:sz w:val="17"/>
              </w:rPr>
              <w:t>Balanza de alimentación</w:t>
            </w:r>
            <w:r>
              <w:rPr>
                <w:sz w:val="17"/>
              </w:rPr>
              <w:t>, fuente de verdad del tonelaje, y variables de proceso</w:t>
            </w:r>
          </w:p>
        </w:tc>
        <w:tc>
          <w:tcPr>
            <w:tcW w:type="dxa" w:w="2438"/>
          </w:tcPr>
          <w:p>
            <w:pPr>
              <w:spacing w:after="20"/>
            </w:pPr>
            <w:r/>
            <w:r>
              <w:rPr>
                <w:sz w:val="17"/>
              </w:rPr>
              <w:t>OPC UA con segregación IEC 62443. Sólo lectura: no se escribe en la red de control</w:t>
            </w:r>
          </w:p>
        </w:tc>
      </w:tr>
      <w:tr>
        <w:tc>
          <w:tcPr>
            <w:tcW w:type="dxa" w:w="2438"/>
          </w:tcPr>
          <w:p>
            <w:pPr>
              <w:spacing w:after="20"/>
            </w:pPr>
            <w:r/>
            <w:r>
              <w:rPr>
                <w:sz w:val="17"/>
              </w:rPr>
              <w:t>Sistema de control de fatiga</w:t>
            </w:r>
          </w:p>
        </w:tc>
        <w:tc>
          <w:tcPr>
            <w:tcW w:type="dxa" w:w="2438"/>
          </w:tcPr>
          <w:p>
            <w:pPr>
              <w:spacing w:after="20"/>
            </w:pPr>
            <w:r/>
            <w:r>
              <w:rPr>
                <w:sz w:val="17"/>
              </w:rPr>
              <w:t>C-18</w:t>
            </w:r>
          </w:p>
        </w:tc>
        <w:tc>
          <w:tcPr>
            <w:tcW w:type="dxa" w:w="2438"/>
          </w:tcPr>
          <w:p>
            <w:pPr>
              <w:spacing w:after="20"/>
            </w:pPr>
            <w:r/>
            <w:r>
              <w:rPr>
                <w:sz w:val="17"/>
              </w:rPr>
              <w:t>Alertas emitidas</w:t>
            </w:r>
          </w:p>
        </w:tc>
        <w:tc>
          <w:tcPr>
            <w:tcW w:type="dxa" w:w="2438"/>
          </w:tcPr>
          <w:p>
            <w:pPr>
              <w:spacing w:after="20"/>
            </w:pPr>
            <w:r/>
            <w:r>
              <w:rPr>
                <w:sz w:val="17"/>
              </w:rPr>
              <w:t>Sólo lectura; dato personal sensible, cifrado a nivel de campo</w:t>
            </w:r>
          </w:p>
        </w:tc>
      </w:tr>
      <w:tr>
        <w:tc>
          <w:tcPr>
            <w:tcW w:type="dxa" w:w="2438"/>
          </w:tcPr>
          <w:p>
            <w:pPr>
              <w:spacing w:after="20"/>
            </w:pPr>
            <w:r/>
            <w:r>
              <w:rPr>
                <w:sz w:val="17"/>
              </w:rPr>
              <w:t>Instrumentación de pesaje de faena</w:t>
            </w:r>
          </w:p>
        </w:tc>
        <w:tc>
          <w:tcPr>
            <w:tcW w:type="dxa" w:w="2438"/>
          </w:tcPr>
          <w:p>
            <w:pPr>
              <w:spacing w:after="20"/>
            </w:pPr>
            <w:r/>
            <w:r>
              <w:rPr>
                <w:sz w:val="17"/>
              </w:rPr>
              <w:t>C-04</w:t>
            </w:r>
          </w:p>
        </w:tc>
        <w:tc>
          <w:tcPr>
            <w:tcW w:type="dxa" w:w="2438"/>
          </w:tcPr>
          <w:p>
            <w:pPr>
              <w:spacing w:after="20"/>
            </w:pPr>
            <w:r/>
            <w:r>
              <w:rPr>
                <w:b/>
                <w:sz w:val="17"/>
              </w:rPr>
              <w:t>Báscula de camiones (dispositivo físico conectado al nodo Edge operacional C-04)</w:t>
            </w:r>
            <w:r>
              <w:rPr>
                <w:sz w:val="17"/>
              </w:rPr>
              <w:t>, que pesa una muestra de los viajes y actúa como punto de calibración</w:t>
            </w:r>
          </w:p>
        </w:tc>
        <w:tc>
          <w:tcPr>
            <w:tcW w:type="dxa" w:w="2438"/>
          </w:tcPr>
          <w:p>
            <w:pPr>
              <w:spacing w:after="20"/>
            </w:pPr>
            <w:r/>
            <w:r>
              <w:rPr>
                <w:sz w:val="17"/>
              </w:rPr>
              <w:t>Sólo lectura. El hardware lo adquiere el CLIENTE</w:t>
            </w:r>
          </w:p>
        </w:tc>
      </w:tr>
    </w:tbl>
    <w:p>
      <w:pPr>
        <w:spacing w:after="40"/>
      </w:pPr>
    </w:p>
    <w:p>
      <w:pPr>
        <w:keepNext/>
        <w:spacing w:before="200" w:after="80"/>
      </w:pPr>
      <w:r>
        <w:rPr>
          <w:b/>
          <w:color w:val="1F4D75"/>
          <w:sz w:val="23"/>
        </w:rPr>
        <w:t>1.6 Modelo lógico</w:t>
      </w:r>
    </w:p>
    <w:tbl>
      <w:tblPr>
        <w:tblStyle w:val="TableGrid"/>
        <w:tblW w:type="auto" w:w="0"/>
        <w:tblLook w:firstColumn="1" w:firstRow="1" w:lastColumn="0" w:lastRow="0" w:noHBand="0" w:noVBand="1" w:val="04A0"/>
      </w:tblPr>
      <w:tblGrid>
        <w:gridCol w:w="9752"/>
      </w:tblGrid>
      <w:tr>
        <w:trPr>
          <w:trHeight w:val="6236"/>
        </w:trPr>
        <w:tc>
          <w:tcPr>
            <w:tcW w:type="dxa" w:w="9752"/>
          </w:tcPr>
          <w:p>
            <w:pPr>
              <w:jc w:val="center"/>
            </w:pPr>
            <w:r/>
            <w:r>
              <w:rPr>
                <w:i/>
                <w:color w:val="5B6878"/>
                <w:sz w:val="19"/>
              </w:rPr>
              <w:t>[ Figura 1 · Modelo lógico de datos — insertar diagrama ]</w:t>
            </w:r>
          </w:p>
        </w:tc>
      </w:tr>
    </w:tbl>
    <w:p>
      <w:pPr>
        <w:spacing w:after="40"/>
      </w:pPr>
    </w:p>
    <w:p>
      <w:pPr>
        <w:jc w:val="both"/>
      </w:pPr>
      <w:r>
        <w:rPr>
          <w:color w:val="5B6878"/>
          <w:sz w:val="17"/>
        </w:rPr>
        <w:t>Figura 1. Modelo lógico de datos. Cuarenta y dos entidades en tercera forma normal, con clave primaria opaca, integridad referencial declarada y sin borrado en cascada.</w:t>
      </w:r>
    </w:p>
    <w:p>
      <w:r>
        <w:br w:type="page"/>
      </w:r>
    </w:p>
    <w:p>
      <w:pPr>
        <w:keepNext/>
        <w:spacing w:before="280" w:after="80"/>
      </w:pPr>
      <w:r>
        <w:rPr>
          <w:b/>
          <w:color w:val="0D2B45"/>
          <w:sz w:val="28"/>
        </w:rPr>
        <w:t>2. Selección del motor y del paradigma de persistencia</w:t>
      </w:r>
    </w:p>
    <w:p>
      <w:pPr>
        <w:keepNext/>
        <w:spacing w:before="200" w:after="80"/>
      </w:pPr>
      <w:r>
        <w:rPr>
          <w:b/>
          <w:color w:val="1F4D75"/>
          <w:sz w:val="23"/>
        </w:rPr>
        <w:t>2.1 Decisión</w:t>
      </w:r>
    </w:p>
    <w:p>
      <w:pPr>
        <w:jc w:val="both"/>
      </w:pPr>
      <w:r>
        <w:rPr>
          <w:sz w:val="20"/>
        </w:rPr>
        <w:t>No se adopta un motor único: las naturalezas de dato del caso tienen patrones de escritura, volúmenes y garantías incompatibles, y forzarlas a un solo almacén obligaría a dimensionar todo contra el peor caso. Son seis naturalezas de persistencia, y la familia PostgreSQL cubre cuatro de ellas, con lo que el CLIENTE termina operando tres productos y no seis.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val="clear" w:fill="E7EEF6"/>
          </w:tcPr>
          <w:p>
            <w:pPr>
              <w:spacing w:after="20"/>
            </w:pPr>
            <w:r/>
            <w:r>
              <w:rPr>
                <w:b/>
                <w:sz w:val="17"/>
              </w:rPr>
              <w:t>Naturaleza</w:t>
            </w:r>
          </w:p>
        </w:tc>
        <w:tc>
          <w:tcPr>
            <w:tcW w:type="dxa" w:w="2438"/>
            <w:shd w:val="clear" w:fill="E7EEF6"/>
          </w:tcPr>
          <w:p>
            <w:pPr>
              <w:spacing w:after="20"/>
            </w:pPr>
            <w:r/>
            <w:r>
              <w:rPr>
                <w:b/>
                <w:sz w:val="17"/>
              </w:rPr>
              <w:t>Paradigma</w:t>
            </w:r>
          </w:p>
        </w:tc>
        <w:tc>
          <w:tcPr>
            <w:tcW w:type="dxa" w:w="2438"/>
            <w:shd w:val="clear" w:fill="E7EEF6"/>
          </w:tcPr>
          <w:p>
            <w:pPr>
              <w:spacing w:after="20"/>
            </w:pPr>
            <w:r/>
            <w:r>
              <w:rPr>
                <w:b/>
                <w:sz w:val="17"/>
              </w:rPr>
              <w:t>Motor</w:t>
            </w:r>
          </w:p>
        </w:tc>
        <w:tc>
          <w:tcPr>
            <w:tcW w:type="dxa" w:w="2438"/>
            <w:shd w:val="clear" w:fill="E7EEF6"/>
          </w:tcPr>
          <w:p>
            <w:pPr>
              <w:spacing w:after="20"/>
            </w:pPr>
            <w:r/>
            <w:r>
              <w:rPr>
                <w:b/>
                <w:sz w:val="17"/>
              </w:rPr>
              <w:t>Justificación</w:t>
            </w:r>
          </w:p>
        </w:tc>
      </w:tr>
      <w:tr>
        <w:tc>
          <w:tcPr>
            <w:tcW w:type="dxa" w:w="2438"/>
          </w:tcPr>
          <w:p>
            <w:pPr>
              <w:spacing w:after="20"/>
            </w:pPr>
            <w:r/>
            <w:r>
              <w:rPr>
                <w:sz w:val="17"/>
              </w:rPr>
              <w:t>Transaccional</w:t>
            </w:r>
          </w:p>
        </w:tc>
        <w:tc>
          <w:tcPr>
            <w:tcW w:type="dxa" w:w="2438"/>
          </w:tcPr>
          <w:p>
            <w:pPr>
              <w:spacing w:after="20"/>
            </w:pPr>
            <w:r/>
            <w:r>
              <w:rPr>
                <w:sz w:val="17"/>
              </w:rPr>
              <w:t>Relacional</w:t>
            </w:r>
          </w:p>
        </w:tc>
        <w:tc>
          <w:tcPr>
            <w:tcW w:type="dxa" w:w="2438"/>
          </w:tcPr>
          <w:p>
            <w:pPr>
              <w:spacing w:after="20"/>
            </w:pPr>
            <w:r/>
            <w:r>
              <w:rPr>
                <w:sz w:val="17"/>
              </w:rPr>
              <w:t>PostgreSQL 16 o superior</w:t>
            </w:r>
          </w:p>
        </w:tc>
        <w:tc>
          <w:tcPr>
            <w:tcW w:type="dxa" w:w="2438"/>
          </w:tcPr>
          <w:p>
            <w:pPr>
              <w:spacing w:after="20"/>
            </w:pPr>
            <w:r/>
            <w:r>
              <w:rPr>
                <w:sz w:val="17"/>
              </w:rPr>
              <w:t>El árbol de trazabilidad exige integridad referencial demostrable ante un tercero: un lote cuyas proporciones no suman uno no es un dato incompleto, es un dato falso. Aporta ACID, aislamiento serializable para el cierre contable, particionamiento declarativo e índices parciales</w:t>
            </w:r>
          </w:p>
        </w:tc>
      </w:tr>
      <w:tr>
        <w:tc>
          <w:tcPr>
            <w:tcW w:type="dxa" w:w="2438"/>
          </w:tcPr>
          <w:p>
            <w:pPr>
              <w:spacing w:after="20"/>
            </w:pPr>
            <w:r/>
            <w:r>
              <w:rPr>
                <w:sz w:val="17"/>
              </w:rPr>
              <w:t>Series de tiempo</w:t>
            </w:r>
          </w:p>
        </w:tc>
        <w:tc>
          <w:tcPr>
            <w:tcW w:type="dxa" w:w="2438"/>
          </w:tcPr>
          <w:p>
            <w:pPr>
              <w:spacing w:after="20"/>
            </w:pPr>
            <w:r/>
            <w:r>
              <w:rPr>
                <w:sz w:val="17"/>
              </w:rPr>
              <w:t>Relacional con extensión columnar</w:t>
            </w:r>
          </w:p>
        </w:tc>
        <w:tc>
          <w:tcPr>
            <w:tcW w:type="dxa" w:w="2438"/>
          </w:tcPr>
          <w:p>
            <w:pPr>
              <w:spacing w:after="20"/>
            </w:pPr>
            <w:r/>
            <w:r>
              <w:rPr>
                <w:sz w:val="17"/>
              </w:rPr>
              <w:t>TimescaleDB sobre PostgreSQL 16</w:t>
            </w:r>
          </w:p>
        </w:tc>
        <w:tc>
          <w:tcPr>
            <w:tcW w:type="dxa" w:w="2438"/>
          </w:tcPr>
          <w:p>
            <w:pPr>
              <w:spacing w:after="20"/>
            </w:pPr>
            <w:r/>
            <w:r>
              <w:rPr>
                <w:sz w:val="17"/>
              </w:rPr>
              <w:t>2 TB al año de telemetría e historiador, con escritura por anexado y consulta por ventana. La extensión evita un motor distinto: mismo respaldo, mismo control de acceso y mismo perfil de administración</w:t>
            </w:r>
          </w:p>
        </w:tc>
      </w:tr>
      <w:tr>
        <w:tc>
          <w:tcPr>
            <w:tcW w:type="dxa" w:w="2438"/>
          </w:tcPr>
          <w:p>
            <w:pPr>
              <w:spacing w:after="20"/>
            </w:pPr>
            <w:r/>
            <w:r>
              <w:rPr>
                <w:sz w:val="17"/>
              </w:rPr>
              <w:t>Analítica</w:t>
            </w:r>
          </w:p>
        </w:tc>
        <w:tc>
          <w:tcPr>
            <w:tcW w:type="dxa" w:w="2438"/>
          </w:tcPr>
          <w:p>
            <w:pPr>
              <w:spacing w:after="20"/>
            </w:pPr>
            <w:r/>
            <w:r>
              <w:rPr>
                <w:sz w:val="17"/>
              </w:rPr>
              <w:t>Columnar</w:t>
            </w:r>
          </w:p>
        </w:tc>
        <w:tc>
          <w:tcPr>
            <w:tcW w:type="dxa" w:w="2438"/>
          </w:tcPr>
          <w:p>
            <w:pPr>
              <w:spacing w:after="20"/>
            </w:pPr>
            <w:r/>
            <w:r>
              <w:rPr>
                <w:sz w:val="17"/>
              </w:rPr>
              <w:t>ClickHouse 24.8 LTS o superior</w:t>
            </w:r>
          </w:p>
        </w:tc>
        <w:tc>
          <w:tcPr>
            <w:tcW w:type="dxa" w:w="2438"/>
          </w:tcPr>
          <w:p>
            <w:pPr>
              <w:spacing w:after="20"/>
            </w:pPr>
            <w:r/>
            <w:r>
              <w:rPr>
                <w:sz w:val="17"/>
              </w:rPr>
              <w:t>Agregación sobre millones de filas con latencia de minutos, separada físicamente del transaccional. Reutilizar PostgreSQL aquí haría competir el recálculo de indicadores con el peak de cambio de turno</w:t>
            </w:r>
          </w:p>
        </w:tc>
      </w:tr>
      <w:tr>
        <w:tc>
          <w:tcPr>
            <w:tcW w:type="dxa" w:w="2438"/>
          </w:tcPr>
          <w:p>
            <w:pPr>
              <w:spacing w:after="20"/>
            </w:pPr>
            <w:r/>
            <w:r>
              <w:rPr>
                <w:sz w:val="17"/>
              </w:rPr>
              <w:t>Documental</w:t>
            </w:r>
          </w:p>
        </w:tc>
        <w:tc>
          <w:tcPr>
            <w:tcW w:type="dxa" w:w="2438"/>
          </w:tcPr>
          <w:p>
            <w:pPr>
              <w:spacing w:after="20"/>
            </w:pPr>
            <w:r/>
            <w:r>
              <w:rPr>
                <w:sz w:val="17"/>
              </w:rPr>
              <w:t>Metadatos relacionales más objeto</w:t>
            </w:r>
          </w:p>
        </w:tc>
        <w:tc>
          <w:tcPr>
            <w:tcW w:type="dxa" w:w="2438"/>
          </w:tcPr>
          <w:p>
            <w:pPr>
              <w:spacing w:after="20"/>
            </w:pPr>
            <w:r/>
            <w:r>
              <w:rPr>
                <w:sz w:val="17"/>
              </w:rPr>
              <w:t>PostgreSQL 16 y almacén compatible con S3</w:t>
            </w:r>
          </w:p>
        </w:tc>
        <w:tc>
          <w:tcPr>
            <w:tcW w:type="dxa" w:w="2438"/>
          </w:tcPr>
          <w:p>
            <w:pPr>
              <w:spacing w:after="20"/>
            </w:pPr>
            <w:r/>
            <w:r>
              <w:rPr>
                <w:sz w:val="17"/>
              </w:rPr>
              <w:t>Certificados, respaldos de habilitación y reportes firmados, con versionado y búsqueda por contenido. El binario no vive en el transaccional</w:t>
            </w:r>
          </w:p>
        </w:tc>
      </w:tr>
      <w:tr>
        <w:tc>
          <w:tcPr>
            <w:tcW w:type="dxa" w:w="2438"/>
          </w:tcPr>
          <w:p>
            <w:pPr>
              <w:spacing w:after="20"/>
            </w:pPr>
            <w:r/>
            <w:r>
              <w:rPr>
                <w:sz w:val="17"/>
              </w:rPr>
              <w:t>Archivos</w:t>
            </w:r>
          </w:p>
        </w:tc>
        <w:tc>
          <w:tcPr>
            <w:tcW w:type="dxa" w:w="2438"/>
          </w:tcPr>
          <w:p>
            <w:pPr>
              <w:spacing w:after="20"/>
            </w:pPr>
            <w:r/>
            <w:r>
              <w:rPr>
                <w:sz w:val="17"/>
              </w:rPr>
              <w:t>Almacén de objetos</w:t>
            </w:r>
          </w:p>
        </w:tc>
        <w:tc>
          <w:tcPr>
            <w:tcW w:type="dxa" w:w="2438"/>
          </w:tcPr>
          <w:p>
            <w:pPr>
              <w:spacing w:after="20"/>
            </w:pPr>
            <w:r/>
            <w:r>
              <w:rPr>
                <w:sz w:val="17"/>
              </w:rPr>
              <w:t>Compatible con S3, con bloqueo de objeto</w:t>
            </w:r>
          </w:p>
        </w:tc>
        <w:tc>
          <w:tcPr>
            <w:tcW w:type="dxa" w:w="2438"/>
          </w:tcPr>
          <w:p>
            <w:pPr>
              <w:spacing w:after="20"/>
            </w:pPr>
            <w:r/>
            <w:r>
              <w:rPr>
                <w:sz w:val="17"/>
              </w:rPr>
              <w:t>Evidencia fotográfica de inspecciones e incidentes. El bloqueo de objeto materializa la inmutabilidad y la política de ciclo de vida materializa el archivado</w:t>
            </w:r>
          </w:p>
        </w:tc>
      </w:tr>
      <w:tr>
        <w:tc>
          <w:tcPr>
            <w:tcW w:type="dxa" w:w="2438"/>
          </w:tcPr>
          <w:p>
            <w:pPr>
              <w:spacing w:after="20"/>
            </w:pPr>
            <w:r/>
            <w:r>
              <w:rPr>
                <w:sz w:val="17"/>
              </w:rPr>
              <w:t>Repositorio de consulta histórica</w:t>
            </w:r>
          </w:p>
        </w:tc>
        <w:tc>
          <w:tcPr>
            <w:tcW w:type="dxa" w:w="2438"/>
          </w:tcPr>
          <w:p>
            <w:pPr>
              <w:spacing w:after="20"/>
            </w:pPr>
            <w:r/>
            <w:r>
              <w:rPr>
                <w:sz w:val="17"/>
              </w:rPr>
              <w:t>Relacional, sólo lectura</w:t>
            </w:r>
          </w:p>
        </w:tc>
        <w:tc>
          <w:tcPr>
            <w:tcW w:type="dxa" w:w="2438"/>
          </w:tcPr>
          <w:p>
            <w:pPr>
              <w:spacing w:after="20"/>
            </w:pPr>
            <w:r/>
            <w:r>
              <w:rPr>
                <w:sz w:val="17"/>
              </w:rPr>
              <w:t>Esquema separado en PostgreSQL 16</w:t>
            </w:r>
          </w:p>
        </w:tc>
        <w:tc>
          <w:tcPr>
            <w:tcW w:type="dxa" w:w="2438"/>
          </w:tcPr>
          <w:p>
            <w:pPr>
              <w:spacing w:after="20"/>
            </w:pPr>
            <w:r/>
            <w:r>
              <w:rPr>
                <w:sz w:val="17"/>
              </w:rPr>
              <w:t>Los datos anteriores a la ventana de migración, con el mismo control de acceso y la misma auditoría que el registro vivo</w:t>
            </w:r>
          </w:p>
        </w:tc>
      </w:tr>
    </w:tbl>
    <w:p>
      <w:pPr>
        <w:spacing w:after="40"/>
      </w:pPr>
    </w:p>
    <w:p>
      <w:pPr>
        <w:jc w:val="both"/>
      </w:pPr>
      <w:r>
        <w:rPr>
          <w:sz w:val="20"/>
        </w:rPr>
        <w:t xml:space="preserve">Existen además tres copias derivadas, que no son fuente de verdad y son reconstruibles, pero contienen dato del CLIENTE y por eso entran en el alcance de la eliminación segura: la </w:t>
      </w:r>
      <w:r>
        <w:rPr>
          <w:b/>
          <w:sz w:val="20"/>
        </w:rPr>
        <w:t>réplica de borde</w:t>
      </w:r>
      <w:r>
        <w:rPr>
          <w:sz w:val="20"/>
        </w:rPr>
        <w:t xml:space="preserve"> (SQLite en el dispositivo y PostgreSQL en el nodo de borde), que sostiene 48 horas de operación sin enlace; el </w:t>
      </w:r>
      <w:r>
        <w:rPr>
          <w:b/>
          <w:sz w:val="20"/>
        </w:rPr>
        <w:t>índice de búsqueda</w:t>
      </w:r>
      <w:r>
        <w:rPr>
          <w:sz w:val="20"/>
        </w:rPr>
        <w:t xml:space="preserve"> (OpenSearch), que no indexa atributos personales sensibles; y la </w:t>
      </w:r>
      <w:r>
        <w:rPr>
          <w:b/>
          <w:sz w:val="20"/>
        </w:rPr>
        <w:t>caché</w:t>
      </w:r>
      <w:r>
        <w:rPr>
          <w:sz w:val="20"/>
        </w:rPr>
        <w:t xml:space="preserve"> (Redis), que mantiene fuera de memoria el estado de sesión y no guarda dato sensible en claro.</w:t>
      </w:r>
    </w:p>
    <w:p>
      <w:pPr>
        <w:jc w:val="both"/>
      </w:pPr>
      <w:r>
        <w:rPr>
          <w:color w:val="5B6878"/>
          <w:sz w:val="17"/>
        </w:rPr>
        <w:t>Las versiones son mínimas. El dimensionamiento, la alta disponibilidad y el emplazamiento en nube o faena se declaran en el Subdocumento 4.2.</w:t>
      </w:r>
    </w:p>
    <w:p>
      <w:pPr>
        <w:keepNext/>
        <w:spacing w:before="200" w:after="80"/>
      </w:pPr>
      <w:r>
        <w:rPr>
          <w:b/>
          <w:color w:val="1F4D75"/>
          <w:sz w:val="23"/>
        </w:rPr>
        <w:t>2.2 Por qué relacional en el núcleo</w:t>
      </w:r>
    </w:p>
    <w:p>
      <w:pPr>
        <w:jc w:val="both"/>
      </w:pPr>
      <w:r>
        <w:rPr>
          <w:sz w:val="20"/>
        </w:rPr>
        <w:t>Un almacén documental ofrecería esquema flexible frente a ocho interfaces externas mal documentadas, y fue la alternativa evaluada. Se descarta porque sin integridad referencial declarada el árbol de trazabilidad deja de ser demostrable: reconstruir el origen de un lote embarcado es recorrer una relación padre-hijo con proporciones que deben sumar exactamente uno, y esa garantía no puede quedar entregada a la disciplina de la aplicación cuando el resultado se entrega a un comprador o a la autoridad. La flexibilidad de esquema se resuelve en los adaptadores, no en el núcleo.</w:t>
      </w:r>
    </w:p>
    <w:p>
      <w:pPr>
        <w:keepNext/>
        <w:spacing w:before="200" w:after="80"/>
      </w:pPr>
      <w:r>
        <w:rPr>
          <w:b/>
          <w:color w:val="1F4D75"/>
          <w:sz w:val="23"/>
        </w:rPr>
        <w:t>2.3 Garantías transaccionales</w:t>
      </w:r>
    </w:p>
    <w:tbl>
      <w:tblPr>
        <w:tblStyle w:val="TableGrid"/>
        <w:tblW w:type="auto" w:w="0"/>
        <w:jc w:val="center"/>
        <w:tblLook w:firstColumn="1" w:firstRow="1" w:lastColumn="0" w:lastRow="0" w:noHBand="0" w:noVBand="1" w:val="04A0"/>
      </w:tblPr>
      <w:tblGrid>
        <w:gridCol w:w="4876"/>
        <w:gridCol w:w="4876"/>
      </w:tblGrid>
      <w:tr>
        <w:tc>
          <w:tcPr>
            <w:tcW w:type="dxa" w:w="4876"/>
            <w:shd w:val="clear" w:fill="E7EEF6"/>
          </w:tcPr>
          <w:p>
            <w:pPr>
              <w:spacing w:after="20"/>
            </w:pPr>
            <w:r/>
            <w:r>
              <w:rPr>
                <w:b/>
                <w:sz w:val="17"/>
              </w:rPr>
              <w:t>Garantía</w:t>
            </w:r>
          </w:p>
        </w:tc>
        <w:tc>
          <w:tcPr>
            <w:tcW w:type="dxa" w:w="4876"/>
            <w:shd w:val="clear" w:fill="E7EEF6"/>
          </w:tcPr>
          <w:p>
            <w:pPr>
              <w:spacing w:after="20"/>
            </w:pPr>
            <w:r/>
            <w:r>
              <w:rPr>
                <w:b/>
                <w:sz w:val="17"/>
              </w:rPr>
              <w:t>Cómo se cumple</w:t>
            </w:r>
          </w:p>
        </w:tc>
      </w:tr>
      <w:tr>
        <w:tc>
          <w:tcPr>
            <w:tcW w:type="dxa" w:w="4876"/>
          </w:tcPr>
          <w:p>
            <w:pPr>
              <w:spacing w:after="20"/>
            </w:pPr>
            <w:r/>
            <w:r>
              <w:rPr>
                <w:sz w:val="17"/>
              </w:rPr>
              <w:t>Atomicidad e integridad</w:t>
            </w:r>
          </w:p>
        </w:tc>
        <w:tc>
          <w:tcPr>
            <w:tcW w:type="dxa" w:w="4876"/>
          </w:tcPr>
          <w:p>
            <w:pPr>
              <w:spacing w:after="20"/>
            </w:pPr>
            <w:r/>
            <w:r>
              <w:rPr>
                <w:sz w:val="17"/>
              </w:rPr>
              <w:t>Toda operación sobre el árbol de trazabilidad se ejecuta en una transacción única. Las claves foráneas se declaran en el motor y ninguna admite borrado en cascada</w:t>
            </w:r>
          </w:p>
        </w:tc>
      </w:tr>
      <w:tr>
        <w:tc>
          <w:tcPr>
            <w:tcW w:type="dxa" w:w="4876"/>
          </w:tcPr>
          <w:p>
            <w:pPr>
              <w:spacing w:after="20"/>
            </w:pPr>
            <w:r/>
            <w:r>
              <w:rPr>
                <w:sz w:val="17"/>
              </w:rPr>
              <w:t>Aislamiento</w:t>
            </w:r>
          </w:p>
        </w:tc>
        <w:tc>
          <w:tcPr>
            <w:tcW w:type="dxa" w:w="4876"/>
          </w:tcPr>
          <w:p>
            <w:pPr>
              <w:spacing w:after="20"/>
            </w:pPr>
            <w:r/>
            <w:r>
              <w:rPr>
                <w:sz w:val="17"/>
              </w:rPr>
              <w:t>Lectura confirmada por omisión; serializable en el cierre contable y en la conciliación, donde una lectura sucia produciría una cifra que después se informa</w:t>
            </w:r>
          </w:p>
        </w:tc>
      </w:tr>
      <w:tr>
        <w:tc>
          <w:tcPr>
            <w:tcW w:type="dxa" w:w="4876"/>
          </w:tcPr>
          <w:p>
            <w:pPr>
              <w:spacing w:after="20"/>
            </w:pPr>
            <w:r/>
            <w:r>
              <w:rPr>
                <w:sz w:val="17"/>
              </w:rPr>
              <w:t>Idempotencia</w:t>
            </w:r>
          </w:p>
        </w:tc>
        <w:tc>
          <w:tcPr>
            <w:tcW w:type="dxa" w:w="4876"/>
          </w:tcPr>
          <w:p>
            <w:pPr>
              <w:spacing w:after="20"/>
            </w:pPr>
            <w:r/>
            <w:r>
              <w:rPr>
                <w:sz w:val="17"/>
              </w:rPr>
              <w:t>Toda escritura expuesta a reintentos lleva clave de idempotencia. En terreno es el identificador del evento generado en el dispositivo, con ventana de deduplicación documentada</w:t>
            </w:r>
          </w:p>
        </w:tc>
      </w:tr>
      <w:tr>
        <w:tc>
          <w:tcPr>
            <w:tcW w:type="dxa" w:w="4876"/>
          </w:tcPr>
          <w:p>
            <w:pPr>
              <w:spacing w:after="20"/>
            </w:pPr>
            <w:r/>
            <w:r>
              <w:rPr>
                <w:sz w:val="17"/>
              </w:rPr>
              <w:t>Inmutabilidad</w:t>
            </w:r>
          </w:p>
        </w:tc>
        <w:tc>
          <w:tcPr>
            <w:tcW w:type="dxa" w:w="4876"/>
          </w:tcPr>
          <w:p>
            <w:pPr>
              <w:spacing w:after="20"/>
            </w:pPr>
            <w:r/>
            <w:r>
              <w:rPr>
                <w:sz w:val="17"/>
              </w:rPr>
              <w:t>La trazabilidad se almacena por anexado: toda corrección es un evento nuevo y ninguna fila se actualiza ni se borra. El asiento de auditoría lleva sello criptográfico de integridad</w:t>
            </w:r>
          </w:p>
        </w:tc>
      </w:tr>
      <w:tr>
        <w:tc>
          <w:tcPr>
            <w:tcW w:type="dxa" w:w="4876"/>
          </w:tcPr>
          <w:p>
            <w:pPr>
              <w:spacing w:after="20"/>
            </w:pPr>
            <w:r/>
            <w:r>
              <w:rPr>
                <w:sz w:val="17"/>
              </w:rPr>
              <w:t>Vigencia temporal</w:t>
            </w:r>
          </w:p>
        </w:tc>
        <w:tc>
          <w:tcPr>
            <w:tcW w:type="dxa" w:w="4876"/>
          </w:tcPr>
          <w:p>
            <w:pPr>
              <w:spacing w:after="20"/>
            </w:pPr>
            <w:r/>
            <w:r>
              <w:rPr>
                <w:sz w:val="17"/>
              </w:rPr>
              <w:t>Plan minero, parámetro, regla y definición de indicador se identifican por entidad y versión y nunca se actualizan: un período anterior se recalcula con la versión que regía</w:t>
            </w:r>
          </w:p>
        </w:tc>
      </w:tr>
      <w:tr>
        <w:tc>
          <w:tcPr>
            <w:tcW w:type="dxa" w:w="4876"/>
          </w:tcPr>
          <w:p>
            <w:pPr>
              <w:spacing w:after="20"/>
            </w:pPr>
            <w:r/>
            <w:r>
              <w:rPr>
                <w:sz w:val="17"/>
              </w:rPr>
              <w:t>Entrega de eventos</w:t>
            </w:r>
          </w:p>
        </w:tc>
        <w:tc>
          <w:tcPr>
            <w:tcW w:type="dxa" w:w="4876"/>
          </w:tcPr>
          <w:p>
            <w:pPr>
              <w:spacing w:after="20"/>
            </w:pPr>
            <w:r/>
            <w:r>
              <w:rPr>
                <w:sz w:val="17"/>
              </w:rPr>
              <w:t>Bus con persistencia, entrega al menos una vez, deduplicación en el consumidor y orden dentro del agregado cuando el proceso lo exige. No se pretende orden global</w:t>
            </w:r>
          </w:p>
        </w:tc>
      </w:tr>
    </w:tbl>
    <w:p>
      <w:pPr>
        <w:spacing w:after="40"/>
      </w:pPr>
    </w:p>
    <w:p>
      <w:pPr>
        <w:keepNext/>
        <w:spacing w:before="200" w:after="80"/>
      </w:pPr>
      <w:r>
        <w:rPr>
          <w:b/>
          <w:color w:val="1F4D75"/>
          <w:sz w:val="23"/>
        </w:rPr>
        <w:t>2.4 Posición CAP por dominio</w:t>
      </w:r>
    </w:p>
    <w:p>
      <w:pPr>
        <w:jc w:val="both"/>
      </w:pPr>
      <w:r>
        <w:rPr>
          <w:sz w:val="20"/>
        </w:rPr>
        <w:t>La partición está garantizada, y no por una sola causa. El Subdocumento 4.2 incorpora un segundo carrier por sitio, de modo que el enlace de faena deja de depender de un proveedor único; pero el enlace registra entre tres y seis cortes al año de cuatro a veinte horas, la diversidad de ducto y de punto de entrada sólo queda probada al cerrar VAL-06, la red inalámbrica del rajo conserva zonas de sombra permanentes y el acopio de puerto depende de la conectividad de un tercero sin acuerdo de nivel de servicio. La operación no puede detenerse en ninguno de esos casos. Con la partición dada, cada dominio escoge entre consistencia y disponibilidad.</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Dominio</w:t>
            </w:r>
          </w:p>
        </w:tc>
        <w:tc>
          <w:tcPr>
            <w:tcW w:type="dxa" w:w="3251"/>
            <w:shd w:val="clear" w:fill="E7EEF6"/>
          </w:tcPr>
          <w:p>
            <w:pPr>
              <w:spacing w:after="20"/>
            </w:pPr>
            <w:r/>
            <w:r>
              <w:rPr>
                <w:b/>
                <w:sz w:val="17"/>
              </w:rPr>
              <w:t>Posición CAP</w:t>
            </w:r>
          </w:p>
        </w:tc>
        <w:tc>
          <w:tcPr>
            <w:tcW w:type="dxa" w:w="3251"/>
            <w:shd w:val="clear" w:fill="E7EEF6"/>
          </w:tcPr>
          <w:p>
            <w:pPr>
              <w:spacing w:after="20"/>
            </w:pPr>
            <w:r/>
            <w:r>
              <w:rPr>
                <w:b/>
                <w:sz w:val="17"/>
              </w:rPr>
              <w:t>Fundamento</w:t>
            </w:r>
          </w:p>
        </w:tc>
      </w:tr>
      <w:tr>
        <w:tc>
          <w:tcPr>
            <w:tcW w:type="dxa" w:w="3251"/>
          </w:tcPr>
          <w:p>
            <w:pPr>
              <w:spacing w:after="20"/>
            </w:pPr>
            <w:r/>
            <w:r>
              <w:rPr>
                <w:sz w:val="17"/>
              </w:rPr>
              <w:t>Mineral</w:t>
            </w:r>
          </w:p>
        </w:tc>
        <w:tc>
          <w:tcPr>
            <w:tcW w:type="dxa" w:w="3251"/>
          </w:tcPr>
          <w:p>
            <w:pPr>
              <w:spacing w:after="20"/>
            </w:pPr>
            <w:r/>
            <w:r>
              <w:rPr>
                <w:sz w:val="17"/>
              </w:rPr>
              <w:t>CP</w:t>
            </w:r>
          </w:p>
        </w:tc>
        <w:tc>
          <w:tcPr>
            <w:tcW w:type="dxa" w:w="3251"/>
          </w:tcPr>
          <w:p>
            <w:pPr>
              <w:spacing w:after="20"/>
            </w:pPr>
            <w:r/>
            <w:r>
              <w:rPr>
                <w:sz w:val="17"/>
              </w:rPr>
              <w:t>Un árbol de trazabilidad con proporciones divergentes no es evidencia, y el cierre contable no tolera lectura sucia</w:t>
            </w:r>
          </w:p>
        </w:tc>
      </w:tr>
      <w:tr>
        <w:tc>
          <w:tcPr>
            <w:tcW w:type="dxa" w:w="3251"/>
          </w:tcPr>
          <w:p>
            <w:pPr>
              <w:spacing w:after="20"/>
            </w:pPr>
            <w:r/>
            <w:r>
              <w:rPr>
                <w:sz w:val="17"/>
              </w:rPr>
              <w:t>Terreno</w:t>
            </w:r>
          </w:p>
        </w:tc>
        <w:tc>
          <w:tcPr>
            <w:tcW w:type="dxa" w:w="3251"/>
          </w:tcPr>
          <w:p>
            <w:pPr>
              <w:spacing w:after="20"/>
            </w:pPr>
            <w:r/>
            <w:r>
              <w:rPr>
                <w:sz w:val="17"/>
              </w:rPr>
              <w:t>AP</w:t>
            </w:r>
          </w:p>
        </w:tc>
        <w:tc>
          <w:tcPr>
            <w:tcW w:type="dxa" w:w="3251"/>
          </w:tcPr>
          <w:p>
            <w:pPr>
              <w:spacing w:after="20"/>
            </w:pPr>
            <w:r/>
            <w:r>
              <w:rPr>
                <w:sz w:val="17"/>
              </w:rPr>
              <w:t>El registro nunca se rechaza: rechazar un hecho observado detendría la operación. Se acepta divergencia temporal y se reconcilia al restablecer el enlace</w:t>
            </w:r>
          </w:p>
        </w:tc>
      </w:tr>
      <w:tr>
        <w:tc>
          <w:tcPr>
            <w:tcW w:type="dxa" w:w="3251"/>
          </w:tcPr>
          <w:p>
            <w:pPr>
              <w:spacing w:after="20"/>
            </w:pPr>
            <w:r/>
            <w:r>
              <w:rPr>
                <w:sz w:val="17"/>
              </w:rPr>
              <w:t>Personas</w:t>
            </w:r>
          </w:p>
        </w:tc>
        <w:tc>
          <w:tcPr>
            <w:tcW w:type="dxa" w:w="3251"/>
          </w:tcPr>
          <w:p>
            <w:pPr>
              <w:spacing w:after="20"/>
            </w:pPr>
            <w:r/>
            <w:r>
              <w:rPr>
                <w:sz w:val="17"/>
              </w:rPr>
              <w:t>CP en el maestro, AP en la caché de borde</w:t>
            </w:r>
          </w:p>
        </w:tc>
        <w:tc>
          <w:tcPr>
            <w:tcW w:type="dxa" w:w="3251"/>
          </w:tcPr>
          <w:p>
            <w:pPr>
              <w:spacing w:after="20"/>
            </w:pPr>
            <w:r/>
            <w:r>
              <w:rPr>
                <w:sz w:val="17"/>
              </w:rPr>
              <w:t>La validación de habilitación responde en 1,5 segundos incluso sin enlace, con caché de vigencia máxima de 72 horas. El maestro es CP porque la revocación no admite dos verdades</w:t>
            </w:r>
          </w:p>
        </w:tc>
      </w:tr>
      <w:tr>
        <w:tc>
          <w:tcPr>
            <w:tcW w:type="dxa" w:w="3251"/>
          </w:tcPr>
          <w:p>
            <w:pPr>
              <w:spacing w:after="20"/>
            </w:pPr>
            <w:r/>
            <w:r>
              <w:rPr>
                <w:sz w:val="17"/>
              </w:rPr>
              <w:t>Calidad</w:t>
            </w:r>
          </w:p>
        </w:tc>
        <w:tc>
          <w:tcPr>
            <w:tcW w:type="dxa" w:w="3251"/>
          </w:tcPr>
          <w:p>
            <w:pPr>
              <w:spacing w:after="20"/>
            </w:pPr>
            <w:r/>
            <w:r>
              <w:rPr>
                <w:sz w:val="17"/>
              </w:rPr>
              <w:t>CP</w:t>
            </w:r>
          </w:p>
        </w:tc>
        <w:tc>
          <w:tcPr>
            <w:tcW w:type="dxa" w:w="3251"/>
          </w:tcPr>
          <w:p>
            <w:pPr>
              <w:spacing w:after="20"/>
            </w:pPr>
            <w:r/>
            <w:r>
              <w:rPr>
                <w:sz w:val="17"/>
              </w:rPr>
              <w:t>Ningún lote se libera sin análisis válido y vigente, y la regla no admite excepción manual: una lectura obsoleta liberaría un lote que no corresponde</w:t>
            </w:r>
          </w:p>
        </w:tc>
      </w:tr>
      <w:tr>
        <w:tc>
          <w:tcPr>
            <w:tcW w:type="dxa" w:w="3251"/>
          </w:tcPr>
          <w:p>
            <w:pPr>
              <w:spacing w:after="20"/>
            </w:pPr>
            <w:r/>
            <w:r>
              <w:rPr>
                <w:sz w:val="17"/>
              </w:rPr>
              <w:t>Activos</w:t>
            </w:r>
          </w:p>
        </w:tc>
        <w:tc>
          <w:tcPr>
            <w:tcW w:type="dxa" w:w="3251"/>
          </w:tcPr>
          <w:p>
            <w:pPr>
              <w:spacing w:after="20"/>
            </w:pPr>
            <w:r/>
            <w:r>
              <w:rPr>
                <w:sz w:val="17"/>
              </w:rPr>
              <w:t>AP en telemetría, CP en estados</w:t>
            </w:r>
          </w:p>
        </w:tc>
        <w:tc>
          <w:tcPr>
            <w:tcW w:type="dxa" w:w="3251"/>
          </w:tcPr>
          <w:p>
            <w:pPr>
              <w:spacing w:after="20"/>
            </w:pPr>
            <w:r/>
            <w:r>
              <w:rPr>
                <w:sz w:val="17"/>
              </w:rPr>
              <w:t>Perder una muestra de telemetría degrada un indicador; perder una detención sin clasificar rompe el compromiso de clasificación antes del cierre del turno siguiente</w:t>
            </w:r>
          </w:p>
        </w:tc>
      </w:tr>
      <w:tr>
        <w:tc>
          <w:tcPr>
            <w:tcW w:type="dxa" w:w="3251"/>
          </w:tcPr>
          <w:p>
            <w:pPr>
              <w:spacing w:after="20"/>
            </w:pPr>
            <w:r/>
            <w:r>
              <w:rPr>
                <w:sz w:val="17"/>
              </w:rPr>
              <w:t>Cumplimiento</w:t>
            </w:r>
          </w:p>
        </w:tc>
        <w:tc>
          <w:tcPr>
            <w:tcW w:type="dxa" w:w="3251"/>
          </w:tcPr>
          <w:p>
            <w:pPr>
              <w:spacing w:after="20"/>
            </w:pPr>
            <w:r/>
            <w:r>
              <w:rPr>
                <w:sz w:val="17"/>
              </w:rPr>
              <w:t>CP</w:t>
            </w:r>
          </w:p>
        </w:tc>
        <w:tc>
          <w:tcPr>
            <w:tcW w:type="dxa" w:w="3251"/>
          </w:tcPr>
          <w:p>
            <w:pPr>
              <w:spacing w:after="20"/>
            </w:pPr>
            <w:r/>
            <w:r>
              <w:rPr>
                <w:sz w:val="17"/>
              </w:rPr>
              <w:t>Todo reporte a la autoridad debe reproducirse exactamente y cada cifra debe ser navegable hasta su medición de origen</w:t>
            </w:r>
          </w:p>
        </w:tc>
      </w:tr>
      <w:tr>
        <w:tc>
          <w:tcPr>
            <w:tcW w:type="dxa" w:w="3251"/>
          </w:tcPr>
          <w:p>
            <w:pPr>
              <w:spacing w:after="20"/>
            </w:pPr>
            <w:r/>
            <w:r>
              <w:rPr>
                <w:sz w:val="17"/>
              </w:rPr>
              <w:t>Comercial</w:t>
            </w:r>
          </w:p>
        </w:tc>
        <w:tc>
          <w:tcPr>
            <w:tcW w:type="dxa" w:w="3251"/>
          </w:tcPr>
          <w:p>
            <w:pPr>
              <w:spacing w:after="20"/>
            </w:pPr>
            <w:r/>
            <w:r>
              <w:rPr>
                <w:sz w:val="17"/>
              </w:rPr>
              <w:t>CP</w:t>
            </w:r>
          </w:p>
        </w:tc>
        <w:tc>
          <w:tcPr>
            <w:tcW w:type="dxa" w:w="3251"/>
          </w:tcPr>
          <w:p>
            <w:pPr>
              <w:spacing w:after="20"/>
            </w:pPr>
            <w:r/>
            <w:r>
              <w:rPr>
                <w:sz w:val="17"/>
              </w:rPr>
              <w:t>El certificado se emite sobre el estado confirmado del lote: se prefiere no responder antes que informar un origen que después cambie</w:t>
            </w:r>
          </w:p>
        </w:tc>
      </w:tr>
      <w:tr>
        <w:tc>
          <w:tcPr>
            <w:tcW w:type="dxa" w:w="3251"/>
          </w:tcPr>
          <w:p>
            <w:pPr>
              <w:spacing w:after="20"/>
            </w:pPr>
            <w:r/>
            <w:r>
              <w:rPr>
                <w:sz w:val="17"/>
              </w:rPr>
              <w:t>Analítico</w:t>
            </w:r>
          </w:p>
        </w:tc>
        <w:tc>
          <w:tcPr>
            <w:tcW w:type="dxa" w:w="3251"/>
          </w:tcPr>
          <w:p>
            <w:pPr>
              <w:spacing w:after="20"/>
            </w:pPr>
            <w:r/>
            <w:r>
              <w:rPr>
                <w:sz w:val="17"/>
              </w:rPr>
              <w:t>AP</w:t>
            </w:r>
          </w:p>
        </w:tc>
        <w:tc>
          <w:tcPr>
            <w:tcW w:type="dxa" w:w="3251"/>
          </w:tcPr>
          <w:p>
            <w:pPr>
              <w:spacing w:after="20"/>
            </w:pPr>
            <w:r/>
            <w:r>
              <w:rPr>
                <w:sz w:val="17"/>
              </w:rPr>
              <w:t>Consistencia eventual con latencia comprometida: 15 minutos para indicadores de turno y 4 horas para gestión. El tablero degradado es aceptable; el registro degradado no</w:t>
            </w:r>
          </w:p>
        </w:tc>
      </w:tr>
      <w:tr>
        <w:tc>
          <w:tcPr>
            <w:tcW w:type="dxa" w:w="3251"/>
          </w:tcPr>
          <w:p>
            <w:pPr>
              <w:spacing w:after="20"/>
            </w:pPr>
            <w:r/>
            <w:r>
              <w:rPr>
                <w:sz w:val="17"/>
              </w:rPr>
              <w:t>Plataforma</w:t>
            </w:r>
          </w:p>
        </w:tc>
        <w:tc>
          <w:tcPr>
            <w:tcW w:type="dxa" w:w="3251"/>
          </w:tcPr>
          <w:p>
            <w:pPr>
              <w:spacing w:after="20"/>
            </w:pPr>
            <w:r/>
            <w:r>
              <w:rPr>
                <w:sz w:val="17"/>
              </w:rPr>
              <w:t>CP</w:t>
            </w:r>
          </w:p>
        </w:tc>
        <w:tc>
          <w:tcPr>
            <w:tcW w:type="dxa" w:w="3251"/>
          </w:tcPr>
          <w:p>
            <w:pPr>
              <w:spacing w:after="20"/>
            </w:pPr>
            <w:r/>
            <w:r>
              <w:rPr>
                <w:sz w:val="17"/>
              </w:rPr>
              <w:t>Dos versiones simultáneas del mismo parámetro romperían el recálculo retroactivo</w:t>
            </w:r>
          </w:p>
        </w:tc>
      </w:tr>
    </w:tbl>
    <w:p>
      <w:pPr>
        <w:spacing w:after="40"/>
      </w:pPr>
    </w:p>
    <w:p>
      <w:pPr>
        <w:jc w:val="both"/>
      </w:pPr>
      <w:r>
        <w:rPr>
          <w:sz w:val="20"/>
        </w:rPr>
        <w:t>Ambas posiciones conviven porque la frontera entre ellas es un evento y no una transacción distribuida: el terreno publica, el núcleo consume y reconcilia. No existe confirmación en dos fases entre la faena y el centro de datos.</w:t>
      </w:r>
    </w:p>
    <w:p>
      <w:r>
        <w:br w:type="page"/>
      </w:r>
    </w:p>
    <w:p>
      <w:pPr>
        <w:keepNext/>
        <w:spacing w:before="280" w:after="80"/>
      </w:pPr>
      <w:r>
        <w:rPr>
          <w:b/>
          <w:color w:val="0D2B45"/>
          <w:sz w:val="28"/>
        </w:rPr>
        <w:t>3. Estrategia de migración, saneamiento, validación y conciliación</w:t>
      </w:r>
    </w:p>
    <w:p>
      <w:pPr>
        <w:keepNext/>
        <w:spacing w:before="200" w:after="80"/>
      </w:pPr>
      <w:r>
        <w:rPr>
          <w:b/>
          <w:color w:val="1F4D75"/>
          <w:sz w:val="23"/>
        </w:rPr>
        <w:t>3.1 Alcance y ventana</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val="clear" w:fill="E7EEF6"/>
          </w:tcPr>
          <w:p>
            <w:pPr>
              <w:spacing w:after="20"/>
            </w:pPr>
            <w:r/>
            <w:r>
              <w:rPr>
                <w:b/>
                <w:sz w:val="17"/>
              </w:rPr>
              <w:t>Origen</w:t>
            </w:r>
          </w:p>
        </w:tc>
        <w:tc>
          <w:tcPr>
            <w:tcW w:type="dxa" w:w="2438"/>
            <w:shd w:val="clear" w:fill="E7EEF6"/>
          </w:tcPr>
          <w:p>
            <w:pPr>
              <w:spacing w:after="20"/>
            </w:pPr>
            <w:r/>
            <w:r>
              <w:rPr>
                <w:b/>
                <w:sz w:val="17"/>
              </w:rPr>
              <w:t>Qué se migra</w:t>
            </w:r>
          </w:p>
        </w:tc>
        <w:tc>
          <w:tcPr>
            <w:tcW w:type="dxa" w:w="2438"/>
            <w:shd w:val="clear" w:fill="E7EEF6"/>
          </w:tcPr>
          <w:p>
            <w:pPr>
              <w:spacing w:after="20"/>
            </w:pPr>
            <w:r/>
            <w:r>
              <w:rPr>
                <w:b/>
                <w:sz w:val="17"/>
              </w:rPr>
              <w:t>Ventana en línea</w:t>
            </w:r>
          </w:p>
        </w:tc>
        <w:tc>
          <w:tcPr>
            <w:tcW w:type="dxa" w:w="2438"/>
            <w:shd w:val="clear" w:fill="E7EEF6"/>
          </w:tcPr>
          <w:p>
            <w:pPr>
              <w:spacing w:after="20"/>
            </w:pPr>
            <w:r/>
            <w:r>
              <w:rPr>
                <w:b/>
                <w:sz w:val="17"/>
              </w:rPr>
              <w:t>Destino del resto</w:t>
            </w:r>
          </w:p>
        </w:tc>
      </w:tr>
      <w:tr>
        <w:tc>
          <w:tcPr>
            <w:tcW w:type="dxa" w:w="2438"/>
          </w:tcPr>
          <w:p>
            <w:pPr>
              <w:spacing w:after="20"/>
            </w:pPr>
            <w:r/>
            <w:r>
              <w:rPr>
                <w:sz w:val="17"/>
              </w:rPr>
              <w:t>Planillas de turno y registros ofimáticos</w:t>
            </w:r>
          </w:p>
        </w:tc>
        <w:tc>
          <w:tcPr>
            <w:tcW w:type="dxa" w:w="2438"/>
          </w:tcPr>
          <w:p>
            <w:pPr>
              <w:spacing w:after="20"/>
            </w:pPr>
            <w:r/>
            <w:r>
              <w:rPr>
                <w:sz w:val="17"/>
              </w:rPr>
              <w:t>Trazabilidad de mineral y movimientos de stock</w:t>
            </w:r>
          </w:p>
        </w:tc>
        <w:tc>
          <w:tcPr>
            <w:tcW w:type="dxa" w:w="2438"/>
          </w:tcPr>
          <w:p>
            <w:pPr>
              <w:spacing w:after="20"/>
            </w:pPr>
            <w:r/>
            <w:r>
              <w:rPr>
                <w:sz w:val="17"/>
              </w:rPr>
              <w:t>5 años</w:t>
            </w:r>
          </w:p>
        </w:tc>
        <w:tc>
          <w:tcPr>
            <w:tcW w:type="dxa" w:w="2438"/>
          </w:tcPr>
          <w:p>
            <w:pPr>
              <w:spacing w:after="20"/>
            </w:pPr>
            <w:r/>
            <w:r>
              <w:rPr>
                <w:sz w:val="17"/>
              </w:rPr>
              <w:t>Repositorio de consulta histórica, del sexto al décimo año</w:t>
            </w:r>
          </w:p>
        </w:tc>
      </w:tr>
      <w:tr>
        <w:tc>
          <w:tcPr>
            <w:tcW w:type="dxa" w:w="2438"/>
          </w:tcPr>
          <w:p>
            <w:pPr>
              <w:spacing w:after="20"/>
            </w:pPr>
            <w:r/>
            <w:r>
              <w:rPr>
                <w:sz w:val="17"/>
              </w:rPr>
              <w:t>Despacho de flota</w:t>
            </w:r>
          </w:p>
        </w:tc>
        <w:tc>
          <w:tcPr>
            <w:tcW w:type="dxa" w:w="2438"/>
          </w:tcPr>
          <w:p>
            <w:pPr>
              <w:spacing w:after="20"/>
            </w:pPr>
            <w:r/>
            <w:r>
              <w:rPr>
                <w:sz w:val="17"/>
              </w:rPr>
              <w:t>Viajes, palas, destinos, posiciones y horas</w:t>
            </w:r>
          </w:p>
        </w:tc>
        <w:tc>
          <w:tcPr>
            <w:tcW w:type="dxa" w:w="2438"/>
          </w:tcPr>
          <w:p>
            <w:pPr>
              <w:spacing w:after="20"/>
            </w:pPr>
            <w:r/>
            <w:r>
              <w:rPr>
                <w:sz w:val="17"/>
              </w:rPr>
              <w:t>5 años</w:t>
            </w:r>
          </w:p>
        </w:tc>
        <w:tc>
          <w:tcPr>
            <w:tcW w:type="dxa" w:w="2438"/>
          </w:tcPr>
          <w:p>
            <w:pPr>
              <w:spacing w:after="20"/>
            </w:pPr>
            <w:r/>
            <w:r>
              <w:rPr>
                <w:sz w:val="17"/>
              </w:rPr>
              <w:t>Repositorio de consulta histórica</w:t>
            </w:r>
          </w:p>
        </w:tc>
      </w:tr>
      <w:tr>
        <w:tc>
          <w:tcPr>
            <w:tcW w:type="dxa" w:w="2438"/>
          </w:tcPr>
          <w:p>
            <w:pPr>
              <w:spacing w:after="20"/>
            </w:pPr>
            <w:r/>
            <w:r>
              <w:rPr>
                <w:sz w:val="17"/>
              </w:rPr>
              <w:t>Sistema de gestión de laboratorio</w:t>
            </w:r>
          </w:p>
        </w:tc>
        <w:tc>
          <w:tcPr>
            <w:tcW w:type="dxa" w:w="2438"/>
          </w:tcPr>
          <w:p>
            <w:pPr>
              <w:spacing w:after="20"/>
            </w:pPr>
            <w:r/>
            <w:r>
              <w:rPr>
                <w:sz w:val="17"/>
              </w:rPr>
              <w:t>Muestras, análisis y certificados</w:t>
            </w:r>
          </w:p>
        </w:tc>
        <w:tc>
          <w:tcPr>
            <w:tcW w:type="dxa" w:w="2438"/>
          </w:tcPr>
          <w:p>
            <w:pPr>
              <w:spacing w:after="20"/>
            </w:pPr>
            <w:r/>
            <w:r>
              <w:rPr>
                <w:sz w:val="17"/>
              </w:rPr>
              <w:t>5 años</w:t>
            </w:r>
          </w:p>
        </w:tc>
        <w:tc>
          <w:tcPr>
            <w:tcW w:type="dxa" w:w="2438"/>
          </w:tcPr>
          <w:p>
            <w:pPr>
              <w:spacing w:after="20"/>
            </w:pPr>
            <w:r/>
            <w:r>
              <w:rPr>
                <w:sz w:val="17"/>
              </w:rPr>
              <w:t>Repositorio de consulta histórica</w:t>
            </w:r>
          </w:p>
        </w:tc>
      </w:tr>
      <w:tr>
        <w:tc>
          <w:tcPr>
            <w:tcW w:type="dxa" w:w="2438"/>
          </w:tcPr>
          <w:p>
            <w:pPr>
              <w:spacing w:after="20"/>
            </w:pPr>
            <w:r/>
            <w:r>
              <w:rPr>
                <w:sz w:val="17"/>
              </w:rPr>
              <w:t>ERP corporativo</w:t>
            </w:r>
          </w:p>
        </w:tc>
        <w:tc>
          <w:tcPr>
            <w:tcW w:type="dxa" w:w="2438"/>
          </w:tcPr>
          <w:p>
            <w:pPr>
              <w:spacing w:after="20"/>
            </w:pPr>
            <w:r/>
            <w:r>
              <w:rPr>
                <w:sz w:val="17"/>
              </w:rPr>
              <w:t>Maestro de personal, activos y embarques</w:t>
            </w:r>
          </w:p>
        </w:tc>
        <w:tc>
          <w:tcPr>
            <w:tcW w:type="dxa" w:w="2438"/>
          </w:tcPr>
          <w:p>
            <w:pPr>
              <w:spacing w:after="20"/>
            </w:pPr>
            <w:r/>
            <w:r>
              <w:rPr>
                <w:sz w:val="17"/>
              </w:rPr>
              <w:t>Vigente</w:t>
            </w:r>
          </w:p>
        </w:tc>
        <w:tc>
          <w:tcPr>
            <w:tcW w:type="dxa" w:w="2438"/>
          </w:tcPr>
          <w:p>
            <w:pPr>
              <w:spacing w:after="20"/>
            </w:pPr>
            <w:r/>
            <w:r>
              <w:rPr>
                <w:sz w:val="17"/>
              </w:rPr>
              <w:t>Permanece en el ERP: los registros tributarios no se duplican</w:t>
            </w:r>
          </w:p>
        </w:tc>
      </w:tr>
      <w:tr>
        <w:tc>
          <w:tcPr>
            <w:tcW w:type="dxa" w:w="2438"/>
          </w:tcPr>
          <w:p>
            <w:pPr>
              <w:spacing w:after="20"/>
            </w:pPr>
            <w:r/>
            <w:r>
              <w:rPr>
                <w:sz w:val="17"/>
              </w:rPr>
              <w:t>Registros de mantenimiento</w:t>
            </w:r>
          </w:p>
        </w:tc>
        <w:tc>
          <w:tcPr>
            <w:tcW w:type="dxa" w:w="2438"/>
          </w:tcPr>
          <w:p>
            <w:pPr>
              <w:spacing w:after="20"/>
            </w:pPr>
            <w:r/>
            <w:r>
              <w:rPr>
                <w:sz w:val="17"/>
              </w:rPr>
              <w:t>Pautas, detenciones e historial de equipos</w:t>
            </w:r>
          </w:p>
        </w:tc>
        <w:tc>
          <w:tcPr>
            <w:tcW w:type="dxa" w:w="2438"/>
          </w:tcPr>
          <w:p>
            <w:pPr>
              <w:spacing w:after="20"/>
            </w:pPr>
            <w:r/>
            <w:r>
              <w:rPr>
                <w:sz w:val="17"/>
              </w:rPr>
              <w:t>3 años</w:t>
            </w:r>
          </w:p>
        </w:tc>
        <w:tc>
          <w:tcPr>
            <w:tcW w:type="dxa" w:w="2438"/>
          </w:tcPr>
          <w:p>
            <w:pPr>
              <w:spacing w:after="20"/>
            </w:pPr>
            <w:r/>
            <w:r>
              <w:rPr>
                <w:sz w:val="17"/>
              </w:rPr>
              <w:t>Repositorio de consulta histórica</w:t>
            </w:r>
          </w:p>
        </w:tc>
      </w:tr>
      <w:tr>
        <w:tc>
          <w:tcPr>
            <w:tcW w:type="dxa" w:w="2438"/>
          </w:tcPr>
          <w:p>
            <w:pPr>
              <w:spacing w:after="20"/>
            </w:pPr>
            <w:r/>
            <w:r>
              <w:rPr>
                <w:sz w:val="17"/>
              </w:rPr>
              <w:t>Seguridad y salud ocupacional</w:t>
            </w:r>
          </w:p>
        </w:tc>
        <w:tc>
          <w:tcPr>
            <w:tcW w:type="dxa" w:w="2438"/>
          </w:tcPr>
          <w:p>
            <w:pPr>
              <w:spacing w:after="20"/>
            </w:pPr>
            <w:r/>
            <w:r>
              <w:rPr>
                <w:sz w:val="17"/>
              </w:rPr>
              <w:t>Habilitaciones, incidentes e inspecciones</w:t>
            </w:r>
          </w:p>
        </w:tc>
        <w:tc>
          <w:tcPr>
            <w:tcW w:type="dxa" w:w="2438"/>
          </w:tcPr>
          <w:p>
            <w:pPr>
              <w:spacing w:after="20"/>
            </w:pPr>
            <w:r/>
            <w:r>
              <w:rPr>
                <w:sz w:val="17"/>
              </w:rPr>
              <w:t>10 años</w:t>
            </w:r>
          </w:p>
        </w:tc>
        <w:tc>
          <w:tcPr>
            <w:tcW w:type="dxa" w:w="2438"/>
          </w:tcPr>
          <w:p>
            <w:pPr>
              <w:spacing w:after="20"/>
            </w:pPr>
            <w:r/>
            <w:r>
              <w:rPr>
                <w:sz w:val="17"/>
              </w:rPr>
              <w:t>Se migra completo por obligación de retención</w:t>
            </w:r>
          </w:p>
        </w:tc>
      </w:tr>
      <w:tr>
        <w:tc>
          <w:tcPr>
            <w:tcW w:type="dxa" w:w="2438"/>
          </w:tcPr>
          <w:p>
            <w:pPr>
              <w:spacing w:after="20"/>
            </w:pPr>
            <w:r/>
            <w:r>
              <w:rPr>
                <w:sz w:val="17"/>
              </w:rPr>
              <w:t>Monitoreo ambiental</w:t>
            </w:r>
          </w:p>
        </w:tc>
        <w:tc>
          <w:tcPr>
            <w:tcW w:type="dxa" w:w="2438"/>
          </w:tcPr>
          <w:p>
            <w:pPr>
              <w:spacing w:after="20"/>
            </w:pPr>
            <w:r/>
            <w:r>
              <w:rPr>
                <w:sz w:val="17"/>
              </w:rPr>
              <w:t>Compromisos y mediciones</w:t>
            </w:r>
          </w:p>
        </w:tc>
        <w:tc>
          <w:tcPr>
            <w:tcW w:type="dxa" w:w="2438"/>
          </w:tcPr>
          <w:p>
            <w:pPr>
              <w:spacing w:after="20"/>
            </w:pPr>
            <w:r/>
            <w:r>
              <w:rPr>
                <w:sz w:val="17"/>
              </w:rPr>
              <w:t>10 años</w:t>
            </w:r>
          </w:p>
        </w:tc>
        <w:tc>
          <w:tcPr>
            <w:tcW w:type="dxa" w:w="2438"/>
          </w:tcPr>
          <w:p>
            <w:pPr>
              <w:spacing w:after="20"/>
            </w:pPr>
            <w:r/>
            <w:r>
              <w:rPr>
                <w:sz w:val="17"/>
              </w:rPr>
              <w:t>Se migra completo por obligación de retención</w:t>
            </w:r>
          </w:p>
        </w:tc>
      </w:tr>
    </w:tbl>
    <w:p>
      <w:pPr>
        <w:spacing w:after="40"/>
      </w:pPr>
    </w:p>
    <w:p>
      <w:pPr>
        <w:keepNext/>
        <w:spacing w:before="200" w:after="80"/>
      </w:pPr>
      <w:r>
        <w:rPr>
          <w:b/>
          <w:color w:val="1F4D75"/>
          <w:sz w:val="23"/>
        </w:rPr>
        <w:t>3.2 Fases</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N.º</w:t>
            </w:r>
          </w:p>
        </w:tc>
        <w:tc>
          <w:tcPr>
            <w:tcW w:type="dxa" w:w="3251"/>
            <w:shd w:val="clear" w:fill="E7EEF6"/>
          </w:tcPr>
          <w:p>
            <w:pPr>
              <w:spacing w:after="20"/>
            </w:pPr>
            <w:r/>
            <w:r>
              <w:rPr>
                <w:b/>
                <w:sz w:val="17"/>
              </w:rPr>
              <w:t>Fase</w:t>
            </w:r>
          </w:p>
        </w:tc>
        <w:tc>
          <w:tcPr>
            <w:tcW w:type="dxa" w:w="3251"/>
            <w:shd w:val="clear" w:fill="E7EEF6"/>
          </w:tcPr>
          <w:p>
            <w:pPr>
              <w:spacing w:after="20"/>
            </w:pPr>
            <w:r/>
            <w:r>
              <w:rPr>
                <w:b/>
                <w:sz w:val="17"/>
              </w:rPr>
              <w:t>Contenido y salida verificable</w:t>
            </w:r>
          </w:p>
        </w:tc>
      </w:tr>
      <w:tr>
        <w:tc>
          <w:tcPr>
            <w:tcW w:type="dxa" w:w="3251"/>
          </w:tcPr>
          <w:p>
            <w:pPr>
              <w:spacing w:after="20"/>
            </w:pPr>
            <w:r/>
            <w:r>
              <w:rPr>
                <w:sz w:val="17"/>
              </w:rPr>
              <w:t>1</w:t>
            </w:r>
          </w:p>
        </w:tc>
        <w:tc>
          <w:tcPr>
            <w:tcW w:type="dxa" w:w="3251"/>
          </w:tcPr>
          <w:p>
            <w:pPr>
              <w:spacing w:after="20"/>
            </w:pPr>
            <w:r/>
            <w:r>
              <w:rPr>
                <w:sz w:val="17"/>
              </w:rPr>
              <w:t>Inventario y perfilado</w:t>
            </w:r>
          </w:p>
        </w:tc>
        <w:tc>
          <w:tcPr>
            <w:tcW w:type="dxa" w:w="3251"/>
          </w:tcPr>
          <w:p>
            <w:pPr>
              <w:spacing w:after="20"/>
            </w:pPr>
            <w:r/>
            <w:r>
              <w:rPr>
                <w:sz w:val="17"/>
              </w:rPr>
              <w:t>Cada fuente con su volumen, formato y responsable. Perfilado automatizado: cardinalidad, nulos, valores fuera de dominio, duplicados, formatos de fecha y unidades. Salida: informe de perfilado con el porcentaje de registros que no pasan cada regla</w:t>
            </w:r>
          </w:p>
        </w:tc>
      </w:tr>
      <w:tr>
        <w:tc>
          <w:tcPr>
            <w:tcW w:type="dxa" w:w="3251"/>
          </w:tcPr>
          <w:p>
            <w:pPr>
              <w:spacing w:after="20"/>
            </w:pPr>
            <w:r/>
            <w:r>
              <w:rPr>
                <w:sz w:val="17"/>
              </w:rPr>
              <w:t>2</w:t>
            </w:r>
          </w:p>
        </w:tc>
        <w:tc>
          <w:tcPr>
            <w:tcW w:type="dxa" w:w="3251"/>
          </w:tcPr>
          <w:p>
            <w:pPr>
              <w:spacing w:after="20"/>
            </w:pPr>
            <w:r/>
            <w:r>
              <w:rPr>
                <w:sz w:val="17"/>
              </w:rPr>
              <w:t>Saneamiento</w:t>
            </w:r>
          </w:p>
        </w:tc>
        <w:tc>
          <w:tcPr>
            <w:tcW w:type="dxa" w:w="3251"/>
          </w:tcPr>
          <w:p>
            <w:pPr>
              <w:spacing w:after="20"/>
            </w:pPr>
            <w:r/>
            <w:r>
              <w:rPr>
                <w:sz w:val="17"/>
              </w:rPr>
              <w:t>Normalización de unidades y formatos, resolución de duplicados por regla declarada y homologación de catálogos contra la taxonomía vigente. Todo registro corregido conserva su valor original. Salida: tabla de reglas y bitácora de correcciones</w:t>
            </w:r>
          </w:p>
        </w:tc>
      </w:tr>
      <w:tr>
        <w:tc>
          <w:tcPr>
            <w:tcW w:type="dxa" w:w="3251"/>
          </w:tcPr>
          <w:p>
            <w:pPr>
              <w:spacing w:after="20"/>
            </w:pPr>
            <w:r/>
            <w:r>
              <w:rPr>
                <w:sz w:val="17"/>
              </w:rPr>
              <w:t>3</w:t>
            </w:r>
          </w:p>
        </w:tc>
        <w:tc>
          <w:tcPr>
            <w:tcW w:type="dxa" w:w="3251"/>
          </w:tcPr>
          <w:p>
            <w:pPr>
              <w:spacing w:after="20"/>
            </w:pPr>
            <w:r/>
            <w:r>
              <w:rPr>
                <w:sz w:val="17"/>
              </w:rPr>
              <w:t>Ensayos de carga</w:t>
            </w:r>
          </w:p>
        </w:tc>
        <w:tc>
          <w:tcPr>
            <w:tcW w:type="dxa" w:w="3251"/>
          </w:tcPr>
          <w:p>
            <w:pPr>
              <w:spacing w:after="20"/>
            </w:pPr>
            <w:r/>
            <w:r>
              <w:rPr>
                <w:sz w:val="17"/>
              </w:rPr>
              <w:t>Al menos dos ensayos completos sobre datos reales en ambiente no productivo, con el dato personal sensible sustituido por dato sintético. Salida: tiempo de carga medido y errores por tipo</w:t>
            </w:r>
          </w:p>
        </w:tc>
      </w:tr>
      <w:tr>
        <w:tc>
          <w:tcPr>
            <w:tcW w:type="dxa" w:w="3251"/>
          </w:tcPr>
          <w:p>
            <w:pPr>
              <w:spacing w:after="20"/>
            </w:pPr>
            <w:r/>
            <w:r>
              <w:rPr>
                <w:sz w:val="17"/>
              </w:rPr>
              <w:t>4</w:t>
            </w:r>
          </w:p>
        </w:tc>
        <w:tc>
          <w:tcPr>
            <w:tcW w:type="dxa" w:w="3251"/>
          </w:tcPr>
          <w:p>
            <w:pPr>
              <w:spacing w:after="20"/>
            </w:pPr>
            <w:r/>
            <w:r>
              <w:rPr>
                <w:sz w:val="17"/>
              </w:rPr>
              <w:t>Validación</w:t>
            </w:r>
          </w:p>
        </w:tc>
        <w:tc>
          <w:tcPr>
            <w:tcW w:type="dxa" w:w="3251"/>
          </w:tcPr>
          <w:p>
            <w:pPr>
              <w:spacing w:after="20"/>
            </w:pPr>
            <w:r/>
            <w:r>
              <w:rPr>
                <w:sz w:val="17"/>
              </w:rPr>
              <w:t>Validación estructural contra el modelo, de dominio contra el diccionario y de reglas de integridad. Ningún registro entra a producción violando una regla: queda en cuarentena con motivo desde lista cerrada</w:t>
            </w:r>
          </w:p>
        </w:tc>
      </w:tr>
      <w:tr>
        <w:tc>
          <w:tcPr>
            <w:tcW w:type="dxa" w:w="3251"/>
          </w:tcPr>
          <w:p>
            <w:pPr>
              <w:spacing w:after="20"/>
            </w:pPr>
            <w:r/>
            <w:r>
              <w:rPr>
                <w:sz w:val="17"/>
              </w:rPr>
              <w:t>5</w:t>
            </w:r>
          </w:p>
        </w:tc>
        <w:tc>
          <w:tcPr>
            <w:tcW w:type="dxa" w:w="3251"/>
          </w:tcPr>
          <w:p>
            <w:pPr>
              <w:spacing w:after="20"/>
            </w:pPr>
            <w:r/>
            <w:r>
              <w:rPr>
                <w:sz w:val="17"/>
              </w:rPr>
              <w:t>Conciliación</w:t>
            </w:r>
          </w:p>
        </w:tc>
        <w:tc>
          <w:tcPr>
            <w:tcW w:type="dxa" w:w="3251"/>
          </w:tcPr>
          <w:p>
            <w:pPr>
              <w:spacing w:after="20"/>
            </w:pPr>
            <w:r/>
            <w:r>
              <w:rPr>
                <w:sz w:val="17"/>
              </w:rPr>
              <w:t>Conteo por entidad y período contra la fuente, sumas de control de tonelaje, ley y monto, y muestreo dirigido de al menos 200 registros por entidad crítica. Salida: acta de conciliación firmada por el CLIENTE</w:t>
            </w:r>
          </w:p>
        </w:tc>
      </w:tr>
      <w:tr>
        <w:tc>
          <w:tcPr>
            <w:tcW w:type="dxa" w:w="3251"/>
          </w:tcPr>
          <w:p>
            <w:pPr>
              <w:spacing w:after="20"/>
            </w:pPr>
            <w:r/>
            <w:r>
              <w:rPr>
                <w:sz w:val="17"/>
              </w:rPr>
              <w:t>6</w:t>
            </w:r>
          </w:p>
        </w:tc>
        <w:tc>
          <w:tcPr>
            <w:tcW w:type="dxa" w:w="3251"/>
          </w:tcPr>
          <w:p>
            <w:pPr>
              <w:spacing w:after="20"/>
            </w:pPr>
            <w:r/>
            <w:r>
              <w:rPr>
                <w:sz w:val="17"/>
              </w:rPr>
              <w:t>Corte</w:t>
            </w:r>
          </w:p>
        </w:tc>
        <w:tc>
          <w:tcPr>
            <w:tcW w:type="dxa" w:w="3251"/>
          </w:tcPr>
          <w:p>
            <w:pPr>
              <w:spacing w:after="20"/>
            </w:pPr>
            <w:r/>
            <w:r>
              <w:rPr>
                <w:sz w:val="17"/>
              </w:rPr>
              <w:t>Congelamiento de la fuente, carga incremental final y apertura del sistema. La fuente queda en sólo lectura durante el período de garantía</w:t>
            </w:r>
          </w:p>
        </w:tc>
      </w:tr>
    </w:tbl>
    <w:p>
      <w:pPr>
        <w:spacing w:after="40"/>
      </w:pPr>
    </w:p>
    <w:p>
      <w:pPr>
        <w:keepNext/>
        <w:spacing w:before="200" w:after="80"/>
      </w:pPr>
      <w:r>
        <w:rPr>
          <w:b/>
          <w:color w:val="1F4D75"/>
          <w:sz w:val="23"/>
        </w:rPr>
        <w:t>3.3 Criterios de aceptación y reversa</w:t>
      </w:r>
    </w:p>
    <w:p>
      <w:pPr>
        <w:pStyle w:val="ListBullet"/>
        <w:spacing w:after="40"/>
      </w:pPr>
      <w:r>
        <w:rPr>
          <w:b/>
          <w:sz w:val="20"/>
        </w:rPr>
        <w:t>Completitud:</w:t>
      </w:r>
      <w:r>
        <w:rPr>
          <w:sz w:val="20"/>
        </w:rPr>
        <w:t xml:space="preserve"> 100 % de los registros de la ventana en línea presentes en destino o justificados en cuarentena. No se acepta pérdida silenciosa.</w:t>
      </w:r>
    </w:p>
    <w:p>
      <w:pPr>
        <w:pStyle w:val="ListBullet"/>
        <w:spacing w:after="40"/>
      </w:pPr>
      <w:r>
        <w:rPr>
          <w:b/>
          <w:sz w:val="20"/>
        </w:rPr>
        <w:t>Exactitud:</w:t>
      </w:r>
      <w:r>
        <w:rPr>
          <w:sz w:val="20"/>
        </w:rPr>
        <w:t xml:space="preserve"> diferencia cero en las sumas de control por período; toda discrepancia explicada y documentada.</w:t>
      </w:r>
    </w:p>
    <w:p>
      <w:pPr>
        <w:pStyle w:val="ListBullet"/>
        <w:spacing w:after="40"/>
      </w:pPr>
      <w:r>
        <w:rPr>
          <w:b/>
          <w:sz w:val="20"/>
        </w:rPr>
        <w:t>Integridad referencial:</w:t>
      </w:r>
      <w:r>
        <w:rPr>
          <w:sz w:val="20"/>
        </w:rPr>
        <w:t xml:space="preserve"> cero referencias huérfanas en el árbol de trazabilidad migrado.</w:t>
      </w:r>
    </w:p>
    <w:p>
      <w:pPr>
        <w:pStyle w:val="ListBullet"/>
        <w:spacing w:after="40"/>
      </w:pPr>
      <w:r>
        <w:rPr>
          <w:b/>
          <w:sz w:val="20"/>
        </w:rPr>
        <w:t>Trazabilidad:</w:t>
      </w:r>
      <w:r>
        <w:rPr>
          <w:sz w:val="20"/>
        </w:rPr>
        <w:t xml:space="preserve"> todo registro migrado conserva su origen y su marca de migración, distinguible del dato nacido digital.</w:t>
      </w:r>
    </w:p>
    <w:p>
      <w:pPr>
        <w:pStyle w:val="ListBullet"/>
        <w:spacing w:after="40"/>
      </w:pPr>
      <w:r>
        <w:rPr>
          <w:b/>
          <w:sz w:val="20"/>
        </w:rPr>
        <w:t>Reversa:</w:t>
      </w:r>
      <w:r>
        <w:rPr>
          <w:sz w:val="20"/>
        </w:rPr>
        <w:t xml:space="preserve"> hasta el acta de conciliación la fuente permanece operativa en sólo lectura, de modo que la marcha atrás consiste en reactivarla. Se ensaya en el segundo ensayo de carga y su tiempo se mide.</w:t>
      </w:r>
    </w:p>
    <w:p>
      <w:pPr>
        <w:keepNext/>
        <w:spacing w:before="200" w:after="80"/>
      </w:pPr>
      <w:r>
        <w:rPr>
          <w:b/>
          <w:color w:val="1F4D75"/>
          <w:sz w:val="23"/>
        </w:rPr>
        <w:t>3.4 Repositorio de consulta histórica</w:t>
      </w:r>
    </w:p>
    <w:p>
      <w:pPr>
        <w:jc w:val="both"/>
      </w:pPr>
      <w:r>
        <w:rPr>
          <w:sz w:val="20"/>
        </w:rPr>
        <w:t>Lo que queda fuera de la ventana en línea no se descarta: se carga en un repositorio de sólo lectura que responde con la marca de origen anterior al sistema, con el mismo control de acceso, la misma auditoría y el mismo tratamiento del dato sensible que el registro vivo. No alimenta conciliación, indicadores ni recálculo retroactivo, porque su calidad no es la del dato nacido digital y mezclarlos contaminaría las cifras comprometidas.</w:t>
      </w:r>
    </w:p>
    <w:p>
      <w:r>
        <w:br w:type="page"/>
      </w:r>
    </w:p>
    <w:p>
      <w:pPr>
        <w:keepNext/>
        <w:spacing w:before="280" w:after="80"/>
      </w:pPr>
      <w:r>
        <w:rPr>
          <w:b/>
          <w:color w:val="0D2B45"/>
          <w:sz w:val="28"/>
        </w:rPr>
        <w:t>4. Estrategia de desempeño</w:t>
      </w:r>
    </w:p>
    <w:p>
      <w:pPr>
        <w:keepNext/>
        <w:spacing w:before="200" w:after="80"/>
      </w:pPr>
      <w:r>
        <w:rPr>
          <w:b/>
          <w:color w:val="1F4D75"/>
          <w:sz w:val="23"/>
        </w:rPr>
        <w:t>4.1 Umbrales que dimensionan la estrategia</w:t>
      </w:r>
    </w:p>
    <w:tbl>
      <w:tblPr>
        <w:tblStyle w:val="TableGrid"/>
        <w:tblW w:type="auto" w:w="0"/>
        <w:jc w:val="center"/>
        <w:tblLook w:firstColumn="1" w:firstRow="1" w:lastColumn="0" w:lastRow="0" w:noHBand="0" w:noVBand="1" w:val="04A0"/>
      </w:tblPr>
      <w:tblGrid>
        <w:gridCol w:w="4876"/>
        <w:gridCol w:w="4876"/>
      </w:tblGrid>
      <w:tr>
        <w:tc>
          <w:tcPr>
            <w:tcW w:type="dxa" w:w="4876"/>
            <w:shd w:val="clear" w:fill="E7EEF6"/>
          </w:tcPr>
          <w:p>
            <w:pPr>
              <w:spacing w:after="20"/>
            </w:pPr>
            <w:r/>
            <w:r>
              <w:rPr>
                <w:b/>
                <w:sz w:val="17"/>
              </w:rPr>
              <w:t>Umbral</w:t>
            </w:r>
          </w:p>
        </w:tc>
        <w:tc>
          <w:tcPr>
            <w:tcW w:type="dxa" w:w="4876"/>
            <w:shd w:val="clear" w:fill="E7EEF6"/>
          </w:tcPr>
          <w:p>
            <w:pPr>
              <w:spacing w:after="20"/>
            </w:pPr>
            <w:r/>
            <w:r>
              <w:rPr>
                <w:b/>
                <w:sz w:val="17"/>
              </w:rPr>
              <w:t>Valor comprometido</w:t>
            </w:r>
          </w:p>
        </w:tc>
      </w:tr>
      <w:tr>
        <w:tc>
          <w:tcPr>
            <w:tcW w:type="dxa" w:w="4876"/>
          </w:tcPr>
          <w:p>
            <w:pPr>
              <w:spacing w:after="20"/>
            </w:pPr>
            <w:r/>
            <w:r>
              <w:rPr>
                <w:sz w:val="17"/>
              </w:rPr>
              <w:t>Transacciones por segundo en régimen y en peak</w:t>
            </w:r>
          </w:p>
        </w:tc>
        <w:tc>
          <w:tcPr>
            <w:tcW w:type="dxa" w:w="4876"/>
          </w:tcPr>
          <w:p>
            <w:pPr>
              <w:spacing w:after="20"/>
            </w:pPr>
            <w:r/>
            <w:r>
              <w:rPr>
                <w:sz w:val="17"/>
              </w:rPr>
              <w:t>40 y 200, con degradación no superior al 20 % del tiempo de respuesta durante 45 a 60 minutos</w:t>
            </w:r>
          </w:p>
        </w:tc>
      </w:tr>
      <w:tr>
        <w:tc>
          <w:tcPr>
            <w:tcW w:type="dxa" w:w="4876"/>
          </w:tcPr>
          <w:p>
            <w:pPr>
              <w:spacing w:after="20"/>
            </w:pPr>
            <w:r/>
            <w:r>
              <w:rPr>
                <w:sz w:val="17"/>
              </w:rPr>
              <w:t>Validación de habilitación en portería</w:t>
            </w:r>
          </w:p>
        </w:tc>
        <w:tc>
          <w:tcPr>
            <w:tcW w:type="dxa" w:w="4876"/>
          </w:tcPr>
          <w:p>
            <w:pPr>
              <w:spacing w:after="20"/>
            </w:pPr>
            <w:r/>
            <w:r>
              <w:rPr>
                <w:sz w:val="17"/>
              </w:rPr>
              <w:t>≤ 1,5 segundos, incluso sin enlace</w:t>
            </w:r>
          </w:p>
        </w:tc>
      </w:tr>
      <w:tr>
        <w:tc>
          <w:tcPr>
            <w:tcW w:type="dxa" w:w="4876"/>
          </w:tcPr>
          <w:p>
            <w:pPr>
              <w:spacing w:after="20"/>
            </w:pPr>
            <w:r/>
            <w:r>
              <w:rPr>
                <w:sz w:val="17"/>
              </w:rPr>
              <w:t>Apertura de sesión de operador por proximidad</w:t>
            </w:r>
          </w:p>
        </w:tc>
        <w:tc>
          <w:tcPr>
            <w:tcW w:type="dxa" w:w="4876"/>
          </w:tcPr>
          <w:p>
            <w:pPr>
              <w:spacing w:after="20"/>
            </w:pPr>
            <w:r/>
            <w:r>
              <w:rPr>
                <w:sz w:val="17"/>
              </w:rPr>
              <w:t>≤ 1 segundo desde la lectura</w:t>
            </w:r>
          </w:p>
        </w:tc>
      </w:tr>
      <w:tr>
        <w:tc>
          <w:tcPr>
            <w:tcW w:type="dxa" w:w="4876"/>
          </w:tcPr>
          <w:p>
            <w:pPr>
              <w:spacing w:after="20"/>
            </w:pPr>
            <w:r/>
            <w:r>
              <w:rPr>
                <w:sz w:val="17"/>
              </w:rPr>
              <w:t>Latencia analítica</w:t>
            </w:r>
          </w:p>
        </w:tc>
        <w:tc>
          <w:tcPr>
            <w:tcW w:type="dxa" w:w="4876"/>
          </w:tcPr>
          <w:p>
            <w:pPr>
              <w:spacing w:after="20"/>
            </w:pPr>
            <w:r/>
            <w:r>
              <w:rPr>
                <w:sz w:val="17"/>
              </w:rPr>
              <w:t>≤ 15 minutos para indicadores de turno; ≤ 4 horas para gestión</w:t>
            </w:r>
          </w:p>
        </w:tc>
      </w:tr>
      <w:tr>
        <w:tc>
          <w:tcPr>
            <w:tcW w:type="dxa" w:w="4876"/>
          </w:tcPr>
          <w:p>
            <w:pPr>
              <w:spacing w:after="20"/>
            </w:pPr>
            <w:r/>
            <w:r>
              <w:rPr>
                <w:sz w:val="17"/>
              </w:rPr>
              <w:t>Reconstrucción del origen de un lote embarcado</w:t>
            </w:r>
          </w:p>
        </w:tc>
        <w:tc>
          <w:tcPr>
            <w:tcW w:type="dxa" w:w="4876"/>
          </w:tcPr>
          <w:p>
            <w:pPr>
              <w:spacing w:after="20"/>
            </w:pPr>
            <w:r/>
            <w:r>
              <w:rPr>
                <w:sz w:val="17"/>
              </w:rPr>
              <w:t>Menos de 2 horas, con evidencia</w:t>
            </w:r>
          </w:p>
        </w:tc>
      </w:tr>
      <w:tr>
        <w:tc>
          <w:tcPr>
            <w:tcW w:type="dxa" w:w="4876"/>
          </w:tcPr>
          <w:p>
            <w:pPr>
              <w:spacing w:after="20"/>
            </w:pPr>
            <w:r/>
            <w:r>
              <w:rPr>
                <w:sz w:val="17"/>
              </w:rPr>
              <w:t>Sincronización tras 48 horas sin enlace</w:t>
            </w:r>
          </w:p>
        </w:tc>
        <w:tc>
          <w:tcPr>
            <w:tcW w:type="dxa" w:w="4876"/>
          </w:tcPr>
          <w:p>
            <w:pPr>
              <w:spacing w:after="20"/>
            </w:pPr>
            <w:r/>
            <w:r>
              <w:rPr>
                <w:sz w:val="17"/>
              </w:rPr>
              <w:t>≤ 4 horas, sin intervención manual</w:t>
            </w:r>
          </w:p>
        </w:tc>
      </w:tr>
      <w:tr>
        <w:tc>
          <w:tcPr>
            <w:tcW w:type="dxa" w:w="4876"/>
          </w:tcPr>
          <w:p>
            <w:pPr>
              <w:spacing w:after="20"/>
            </w:pPr>
            <w:r/>
            <w:r>
              <w:rPr>
                <w:sz w:val="17"/>
              </w:rPr>
              <w:t>Crecimiento sostenido sin rediseño</w:t>
            </w:r>
          </w:p>
        </w:tc>
        <w:tc>
          <w:tcPr>
            <w:tcW w:type="dxa" w:w="4876"/>
          </w:tcPr>
          <w:p>
            <w:pPr>
              <w:spacing w:after="20"/>
            </w:pPr>
            <w:r/>
            <w:r>
              <w:rPr>
                <w:sz w:val="17"/>
              </w:rPr>
              <w:t>El triple del volumen declarado</w:t>
            </w:r>
          </w:p>
        </w:tc>
      </w:tr>
    </w:tbl>
    <w:p>
      <w:pPr>
        <w:spacing w:after="40"/>
      </w:pPr>
    </w:p>
    <w:p>
      <w:pPr>
        <w:keepNext/>
        <w:spacing w:before="200" w:after="80"/>
      </w:pPr>
      <w:r>
        <w:rPr>
          <w:b/>
          <w:color w:val="1F4D75"/>
          <w:sz w:val="23"/>
        </w:rPr>
        <w:t>4.2 Indexación</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Tipo de índice</w:t>
            </w:r>
          </w:p>
        </w:tc>
        <w:tc>
          <w:tcPr>
            <w:tcW w:type="dxa" w:w="3251"/>
            <w:shd w:val="clear" w:fill="E7EEF6"/>
          </w:tcPr>
          <w:p>
            <w:pPr>
              <w:spacing w:after="20"/>
            </w:pPr>
            <w:r/>
            <w:r>
              <w:rPr>
                <w:b/>
                <w:sz w:val="17"/>
              </w:rPr>
              <w:t>Dónde</w:t>
            </w:r>
          </w:p>
        </w:tc>
        <w:tc>
          <w:tcPr>
            <w:tcW w:type="dxa" w:w="3251"/>
            <w:shd w:val="clear" w:fill="E7EEF6"/>
          </w:tcPr>
          <w:p>
            <w:pPr>
              <w:spacing w:after="20"/>
            </w:pPr>
            <w:r/>
            <w:r>
              <w:rPr>
                <w:b/>
                <w:sz w:val="17"/>
              </w:rPr>
              <w:t>Qué consulta sostiene</w:t>
            </w:r>
          </w:p>
        </w:tc>
      </w:tr>
      <w:tr>
        <w:tc>
          <w:tcPr>
            <w:tcW w:type="dxa" w:w="3251"/>
          </w:tcPr>
          <w:p>
            <w:pPr>
              <w:spacing w:after="20"/>
            </w:pPr>
            <w:r/>
            <w:r>
              <w:rPr>
                <w:sz w:val="17"/>
              </w:rPr>
              <w:t>Clave primaria y únicos</w:t>
            </w:r>
          </w:p>
        </w:tc>
        <w:tc>
          <w:tcPr>
            <w:tcW w:type="dxa" w:w="3251"/>
          </w:tcPr>
          <w:p>
            <w:pPr>
              <w:spacing w:after="20"/>
            </w:pPr>
            <w:r/>
            <w:r>
              <w:rPr>
                <w:sz w:val="17"/>
              </w:rPr>
              <w:t>Todas las entidades; par entidad-versión en las versionadas</w:t>
            </w:r>
          </w:p>
        </w:tc>
        <w:tc>
          <w:tcPr>
            <w:tcW w:type="dxa" w:w="3251"/>
          </w:tcPr>
          <w:p>
            <w:pPr>
              <w:spacing w:after="20"/>
            </w:pPr>
            <w:r/>
            <w:r>
              <w:rPr>
                <w:sz w:val="17"/>
              </w:rPr>
              <w:t>Resolución por identificador y unicidad de la versión vigente</w:t>
            </w:r>
          </w:p>
        </w:tc>
      </w:tr>
      <w:tr>
        <w:tc>
          <w:tcPr>
            <w:tcW w:type="dxa" w:w="3251"/>
          </w:tcPr>
          <w:p>
            <w:pPr>
              <w:spacing w:after="20"/>
            </w:pPr>
            <w:r/>
            <w:r>
              <w:rPr>
                <w:sz w:val="17"/>
              </w:rPr>
              <w:t>Clave foránea</w:t>
            </w:r>
          </w:p>
        </w:tc>
        <w:tc>
          <w:tcPr>
            <w:tcW w:type="dxa" w:w="3251"/>
          </w:tcPr>
          <w:p>
            <w:pPr>
              <w:spacing w:after="20"/>
            </w:pPr>
            <w:r/>
            <w:r>
              <w:rPr>
                <w:sz w:val="17"/>
              </w:rPr>
              <w:t>Viaje, Pesaje, Aporte, Retoma, Composición de lote, Habilitación, Detención</w:t>
            </w:r>
          </w:p>
        </w:tc>
        <w:tc>
          <w:tcPr>
            <w:tcW w:type="dxa" w:w="3251"/>
          </w:tcPr>
          <w:p>
            <w:pPr>
              <w:spacing w:after="20"/>
            </w:pPr>
            <w:r/>
            <w:r>
              <w:rPr>
                <w:sz w:val="17"/>
              </w:rPr>
              <w:t>Recorrido del árbol de trazabilidad en ambos sentidos</w:t>
            </w:r>
          </w:p>
        </w:tc>
      </w:tr>
      <w:tr>
        <w:tc>
          <w:tcPr>
            <w:tcW w:type="dxa" w:w="3251"/>
          </w:tcPr>
          <w:p>
            <w:pPr>
              <w:spacing w:after="20"/>
            </w:pPr>
            <w:r/>
            <w:r>
              <w:rPr>
                <w:sz w:val="17"/>
              </w:rPr>
              <w:t>Compuestos</w:t>
            </w:r>
          </w:p>
        </w:tc>
        <w:tc>
          <w:tcPr>
            <w:tcW w:type="dxa" w:w="3251"/>
          </w:tcPr>
          <w:p>
            <w:pPr>
              <w:spacing w:after="20"/>
            </w:pPr>
            <w:r/>
            <w:r>
              <w:rPr>
                <w:sz w:val="17"/>
              </w:rPr>
              <w:t>Viaje por turno y equipo; Detención por equipo y estado; Habilitación por persona y estado</w:t>
            </w:r>
          </w:p>
        </w:tc>
        <w:tc>
          <w:tcPr>
            <w:tcW w:type="dxa" w:w="3251"/>
          </w:tcPr>
          <w:p>
            <w:pPr>
              <w:spacing w:after="20"/>
            </w:pPr>
            <w:r/>
            <w:r>
              <w:rPr>
                <w:sz w:val="17"/>
              </w:rPr>
              <w:t>Indicadores por turno, cierre de turno y validación de portería</w:t>
            </w:r>
          </w:p>
        </w:tc>
      </w:tr>
      <w:tr>
        <w:tc>
          <w:tcPr>
            <w:tcW w:type="dxa" w:w="3251"/>
          </w:tcPr>
          <w:p>
            <w:pPr>
              <w:spacing w:after="20"/>
            </w:pPr>
            <w:r/>
            <w:r>
              <w:rPr>
                <w:sz w:val="17"/>
              </w:rPr>
              <w:t>Parciales</w:t>
            </w:r>
          </w:p>
        </w:tc>
        <w:tc>
          <w:tcPr>
            <w:tcW w:type="dxa" w:w="3251"/>
          </w:tcPr>
          <w:p>
            <w:pPr>
              <w:spacing w:after="20"/>
            </w:pPr>
            <w:r/>
            <w:r>
              <w:rPr>
                <w:sz w:val="17"/>
              </w:rPr>
              <w:t>Detención sin clasificar; Evento pendiente o en cuarentena; Habilitación por vencer</w:t>
            </w:r>
          </w:p>
        </w:tc>
        <w:tc>
          <w:tcPr>
            <w:tcW w:type="dxa" w:w="3251"/>
          </w:tcPr>
          <w:p>
            <w:pPr>
              <w:spacing w:after="20"/>
            </w:pPr>
            <w:r/>
            <w:r>
              <w:rPr>
                <w:sz w:val="17"/>
              </w:rPr>
              <w:t>Consultas de excepción, que son las frecuentes en operación</w:t>
            </w:r>
          </w:p>
        </w:tc>
      </w:tr>
      <w:tr>
        <w:tc>
          <w:tcPr>
            <w:tcW w:type="dxa" w:w="3251"/>
          </w:tcPr>
          <w:p>
            <w:pPr>
              <w:spacing w:after="20"/>
            </w:pPr>
            <w:r/>
            <w:r>
              <w:rPr>
                <w:sz w:val="17"/>
              </w:rPr>
              <w:t>Por rango de bloque</w:t>
            </w:r>
          </w:p>
        </w:tc>
        <w:tc>
          <w:tcPr>
            <w:tcW w:type="dxa" w:w="3251"/>
          </w:tcPr>
          <w:p>
            <w:pPr>
              <w:spacing w:after="20"/>
            </w:pPr>
            <w:r/>
            <w:r>
              <w:rPr>
                <w:sz w:val="17"/>
              </w:rPr>
              <w:t>Pesaje, Evento de terreno y series de tiempo sobre la marca de tiempo</w:t>
            </w:r>
          </w:p>
        </w:tc>
        <w:tc>
          <w:tcPr>
            <w:tcW w:type="dxa" w:w="3251"/>
          </w:tcPr>
          <w:p>
            <w:pPr>
              <w:spacing w:after="20"/>
            </w:pPr>
            <w:r/>
            <w:r>
              <w:rPr>
                <w:sz w:val="17"/>
              </w:rPr>
              <w:t>Consultas por ventana temporal sobre tablas de alto volumen y escritura ordenada</w:t>
            </w:r>
          </w:p>
        </w:tc>
      </w:tr>
      <w:tr>
        <w:tc>
          <w:tcPr>
            <w:tcW w:type="dxa" w:w="3251"/>
          </w:tcPr>
          <w:p>
            <w:pPr>
              <w:spacing w:after="20"/>
            </w:pPr>
            <w:r/>
            <w:r>
              <w:rPr>
                <w:sz w:val="17"/>
              </w:rPr>
              <w:t>Texto completo</w:t>
            </w:r>
          </w:p>
        </w:tc>
        <w:tc>
          <w:tcPr>
            <w:tcW w:type="dxa" w:w="3251"/>
          </w:tcPr>
          <w:p>
            <w:pPr>
              <w:spacing w:after="20"/>
            </w:pPr>
            <w:r/>
            <w:r>
              <w:rPr>
                <w:sz w:val="17"/>
              </w:rPr>
              <w:t>Documentos y hallazgos de inspección</w:t>
            </w:r>
          </w:p>
        </w:tc>
        <w:tc>
          <w:tcPr>
            <w:tcW w:type="dxa" w:w="3251"/>
          </w:tcPr>
          <w:p>
            <w:pPr>
              <w:spacing w:after="20"/>
            </w:pPr>
            <w:r/>
            <w:r>
              <w:rPr>
                <w:sz w:val="17"/>
              </w:rPr>
              <w:t>Búsqueda por contenido. Excluye todo atributo personal sensible</w:t>
            </w:r>
          </w:p>
        </w:tc>
      </w:tr>
    </w:tbl>
    <w:p>
      <w:pPr>
        <w:spacing w:after="40"/>
      </w:pPr>
    </w:p>
    <w:p>
      <w:pPr>
        <w:jc w:val="both"/>
      </w:pPr>
      <w:r>
        <w:rPr>
          <w:sz w:val="20"/>
        </w:rPr>
        <w:t>Los índices se revisan trimestralmente contra el uso real: el que no participa en ningún plan de ejecución durante un trimestre se retira, porque un índice sin uso es costo de escritura en la ruta crítica del cambio de turno.</w:t>
      </w:r>
    </w:p>
    <w:p>
      <w:pPr>
        <w:keepNext/>
        <w:spacing w:before="200" w:after="80"/>
      </w:pPr>
      <w:r>
        <w:rPr>
          <w:b/>
          <w:color w:val="1F4D75"/>
          <w:sz w:val="23"/>
        </w:rPr>
        <w:t>4.3 Particionamiento</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Entidad</w:t>
            </w:r>
          </w:p>
        </w:tc>
        <w:tc>
          <w:tcPr>
            <w:tcW w:type="dxa" w:w="3251"/>
            <w:shd w:val="clear" w:fill="E7EEF6"/>
          </w:tcPr>
          <w:p>
            <w:pPr>
              <w:spacing w:after="20"/>
            </w:pPr>
            <w:r/>
            <w:r>
              <w:rPr>
                <w:b/>
                <w:sz w:val="17"/>
              </w:rPr>
              <w:t>Estrategia</w:t>
            </w:r>
          </w:p>
        </w:tc>
        <w:tc>
          <w:tcPr>
            <w:tcW w:type="dxa" w:w="3251"/>
            <w:shd w:val="clear" w:fill="E7EEF6"/>
          </w:tcPr>
          <w:p>
            <w:pPr>
              <w:spacing w:after="20"/>
            </w:pPr>
            <w:r/>
            <w:r>
              <w:rPr>
                <w:b/>
                <w:sz w:val="17"/>
              </w:rPr>
              <w:t>Fundamento</w:t>
            </w:r>
          </w:p>
        </w:tc>
      </w:tr>
      <w:tr>
        <w:tc>
          <w:tcPr>
            <w:tcW w:type="dxa" w:w="3251"/>
          </w:tcPr>
          <w:p>
            <w:pPr>
              <w:spacing w:after="20"/>
            </w:pPr>
            <w:r/>
            <w:r>
              <w:rPr>
                <w:sz w:val="17"/>
              </w:rPr>
              <w:t>Viaje y Pesaje</w:t>
            </w:r>
          </w:p>
        </w:tc>
        <w:tc>
          <w:tcPr>
            <w:tcW w:type="dxa" w:w="3251"/>
          </w:tcPr>
          <w:p>
            <w:pPr>
              <w:spacing w:after="20"/>
            </w:pPr>
            <w:r/>
            <w:r>
              <w:rPr>
                <w:sz w:val="17"/>
              </w:rPr>
              <w:t>Rango mensual sobre la hora de carguío, alineados</w:t>
            </w:r>
          </w:p>
        </w:tc>
        <w:tc>
          <w:tcPr>
            <w:tcW w:type="dxa" w:w="3251"/>
          </w:tcPr>
          <w:p>
            <w:pPr>
              <w:spacing w:after="20"/>
            </w:pPr>
            <w:r/>
            <w:r>
              <w:rPr>
                <w:sz w:val="17"/>
              </w:rPr>
              <w:t>342.000 viajes al año con acceso concentrado en el período reciente; el alineamiento permite unir particiones equivalentes sin recorrer el histórico</w:t>
            </w:r>
          </w:p>
        </w:tc>
      </w:tr>
      <w:tr>
        <w:tc>
          <w:tcPr>
            <w:tcW w:type="dxa" w:w="3251"/>
          </w:tcPr>
          <w:p>
            <w:pPr>
              <w:spacing w:after="20"/>
            </w:pPr>
            <w:r/>
            <w:r>
              <w:rPr>
                <w:sz w:val="17"/>
              </w:rPr>
              <w:t>Evento de terreno</w:t>
            </w:r>
          </w:p>
        </w:tc>
        <w:tc>
          <w:tcPr>
            <w:tcW w:type="dxa" w:w="3251"/>
          </w:tcPr>
          <w:p>
            <w:pPr>
              <w:spacing w:after="20"/>
            </w:pPr>
            <w:r/>
            <w:r>
              <w:rPr>
                <w:sz w:val="17"/>
              </w:rPr>
              <w:t>Rango mensual con subpartición por sitio</w:t>
            </w:r>
          </w:p>
        </w:tc>
        <w:tc>
          <w:tcPr>
            <w:tcW w:type="dxa" w:w="3251"/>
          </w:tcPr>
          <w:p>
            <w:pPr>
              <w:spacing w:after="20"/>
            </w:pPr>
            <w:r/>
            <w:r>
              <w:rPr>
                <w:sz w:val="17"/>
              </w:rPr>
              <w:t>La reconciliación tras un corte llega concentrada por sitio; la subpartición evita que un sitio afecte la escritura de los otros seis</w:t>
            </w:r>
          </w:p>
        </w:tc>
      </w:tr>
      <w:tr>
        <w:tc>
          <w:tcPr>
            <w:tcW w:type="dxa" w:w="3251"/>
          </w:tcPr>
          <w:p>
            <w:pPr>
              <w:spacing w:after="20"/>
            </w:pPr>
            <w:r/>
            <w:r>
              <w:rPr>
                <w:sz w:val="17"/>
              </w:rPr>
              <w:t>Detención y Alarma</w:t>
            </w:r>
          </w:p>
        </w:tc>
        <w:tc>
          <w:tcPr>
            <w:tcW w:type="dxa" w:w="3251"/>
          </w:tcPr>
          <w:p>
            <w:pPr>
              <w:spacing w:after="20"/>
            </w:pPr>
            <w:r/>
            <w:r>
              <w:rPr>
                <w:sz w:val="17"/>
              </w:rPr>
              <w:t>Rango mensual</w:t>
            </w:r>
          </w:p>
        </w:tc>
        <w:tc>
          <w:tcPr>
            <w:tcW w:type="dxa" w:w="3251"/>
          </w:tcPr>
          <w:p>
            <w:pPr>
              <w:spacing w:after="20"/>
            </w:pPr>
            <w:r/>
            <w:r>
              <w:rPr>
                <w:sz w:val="17"/>
              </w:rPr>
              <w:t>Alto volumen y consulta por ventana; permite archivar por partición completa al cumplirse los 5 años</w:t>
            </w:r>
          </w:p>
        </w:tc>
      </w:tr>
      <w:tr>
        <w:tc>
          <w:tcPr>
            <w:tcW w:type="dxa" w:w="3251"/>
          </w:tcPr>
          <w:p>
            <w:pPr>
              <w:spacing w:after="20"/>
            </w:pPr>
            <w:r/>
            <w:r>
              <w:rPr>
                <w:sz w:val="17"/>
              </w:rPr>
              <w:t>Series de tiempo</w:t>
            </w:r>
          </w:p>
        </w:tc>
        <w:tc>
          <w:tcPr>
            <w:tcW w:type="dxa" w:w="3251"/>
          </w:tcPr>
          <w:p>
            <w:pPr>
              <w:spacing w:after="20"/>
            </w:pPr>
            <w:r/>
            <w:r>
              <w:rPr>
                <w:sz w:val="17"/>
              </w:rPr>
              <w:t>Fragmentos por intervalo, con compresión desde los 30 días</w:t>
            </w:r>
          </w:p>
        </w:tc>
        <w:tc>
          <w:tcPr>
            <w:tcW w:type="dxa" w:w="3251"/>
          </w:tcPr>
          <w:p>
            <w:pPr>
              <w:spacing w:after="20"/>
            </w:pPr>
            <w:r/>
            <w:r>
              <w:rPr>
                <w:sz w:val="17"/>
              </w:rPr>
              <w:t>2 TB al año con escritura por anexado y sin actualización</w:t>
            </w:r>
          </w:p>
        </w:tc>
      </w:tr>
      <w:tr>
        <w:tc>
          <w:tcPr>
            <w:tcW w:type="dxa" w:w="3251"/>
          </w:tcPr>
          <w:p>
            <w:pPr>
              <w:spacing w:after="20"/>
            </w:pPr>
            <w:r>
              <w:t>Asiento de auditoría</w:t>
            </w:r>
            <w:r>
              <w:rPr>
                <w:sz w:val="17"/>
              </w:rPr>
            </w:r>
          </w:p>
        </w:tc>
        <w:tc>
          <w:tcPr>
            <w:tcW w:type="dxa" w:w="3251"/>
          </w:tcPr>
          <w:p>
            <w:pPr>
              <w:spacing w:after="20"/>
            </w:pPr>
            <w:r/>
            <w:r>
              <w:rPr>
                <w:sz w:val="17"/>
              </w:rPr>
              <w:t>Rango mensual, sin borrado</w:t>
            </w:r>
          </w:p>
        </w:tc>
        <w:tc>
          <w:tcPr>
            <w:tcW w:type="dxa" w:w="3251"/>
          </w:tcPr>
          <w:p>
            <w:pPr>
              <w:spacing w:after="20"/>
            </w:pPr>
            <w:r/>
            <w:r>
              <w:rPr>
                <w:sz w:val="17"/>
              </w:rPr>
              <w:t>Retención de 10 años; el archivado es un movimiento de partición y no un recorrido de filas</w:t>
            </w:r>
          </w:p>
        </w:tc>
      </w:tr>
    </w:tbl>
    <w:p>
      <w:pPr>
        <w:spacing w:after="40"/>
      </w:pPr>
    </w:p>
    <w:p>
      <w:pPr>
        <w:jc w:val="both"/>
      </w:pPr>
      <w:r>
        <w:rPr>
          <w:sz w:val="20"/>
        </w:rPr>
        <w:t>El particionamiento por rango es también el mecanismo de archivado y de eliminación: al cumplirse el plazo, la operación es sobre la partición completa y no fila a fila, que sobre esta volumetría no termina en la ventana de mantenimiento.</w:t>
      </w:r>
    </w:p>
    <w:p>
      <w:pPr>
        <w:keepNext/>
        <w:spacing w:before="200" w:after="80"/>
      </w:pPr>
      <w:r>
        <w:rPr>
          <w:b/>
          <w:color w:val="1F4D75"/>
          <w:sz w:val="23"/>
        </w:rPr>
        <w:t>4.4 Caché</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Caché</w:t>
            </w:r>
          </w:p>
        </w:tc>
        <w:tc>
          <w:tcPr>
            <w:tcW w:type="dxa" w:w="3251"/>
            <w:shd w:val="clear" w:fill="E7EEF6"/>
          </w:tcPr>
          <w:p>
            <w:pPr>
              <w:spacing w:after="20"/>
            </w:pPr>
            <w:r/>
            <w:r>
              <w:rPr>
                <w:b/>
                <w:sz w:val="17"/>
              </w:rPr>
              <w:t>Vigencia</w:t>
            </w:r>
          </w:p>
        </w:tc>
        <w:tc>
          <w:tcPr>
            <w:tcW w:type="dxa" w:w="3251"/>
            <w:shd w:val="clear" w:fill="E7EEF6"/>
          </w:tcPr>
          <w:p>
            <w:pPr>
              <w:spacing w:after="20"/>
            </w:pPr>
            <w:r/>
            <w:r>
              <w:rPr>
                <w:b/>
                <w:sz w:val="17"/>
              </w:rPr>
              <w:t>Qué resuelve</w:t>
            </w:r>
          </w:p>
        </w:tc>
      </w:tr>
      <w:tr>
        <w:tc>
          <w:tcPr>
            <w:tcW w:type="dxa" w:w="3251"/>
          </w:tcPr>
          <w:p>
            <w:pPr>
              <w:spacing w:after="20"/>
            </w:pPr>
            <w:r/>
            <w:r>
              <w:rPr>
                <w:sz w:val="17"/>
              </w:rPr>
              <w:t>Credenciales y habilitaciones en el nodo de borde</w:t>
            </w:r>
          </w:p>
        </w:tc>
        <w:tc>
          <w:tcPr>
            <w:tcW w:type="dxa" w:w="3251"/>
          </w:tcPr>
          <w:p>
            <w:pPr>
              <w:spacing w:after="20"/>
            </w:pPr>
            <w:r/>
            <w:r>
              <w:rPr>
                <w:sz w:val="17"/>
              </w:rPr>
              <w:t>Máximo 72 horas</w:t>
            </w:r>
          </w:p>
        </w:tc>
        <w:tc>
          <w:tcPr>
            <w:tcW w:type="dxa" w:w="3251"/>
          </w:tcPr>
          <w:p>
            <w:pPr>
              <w:spacing w:after="20"/>
            </w:pPr>
            <w:r/>
            <w:r>
              <w:rPr>
                <w:sz w:val="17"/>
              </w:rPr>
              <w:t>Sostiene la validación de portería en 1,5 segundos durante un corte. Guarda el estado de habilitación, nunca su resultado</w:t>
            </w:r>
          </w:p>
        </w:tc>
      </w:tr>
      <w:tr>
        <w:tc>
          <w:tcPr>
            <w:tcW w:type="dxa" w:w="3251"/>
          </w:tcPr>
          <w:p>
            <w:pPr>
              <w:spacing w:after="20"/>
            </w:pPr>
            <w:r/>
            <w:r>
              <w:rPr>
                <w:sz w:val="17"/>
              </w:rPr>
              <w:t>Estado de sesión y de proceso</w:t>
            </w:r>
          </w:p>
        </w:tc>
        <w:tc>
          <w:tcPr>
            <w:tcW w:type="dxa" w:w="3251"/>
          </w:tcPr>
          <w:p>
            <w:pPr>
              <w:spacing w:after="20"/>
            </w:pPr>
            <w:r/>
            <w:r>
              <w:rPr>
                <w:sz w:val="17"/>
              </w:rPr>
              <w:t>Según sesión</w:t>
            </w:r>
          </w:p>
        </w:tc>
        <w:tc>
          <w:tcPr>
            <w:tcW w:type="dxa" w:w="3251"/>
          </w:tcPr>
          <w:p>
            <w:pPr>
              <w:spacing w:after="20"/>
            </w:pPr>
            <w:r/>
            <w:r>
              <w:rPr>
                <w:sz w:val="17"/>
              </w:rPr>
              <w:t>Los servicios no guardan estado en memoria; reside en almacén externo de alta disponibilidad</w:t>
            </w:r>
          </w:p>
        </w:tc>
      </w:tr>
      <w:tr>
        <w:tc>
          <w:tcPr>
            <w:tcW w:type="dxa" w:w="3251"/>
          </w:tcPr>
          <w:p>
            <w:pPr>
              <w:spacing w:after="20"/>
            </w:pPr>
            <w:r/>
            <w:r>
              <w:rPr>
                <w:sz w:val="17"/>
              </w:rPr>
              <w:t>Consultas de los portales</w:t>
            </w:r>
          </w:p>
        </w:tc>
        <w:tc>
          <w:tcPr>
            <w:tcW w:type="dxa" w:w="3251"/>
          </w:tcPr>
          <w:p>
            <w:pPr>
              <w:spacing w:after="20"/>
            </w:pPr>
            <w:r/>
            <w:r>
              <w:rPr>
                <w:sz w:val="17"/>
              </w:rPr>
              <w:t>5 a 15 minutos</w:t>
            </w:r>
          </w:p>
        </w:tc>
        <w:tc>
          <w:tcPr>
            <w:tcW w:type="dxa" w:w="3251"/>
          </w:tcPr>
          <w:p>
            <w:pPr>
              <w:spacing w:after="20"/>
            </w:pPr>
            <w:r/>
            <w:r>
              <w:rPr>
                <w:sz w:val="17"/>
              </w:rPr>
              <w:t>Aísla el tráfico externo del núcleo: cero degradación de los umbrales de terreno ante diez veces el tráfico medio del portal</w:t>
            </w:r>
          </w:p>
        </w:tc>
      </w:tr>
      <w:tr>
        <w:tc>
          <w:tcPr>
            <w:tcW w:type="dxa" w:w="3251"/>
          </w:tcPr>
          <w:p>
            <w:pPr>
              <w:spacing w:after="20"/>
            </w:pPr>
            <w:r/>
            <w:r>
              <w:rPr>
                <w:sz w:val="17"/>
              </w:rPr>
              <w:t>Catálogos y parámetros vigentes</w:t>
            </w:r>
          </w:p>
        </w:tc>
        <w:tc>
          <w:tcPr>
            <w:tcW w:type="dxa" w:w="3251"/>
          </w:tcPr>
          <w:p>
            <w:pPr>
              <w:spacing w:after="20"/>
            </w:pPr>
            <w:r/>
            <w:r>
              <w:rPr>
                <w:sz w:val="17"/>
              </w:rPr>
              <w:t>Invalidación por evento</w:t>
            </w:r>
          </w:p>
        </w:tc>
        <w:tc>
          <w:tcPr>
            <w:tcW w:type="dxa" w:w="3251"/>
          </w:tcPr>
          <w:p>
            <w:pPr>
              <w:spacing w:after="20"/>
            </w:pPr>
            <w:r/>
            <w:r>
              <w:rPr>
                <w:sz w:val="17"/>
              </w:rPr>
              <w:t>Evita releer la tabla de parámetros en cada cálculo, y garantiza que un cambio aprobado rija de inmediato</w:t>
            </w:r>
          </w:p>
        </w:tc>
      </w:tr>
    </w:tbl>
    <w:p>
      <w:pPr>
        <w:spacing w:after="40"/>
      </w:pPr>
    </w:p>
    <w:p>
      <w:pPr>
        <w:keepNext/>
        <w:spacing w:before="200" w:after="80"/>
      </w:pPr>
      <w:r>
        <w:rPr>
          <w:b/>
          <w:color w:val="1F4D75"/>
          <w:sz w:val="23"/>
        </w:rPr>
        <w:t>4.5 Optimización de consultas</w:t>
      </w:r>
    </w:p>
    <w:p>
      <w:pPr>
        <w:pStyle w:val="ListBullet"/>
        <w:spacing w:after="40"/>
      </w:pPr>
      <w:r>
        <w:rPr>
          <w:b/>
          <w:sz w:val="20"/>
        </w:rPr>
        <w:t>Vistas materializadas por evento</w:t>
      </w:r>
      <w:r>
        <w:rPr>
          <w:sz w:val="20"/>
        </w:rPr>
        <w:t xml:space="preserve"> para lo que no tolera recorrido: saldo y ley ponderada por acopio, vista única de equipo, personas presentes y estado de sincronización por sitio. Son reconstruibles y no son fuente de verdad.</w:t>
      </w:r>
    </w:p>
    <w:p>
      <w:pPr>
        <w:pStyle w:val="ListBullet"/>
        <w:spacing w:after="40"/>
      </w:pPr>
      <w:r>
        <w:rPr>
          <w:b/>
          <w:sz w:val="20"/>
        </w:rPr>
        <w:t>Consulta recursiva acotada</w:t>
      </w:r>
      <w:r>
        <w:rPr>
          <w:sz w:val="20"/>
        </w:rPr>
        <w:t xml:space="preserve"> para el árbol de composición, con profundidad máxima declarada y resultado paginado.</w:t>
      </w:r>
    </w:p>
    <w:p>
      <w:pPr>
        <w:pStyle w:val="ListBullet"/>
        <w:spacing w:after="40"/>
      </w:pPr>
      <w:r>
        <w:rPr>
          <w:b/>
          <w:sz w:val="20"/>
        </w:rPr>
        <w:t>Separación de cargas por conexión:</w:t>
      </w:r>
      <w:r>
        <w:rPr>
          <w:sz w:val="20"/>
        </w:rPr>
        <w:t xml:space="preserve"> portal y reportería usan un conjunto de conexiones distinto del operacional, para que una consulta pesada no consuma la reserva del registro de terreno.</w:t>
      </w:r>
    </w:p>
    <w:p>
      <w:pPr>
        <w:pStyle w:val="ListBullet"/>
        <w:spacing w:after="40"/>
      </w:pPr>
      <w:r>
        <w:rPr>
          <w:b/>
          <w:sz w:val="20"/>
        </w:rPr>
        <w:t>Tiempo de espera explícito y cortacircuitos</w:t>
      </w:r>
      <w:r>
        <w:rPr>
          <w:sz w:val="20"/>
        </w:rPr>
        <w:t xml:space="preserve"> por adaptador externo: la caída de un sistema del CLIENTE degrada una función, no la operación.</w:t>
      </w:r>
    </w:p>
    <w:p>
      <w:pPr>
        <w:pStyle w:val="ListBullet"/>
        <w:spacing w:after="40"/>
      </w:pPr>
      <w:r>
        <w:rPr>
          <w:b/>
          <w:sz w:val="20"/>
        </w:rPr>
        <w:t>Revisión de planes de ejecución</w:t>
      </w:r>
      <w:r>
        <w:rPr>
          <w:sz w:val="20"/>
        </w:rPr>
        <w:t xml:space="preserve"> sobre las veinte consultas más costosas, con línea base medida en marcha blanca y alerta al superar el doble de esa línea.</w:t>
      </w:r>
    </w:p>
    <w:p>
      <w:pPr>
        <w:pStyle w:val="ListBullet"/>
        <w:spacing w:after="40"/>
      </w:pPr>
      <w:r>
        <w:rPr>
          <w:b/>
          <w:sz w:val="20"/>
        </w:rPr>
        <w:t>Ingesta por lotes</w:t>
      </w:r>
      <w:r>
        <w:rPr>
          <w:sz w:val="20"/>
        </w:rPr>
        <w:t xml:space="preserve"> en la reconciliación posterior a un corte, con tamaño adaptativo y prioridad del registro operacional sobre la telemetría.</w:t>
      </w:r>
    </w:p>
    <w:p>
      <w:pPr>
        <w:keepNext/>
        <w:spacing w:before="200" w:after="80"/>
      </w:pPr>
      <w:r>
        <w:rPr>
          <w:b/>
          <w:color w:val="1F4D75"/>
          <w:sz w:val="23"/>
        </w:rPr>
        <w:t>4.6 Volumetría estimada y método</w:t>
      </w:r>
    </w:p>
    <w:p>
      <w:pPr>
        <w:jc w:val="both"/>
      </w:pPr>
      <w:r>
        <w:rPr>
          <w:sz w:val="20"/>
        </w:rPr>
        <w:t>Las cifras siguientes son estimaciones del PROPONENTE y se declaran con su método, conforme al numeral 14.2 del caso.</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Dimensión</w:t>
            </w:r>
          </w:p>
        </w:tc>
        <w:tc>
          <w:tcPr>
            <w:tcW w:type="dxa" w:w="3251"/>
            <w:shd w:val="clear" w:fill="E7EEF6"/>
          </w:tcPr>
          <w:p>
            <w:pPr>
              <w:spacing w:after="20"/>
            </w:pPr>
            <w:r/>
            <w:r>
              <w:rPr>
                <w:b/>
                <w:sz w:val="17"/>
              </w:rPr>
              <w:t>Valor</w:t>
            </w:r>
          </w:p>
        </w:tc>
        <w:tc>
          <w:tcPr>
            <w:tcW w:type="dxa" w:w="3251"/>
            <w:shd w:val="clear" w:fill="E7EEF6"/>
          </w:tcPr>
          <w:p>
            <w:pPr>
              <w:spacing w:after="20"/>
            </w:pPr>
            <w:r/>
            <w:r>
              <w:rPr>
                <w:b/>
                <w:sz w:val="17"/>
              </w:rPr>
              <w:t>Método de estimación</w:t>
            </w:r>
          </w:p>
        </w:tc>
      </w:tr>
      <w:tr>
        <w:tc>
          <w:tcPr>
            <w:tcW w:type="dxa" w:w="3251"/>
          </w:tcPr>
          <w:p>
            <w:pPr>
              <w:spacing w:after="20"/>
            </w:pPr>
            <w:r/>
            <w:r>
              <w:rPr>
                <w:sz w:val="17"/>
              </w:rPr>
              <w:t>Transacciones por segundo, régimen y peak</w:t>
            </w:r>
          </w:p>
        </w:tc>
        <w:tc>
          <w:tcPr>
            <w:tcW w:type="dxa" w:w="3251"/>
          </w:tcPr>
          <w:p>
            <w:pPr>
              <w:spacing w:after="20"/>
            </w:pPr>
            <w:r/>
            <w:r>
              <w:rPr>
                <w:sz w:val="17"/>
              </w:rPr>
              <w:t>40 y 200</w:t>
            </w:r>
          </w:p>
        </w:tc>
        <w:tc>
          <w:tcPr>
            <w:tcW w:type="dxa" w:w="3251"/>
          </w:tcPr>
          <w:p>
            <w:pPr>
              <w:spacing w:after="20"/>
            </w:pPr>
            <w:r/>
            <w:r>
              <w:rPr>
                <w:sz w:val="17"/>
              </w:rPr>
              <w:t>Ciclo operacional de 342.000 viajes al año con hasta 8 escrituras por viaje, más 2.900 ingresos diarios y eventos de detención, inspección y muestreo. El peak es el cambio de turno, cuando se cierran y abren las sesiones de toda la flota</w:t>
            </w:r>
          </w:p>
        </w:tc>
      </w:tr>
      <w:tr>
        <w:tc>
          <w:tcPr>
            <w:tcW w:type="dxa" w:w="3251"/>
          </w:tcPr>
          <w:p>
            <w:pPr>
              <w:spacing w:after="20"/>
            </w:pPr>
            <w:r/>
            <w:r>
              <w:rPr>
                <w:sz w:val="17"/>
              </w:rPr>
              <w:t>Personas usuarias registradas y concurrentes</w:t>
            </w:r>
          </w:p>
        </w:tc>
        <w:tc>
          <w:tcPr>
            <w:tcW w:type="dxa" w:w="3251"/>
          </w:tcPr>
          <w:p>
            <w:pPr>
              <w:spacing w:after="20"/>
            </w:pPr>
            <w:r/>
            <w:r>
              <w:rPr>
                <w:sz w:val="17"/>
              </w:rPr>
              <w:t>4.180 en régimen y hasta 8.500 en detención mayor; umbral comprometido de 9.000 registradas, 400 concurrentes en régimen y 900 en peak</w:t>
            </w:r>
          </w:p>
        </w:tc>
        <w:tc>
          <w:tcPr>
            <w:tcW w:type="dxa" w:w="3251"/>
          </w:tcPr>
          <w:p>
            <w:pPr>
              <w:spacing w:after="20"/>
            </w:pPr>
            <w:r/>
            <w:r>
              <w:rPr>
                <w:sz w:val="17"/>
              </w:rPr>
              <w:t>1.780 propias más 2.400 contratistas; dotación por turno estimada en la mitad, con 15 % de uso concurrente, lo que da del orden de 350 personas concurrentes con la dotación de hoy. El umbral que se compromete no es ése: RNF-CAP-004 se dimensiona sobre la proyección a tres años del numeral 14.1 —hasta 9.000 personas con acceso— y fija 400 concurrentes en régimen y 900 en el peak de la detención mayor</w:t>
            </w:r>
          </w:p>
        </w:tc>
      </w:tr>
      <w:tr>
        <w:tc>
          <w:tcPr>
            <w:tcW w:type="dxa" w:w="3251"/>
          </w:tcPr>
          <w:p>
            <w:pPr>
              <w:spacing w:after="20"/>
            </w:pPr>
            <w:r/>
            <w:r>
              <w:rPr>
                <w:sz w:val="17"/>
              </w:rPr>
              <w:t>Dispositivos de terreno simultáneos</w:t>
            </w:r>
          </w:p>
        </w:tc>
        <w:tc>
          <w:tcPr>
            <w:tcW w:type="dxa" w:w="3251"/>
          </w:tcPr>
          <w:p>
            <w:pPr>
              <w:spacing w:after="20"/>
            </w:pPr>
            <w:r/>
            <w:r>
              <w:rPr>
                <w:sz w:val="17"/>
              </w:rPr>
              <w:t>160 tabletas C-03</w:t>
            </w:r>
          </w:p>
        </w:tc>
        <w:tc>
          <w:tcPr>
            <w:tcW w:type="dxa" w:w="3251"/>
          </w:tcPr>
          <w:p>
            <w:pPr>
              <w:spacing w:after="20"/>
            </w:pPr>
            <w:r/>
            <w:r>
              <w:rPr>
                <w:sz w:val="17"/>
              </w:rPr>
              <w:t>117 terminales de cabina —38 camiones de extracción, 5 palas, 3 cargadores frontales, 9 perforadoras y 62 equipos de apoyo— y 43 dispositivos de supervisión, muestreo, portería e inspección. Coincide con el Formulario T-11, ítem T11-38: 176 tabletas adquiridas, 160 en operación simultánea y 16 de stock. Los 10 lectores fijos del ítem T11-40 y los 24 lectores portátiles de muestras del T11-46 se cuentan aparte</w:t>
            </w:r>
          </w:p>
        </w:tc>
      </w:tr>
      <w:tr>
        <w:tc>
          <w:tcPr>
            <w:tcW w:type="dxa" w:w="3251"/>
          </w:tcPr>
          <w:p>
            <w:pPr>
              <w:spacing w:after="20"/>
            </w:pPr>
            <w:r/>
            <w:r>
              <w:rPr>
                <w:sz w:val="17"/>
              </w:rPr>
              <w:t>Almacenamiento transaccional</w:t>
            </w:r>
          </w:p>
        </w:tc>
        <w:tc>
          <w:tcPr>
            <w:tcW w:type="dxa" w:w="3251"/>
          </w:tcPr>
          <w:p>
            <w:pPr>
              <w:spacing w:after="20"/>
            </w:pPr>
            <w:r/>
            <w:r>
              <w:rPr>
                <w:sz w:val="17"/>
              </w:rPr>
              <w:t>0,5 TB al año, con capacidad para 1,5 TB</w:t>
            </w:r>
          </w:p>
        </w:tc>
        <w:tc>
          <w:tcPr>
            <w:tcW w:type="dxa" w:w="3251"/>
          </w:tcPr>
          <w:p>
            <w:pPr>
              <w:spacing w:after="20"/>
            </w:pPr>
            <w:r/>
            <w:r>
              <w:rPr>
                <w:sz w:val="17"/>
              </w:rPr>
              <w:t>Filas por entidad y tamaño medio: ~3 millones de eventos de terreno y ~50 millones de asientos de auditoría dominan el volumen. El cálculo útil da ~150 GB; se declara 0,5 TB con factor 3 por índices y respaldo</w:t>
            </w:r>
          </w:p>
        </w:tc>
      </w:tr>
      <w:tr>
        <w:tc>
          <w:tcPr>
            <w:tcW w:type="dxa" w:w="3251"/>
          </w:tcPr>
          <w:p>
            <w:pPr>
              <w:spacing w:after="20"/>
            </w:pPr>
            <w:r/>
            <w:r>
              <w:rPr>
                <w:sz w:val="17"/>
              </w:rPr>
              <w:t>Telemetría y series de tiempo</w:t>
            </w:r>
          </w:p>
        </w:tc>
        <w:tc>
          <w:tcPr>
            <w:tcW w:type="dxa" w:w="3251"/>
          </w:tcPr>
          <w:p>
            <w:pPr>
              <w:spacing w:after="20"/>
            </w:pPr>
            <w:r/>
            <w:r>
              <w:rPr>
                <w:sz w:val="17"/>
              </w:rPr>
              <w:t>2 TB al año</w:t>
            </w:r>
          </w:p>
        </w:tc>
        <w:tc>
          <w:tcPr>
            <w:tcW w:type="dxa" w:w="3251"/>
          </w:tcPr>
          <w:p>
            <w:pPr>
              <w:spacing w:after="20"/>
            </w:pPr>
            <w:r/>
            <w:r>
              <w:rPr>
                <w:sz w:val="17"/>
              </w:rPr>
              <w:t>~5.000 señales del historiador cada 4 segundos y 70 equipos con 20 señales cada 5 minutos, a 50 bytes por lectura y antes de compresión. El historiador declara ~14.500 etiquetas hoy y 16.000 a tres años (numeral 14.1): se ingestan las ~5.000 que alimentan la conciliación, la balanza de alimentación, el monitoreo ambiental y la huella de carbono, y el resto permanece en el historiador, que no se reemplaza y se lee por C-14 bajo demanda. El criterio de selección se somete al CLIENTE y se declara como supuesto; ingestar las 14.500 llevaría el volumen a ~5,7 TB al año</w:t>
            </w:r>
          </w:p>
        </w:tc>
      </w:tr>
      <w:tr>
        <w:tc>
          <w:tcPr>
            <w:tcW w:type="dxa" w:w="3251"/>
          </w:tcPr>
          <w:p>
            <w:pPr>
              <w:spacing w:after="20"/>
            </w:pPr>
            <w:r/>
            <w:r>
              <w:rPr>
                <w:sz w:val="17"/>
              </w:rPr>
              <w:t>Documental y multimedia</w:t>
            </w:r>
          </w:p>
        </w:tc>
        <w:tc>
          <w:tcPr>
            <w:tcW w:type="dxa" w:w="3251"/>
          </w:tcPr>
          <w:p>
            <w:pPr>
              <w:spacing w:after="20"/>
            </w:pPr>
            <w:r/>
            <w:r>
              <w:rPr>
                <w:sz w:val="17"/>
              </w:rPr>
              <w:t>0,5 TB al año</w:t>
            </w:r>
          </w:p>
        </w:tc>
        <w:tc>
          <w:tcPr>
            <w:tcW w:type="dxa" w:w="3251"/>
          </w:tcPr>
          <w:p>
            <w:pPr>
              <w:spacing w:after="20"/>
            </w:pPr>
            <w:r/>
            <w:r>
              <w:rPr>
                <w:sz w:val="17"/>
              </w:rPr>
              <w:t>71.000 certificados de ~200 KB, documentación de habilitación y ~12.000 registros anuales con 3 imágenes de 2 MB. El cálculo útil da ~100 GB; se declara 0,5 TB como cota</w:t>
            </w:r>
          </w:p>
        </w:tc>
      </w:tr>
      <w:tr>
        <w:tc>
          <w:tcPr>
            <w:tcW w:type="dxa" w:w="3251"/>
          </w:tcPr>
          <w:p>
            <w:pPr>
              <w:spacing w:after="20"/>
            </w:pPr>
            <w:r/>
            <w:r>
              <w:rPr>
                <w:sz w:val="17"/>
              </w:rPr>
              <w:t>Datos históricos a migrar</w:t>
            </w:r>
          </w:p>
        </w:tc>
        <w:tc>
          <w:tcPr>
            <w:tcW w:type="dxa" w:w="3251"/>
          </w:tcPr>
          <w:p>
            <w:pPr>
              <w:spacing w:after="20"/>
            </w:pPr>
            <w:r/>
            <w:r>
              <w:rPr>
                <w:sz w:val="17"/>
              </w:rPr>
              <w:t>6 TB</w:t>
            </w:r>
          </w:p>
        </w:tc>
        <w:tc>
          <w:tcPr>
            <w:tcW w:type="dxa" w:w="3251"/>
          </w:tcPr>
          <w:p>
            <w:pPr>
              <w:spacing w:after="20"/>
            </w:pPr>
            <w:r/>
            <w:r>
              <w:rPr>
                <w:sz w:val="17"/>
              </w:rPr>
              <w:t>~1,2 TB estructurados de la ventana declarada más ~4,8 TB de documentos escaneados y evidencia fotográfica histórica</w:t>
            </w:r>
          </w:p>
        </w:tc>
      </w:tr>
      <w:tr>
        <w:tc>
          <w:tcPr>
            <w:tcW w:type="dxa" w:w="3251"/>
          </w:tcPr>
          <w:p>
            <w:pPr>
              <w:spacing w:after="20"/>
            </w:pPr>
            <w:r/>
            <w:r>
              <w:rPr>
                <w:sz w:val="17"/>
              </w:rPr>
              <w:t>Datos generados en faena en un corte de 20 horas</w:t>
            </w:r>
          </w:p>
        </w:tc>
        <w:tc>
          <w:tcPr>
            <w:tcW w:type="dxa" w:w="3251"/>
          </w:tcPr>
          <w:p>
            <w:pPr>
              <w:spacing w:after="20"/>
            </w:pPr>
            <w:r/>
            <w:r>
              <w:rPr>
                <w:sz w:val="17"/>
              </w:rPr>
              <w:t>1,5 GB</w:t>
            </w:r>
          </w:p>
        </w:tc>
        <w:tc>
          <w:tcPr>
            <w:tcW w:type="dxa" w:w="3251"/>
          </w:tcPr>
          <w:p>
            <w:pPr>
              <w:spacing w:after="20"/>
            </w:pPr>
            <w:r/>
            <w:r>
              <w:rPr>
                <w:sz w:val="17"/>
              </w:rPr>
              <w:t>~7.000 eventos de 2 KB, ~200 fotografías de 2 MB y lecturas locales del historiador a ~30 MB por hora. Total calculado ~1,0 GB, con 50 % de holgura. La telemetría de fabricante no se acumula: su fuente es externa y no está disponible durante el corte</w:t>
            </w:r>
          </w:p>
        </w:tc>
      </w:tr>
      <w:tr>
        <w:tc>
          <w:tcPr>
            <w:tcW w:type="dxa" w:w="3251"/>
          </w:tcPr>
          <w:p>
            <w:pPr>
              <w:spacing w:after="20"/>
            </w:pPr>
            <w:r/>
            <w:r>
              <w:rPr>
                <w:sz w:val="17"/>
              </w:rPr>
              <w:t>Sincronización tras el corte</w:t>
            </w:r>
          </w:p>
        </w:tc>
        <w:tc>
          <w:tcPr>
            <w:tcW w:type="dxa" w:w="3251"/>
          </w:tcPr>
          <w:p>
            <w:pPr>
              <w:spacing w:after="20"/>
            </w:pPr>
            <w:r/>
            <w:r>
              <w:rPr>
                <w:sz w:val="17"/>
              </w:rPr>
              <w:t>Menos de 2 horas</w:t>
            </w:r>
          </w:p>
        </w:tc>
        <w:tc>
          <w:tcPr>
            <w:tcW w:type="dxa" w:w="3251"/>
          </w:tcPr>
          <w:p>
            <w:pPr>
              <w:spacing w:after="20"/>
            </w:pPr>
            <w:r/>
            <w:r>
              <w:rPr>
                <w:sz w:val="17"/>
              </w:rPr>
              <w:t>1,5 GB a 5 Mbps efectivos son ~40 minutos de transferencia, más validación, deduplicación y resolución de cuarentena</w:t>
            </w:r>
          </w:p>
        </w:tc>
      </w:tr>
      <w:tr>
        <w:tc>
          <w:tcPr>
            <w:tcW w:type="dxa" w:w="3251"/>
          </w:tcPr>
          <w:p>
            <w:pPr>
              <w:spacing w:after="20"/>
            </w:pPr>
            <w:r/>
            <w:r>
              <w:rPr>
                <w:sz w:val="17"/>
              </w:rPr>
              <w:t>Ancho de banda por sitio</w:t>
            </w:r>
          </w:p>
        </w:tc>
        <w:tc>
          <w:tcPr>
            <w:tcW w:type="dxa" w:w="3251"/>
          </w:tcPr>
          <w:p>
            <w:pPr>
              <w:spacing w:after="20"/>
            </w:pPr>
            <w:r/>
            <w:r>
              <w:rPr>
                <w:sz w:val="17"/>
              </w:rPr>
              <w:t>20 Mbps en faena, 50 en peak; 2 a 5 Mbps en sitios remotos</w:t>
            </w:r>
          </w:p>
        </w:tc>
        <w:tc>
          <w:tcPr>
            <w:tcW w:type="dxa" w:w="3251"/>
          </w:tcPr>
          <w:p>
            <w:pPr>
              <w:spacing w:after="20"/>
            </w:pPr>
            <w:r/>
            <w:r>
              <w:rPr>
                <w:sz w:val="17"/>
              </w:rPr>
              <w:t>Dominado por telemetría y documentos; el registro operacional por sí solo requiere menos de 1 Mbps</w:t>
            </w:r>
          </w:p>
        </w:tc>
      </w:tr>
    </w:tbl>
    <w:p>
      <w:pPr>
        <w:spacing w:after="40"/>
      </w:pPr>
    </w:p>
    <w:p>
      <w:pPr>
        <w:jc w:val="both"/>
      </w:pPr>
      <w:r>
        <w:rPr>
          <w:color w:val="5B6878"/>
          <w:sz w:val="17"/>
        </w:rPr>
        <w:t>Cada cifra se inscribe como supuesto en el Registro de supuestos, conforme al numeral 14.2.</w:t>
      </w:r>
    </w:p>
    <w:p>
      <w:r>
        <w:br w:type="page"/>
      </w:r>
    </w:p>
    <w:p>
      <w:pPr>
        <w:keepNext/>
        <w:spacing w:before="280" w:after="80"/>
      </w:pPr>
      <w:r>
        <w:rPr>
          <w:b/>
          <w:color w:val="0D2B45"/>
          <w:sz w:val="28"/>
        </w:rPr>
        <w:t>5. Separación transaccional y analítica, y modelo de explotación</w:t>
      </w:r>
    </w:p>
    <w:p>
      <w:pPr>
        <w:keepNext/>
        <w:spacing w:before="200" w:after="80"/>
      </w:pPr>
      <w:r>
        <w:rPr>
          <w:b/>
          <w:color w:val="1F4D75"/>
          <w:sz w:val="23"/>
        </w:rPr>
        <w:t>5.1 Separación</w:t>
      </w:r>
    </w:p>
    <w:p>
      <w:pPr>
        <w:jc w:val="both"/>
      </w:pPr>
      <w:r>
        <w:rPr>
          <w:sz w:val="20"/>
        </w:rPr>
        <w:t>El almacenamiento transaccional y el analítico están separados físicamente, en motores distintos y con dimensionamiento independiente. Ninguna consulta analítica se ejecuta contra el núcleo, y ningún proceso operacional depende de la capa analítica: un despliegue o una falla de la analítica no puede detener el registro de un viaje.</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Aspecto</w:t>
            </w:r>
          </w:p>
        </w:tc>
        <w:tc>
          <w:tcPr>
            <w:tcW w:type="dxa" w:w="3251"/>
            <w:shd w:val="clear" w:fill="E7EEF6"/>
          </w:tcPr>
          <w:p>
            <w:pPr>
              <w:spacing w:after="20"/>
            </w:pPr>
            <w:r/>
            <w:r>
              <w:rPr>
                <w:b/>
                <w:sz w:val="17"/>
              </w:rPr>
              <w:t>Transaccional</w:t>
            </w:r>
          </w:p>
        </w:tc>
        <w:tc>
          <w:tcPr>
            <w:tcW w:type="dxa" w:w="3251"/>
            <w:shd w:val="clear" w:fill="E7EEF6"/>
          </w:tcPr>
          <w:p>
            <w:pPr>
              <w:spacing w:after="20"/>
            </w:pPr>
            <w:r/>
            <w:r>
              <w:rPr>
                <w:b/>
                <w:sz w:val="17"/>
              </w:rPr>
              <w:t>Analítico</w:t>
            </w:r>
          </w:p>
        </w:tc>
      </w:tr>
      <w:tr>
        <w:tc>
          <w:tcPr>
            <w:tcW w:type="dxa" w:w="3251"/>
          </w:tcPr>
          <w:p>
            <w:pPr>
              <w:spacing w:after="20"/>
            </w:pPr>
            <w:r/>
            <w:r>
              <w:rPr>
                <w:sz w:val="17"/>
              </w:rPr>
              <w:t>Motor</w:t>
            </w:r>
          </w:p>
        </w:tc>
        <w:tc>
          <w:tcPr>
            <w:tcW w:type="dxa" w:w="3251"/>
          </w:tcPr>
          <w:p>
            <w:pPr>
              <w:spacing w:after="20"/>
            </w:pPr>
            <w:r/>
            <w:r>
              <w:rPr>
                <w:sz w:val="17"/>
              </w:rPr>
              <w:t>PostgreSQL 16, con TimescaleDB para series de tiempo</w:t>
            </w:r>
          </w:p>
        </w:tc>
        <w:tc>
          <w:tcPr>
            <w:tcW w:type="dxa" w:w="3251"/>
          </w:tcPr>
          <w:p>
            <w:pPr>
              <w:spacing w:after="20"/>
            </w:pPr>
            <w:r/>
            <w:r>
              <w:rPr>
                <w:sz w:val="17"/>
              </w:rPr>
              <w:t>ClickHouse 24.8 LTS</w:t>
            </w:r>
          </w:p>
        </w:tc>
      </w:tr>
      <w:tr>
        <w:tc>
          <w:tcPr>
            <w:tcW w:type="dxa" w:w="3251"/>
          </w:tcPr>
          <w:p>
            <w:pPr>
              <w:spacing w:after="20"/>
            </w:pPr>
            <w:r/>
            <w:r>
              <w:rPr>
                <w:sz w:val="17"/>
              </w:rPr>
              <w:t>Modelo</w:t>
            </w:r>
          </w:p>
        </w:tc>
        <w:tc>
          <w:tcPr>
            <w:tcW w:type="dxa" w:w="3251"/>
          </w:tcPr>
          <w:p>
            <w:pPr>
              <w:spacing w:after="20"/>
            </w:pPr>
            <w:r/>
            <w:r>
              <w:rPr>
                <w:sz w:val="17"/>
              </w:rPr>
              <w:t>Relacional en tercera forma normal, con tres desnormalizaciones declaradas</w:t>
            </w:r>
          </w:p>
        </w:tc>
        <w:tc>
          <w:tcPr>
            <w:tcW w:type="dxa" w:w="3251"/>
          </w:tcPr>
          <w:p>
            <w:pPr>
              <w:spacing w:after="20"/>
            </w:pPr>
            <w:r/>
            <w:r>
              <w:rPr>
                <w:sz w:val="17"/>
              </w:rPr>
              <w:t>Dimensional en estrella, con dimensiones conformadas y variación lenta de tipo 2</w:t>
            </w:r>
          </w:p>
        </w:tc>
      </w:tr>
      <w:tr>
        <w:tc>
          <w:tcPr>
            <w:tcW w:type="dxa" w:w="3251"/>
          </w:tcPr>
          <w:p>
            <w:pPr>
              <w:spacing w:after="20"/>
            </w:pPr>
            <w:r/>
            <w:r>
              <w:rPr>
                <w:sz w:val="17"/>
              </w:rPr>
              <w:t>Garantía</w:t>
            </w:r>
          </w:p>
        </w:tc>
        <w:tc>
          <w:tcPr>
            <w:tcW w:type="dxa" w:w="3251"/>
          </w:tcPr>
          <w:p>
            <w:pPr>
              <w:spacing w:after="20"/>
            </w:pPr>
            <w:r/>
            <w:r>
              <w:rPr>
                <w:sz w:val="17"/>
              </w:rPr>
              <w:t>ACID, integridad referencial, serializable en el cierre</w:t>
            </w:r>
          </w:p>
        </w:tc>
        <w:tc>
          <w:tcPr>
            <w:tcW w:type="dxa" w:w="3251"/>
          </w:tcPr>
          <w:p>
            <w:pPr>
              <w:spacing w:after="20"/>
            </w:pPr>
            <w:r/>
            <w:r>
              <w:rPr>
                <w:sz w:val="17"/>
              </w:rPr>
              <w:t>Consistencia eventual con latencia comprometida y medida</w:t>
            </w:r>
          </w:p>
        </w:tc>
      </w:tr>
      <w:tr>
        <w:tc>
          <w:tcPr>
            <w:tcW w:type="dxa" w:w="3251"/>
          </w:tcPr>
          <w:p>
            <w:pPr>
              <w:spacing w:after="20"/>
            </w:pPr>
            <w:r/>
            <w:r>
              <w:rPr>
                <w:sz w:val="17"/>
              </w:rPr>
              <w:t>Escritura</w:t>
            </w:r>
          </w:p>
        </w:tc>
        <w:tc>
          <w:tcPr>
            <w:tcW w:type="dxa" w:w="3251"/>
          </w:tcPr>
          <w:p>
            <w:pPr>
              <w:spacing w:after="20"/>
            </w:pPr>
            <w:r/>
            <w:r>
              <w:rPr>
                <w:sz w:val="17"/>
              </w:rPr>
              <w:t>Alta frecuencia, filas pequeñas, peak en cambio de turno</w:t>
            </w:r>
          </w:p>
        </w:tc>
        <w:tc>
          <w:tcPr>
            <w:tcW w:type="dxa" w:w="3251"/>
          </w:tcPr>
          <w:p>
            <w:pPr>
              <w:spacing w:after="20"/>
            </w:pPr>
            <w:r/>
            <w:r>
              <w:rPr>
                <w:sz w:val="17"/>
              </w:rPr>
              <w:t>Carga incremental por evento, sin actualización</w:t>
            </w:r>
          </w:p>
        </w:tc>
      </w:tr>
      <w:tr>
        <w:tc>
          <w:tcPr>
            <w:tcW w:type="dxa" w:w="3251"/>
          </w:tcPr>
          <w:p>
            <w:pPr>
              <w:spacing w:after="20"/>
            </w:pPr>
            <w:r/>
            <w:r>
              <w:rPr>
                <w:sz w:val="17"/>
              </w:rPr>
              <w:t>Consulta</w:t>
            </w:r>
          </w:p>
        </w:tc>
        <w:tc>
          <w:tcPr>
            <w:tcW w:type="dxa" w:w="3251"/>
          </w:tcPr>
          <w:p>
            <w:pPr>
              <w:spacing w:after="20"/>
            </w:pPr>
            <w:r/>
            <w:r>
              <w:rPr>
                <w:sz w:val="17"/>
              </w:rPr>
              <w:t>Por identificador y ventana reciente</w:t>
            </w:r>
          </w:p>
        </w:tc>
        <w:tc>
          <w:tcPr>
            <w:tcW w:type="dxa" w:w="3251"/>
          </w:tcPr>
          <w:p>
            <w:pPr>
              <w:spacing w:after="20"/>
            </w:pPr>
            <w:r/>
            <w:r>
              <w:rPr>
                <w:sz w:val="17"/>
              </w:rPr>
              <w:t>Agregación sobre grandes volúmenes y series históricas</w:t>
            </w:r>
          </w:p>
        </w:tc>
      </w:tr>
    </w:tbl>
    <w:p>
      <w:pPr>
        <w:spacing w:after="40"/>
      </w:pPr>
    </w:p>
    <w:p>
      <w:pPr>
        <w:keepNext/>
        <w:spacing w:before="200" w:after="80"/>
      </w:pPr>
      <w:r>
        <w:rPr>
          <w:b/>
          <w:color w:val="1F4D75"/>
          <w:sz w:val="23"/>
        </w:rPr>
        <w:t>5.2 Cómo viaja el dato entre capas</w:t>
      </w:r>
    </w:p>
    <w:p>
      <w:pPr>
        <w:jc w:val="both"/>
      </w:pPr>
      <w:r>
        <w:rPr>
          <w:sz w:val="20"/>
        </w:rPr>
        <w:t>La capa analítica se alimenta exclusivamente de los eventos publicados en el bus: no lee la base transaccional ni la replica tabla a tabla. Si un indicador necesita un dato que nadie publica, la corrección es publicar el evento que falta, no abrir un acceso de lectura al núcleo. Cada carga conserva el identificador de correlación del evento de origen, de modo que todo valor del tablero es navegable hasta el registro individual que lo compone y hasta el sistema del que provino.</w:t>
      </w:r>
    </w:p>
    <w:p>
      <w:pPr>
        <w:keepNext/>
        <w:spacing w:before="200" w:after="80"/>
      </w:pPr>
      <w:r>
        <w:rPr>
          <w:b/>
          <w:color w:val="1F4D75"/>
          <w:sz w:val="23"/>
        </w:rPr>
        <w:t>5.3 Modelo dimensional</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Tabla de hechos</w:t>
            </w:r>
          </w:p>
        </w:tc>
        <w:tc>
          <w:tcPr>
            <w:tcW w:type="dxa" w:w="3251"/>
            <w:shd w:val="clear" w:fill="E7EEF6"/>
          </w:tcPr>
          <w:p>
            <w:pPr>
              <w:spacing w:after="20"/>
            </w:pPr>
            <w:r/>
            <w:r>
              <w:rPr>
                <w:b/>
                <w:sz w:val="17"/>
              </w:rPr>
              <w:t>Grano</w:t>
            </w:r>
          </w:p>
        </w:tc>
        <w:tc>
          <w:tcPr>
            <w:tcW w:type="dxa" w:w="3251"/>
            <w:shd w:val="clear" w:fill="E7EEF6"/>
          </w:tcPr>
          <w:p>
            <w:pPr>
              <w:spacing w:after="20"/>
            </w:pPr>
            <w:r/>
            <w:r>
              <w:rPr>
                <w:b/>
                <w:sz w:val="17"/>
              </w:rPr>
              <w:t>Dimensiones conformadas</w:t>
            </w:r>
          </w:p>
        </w:tc>
      </w:tr>
      <w:tr>
        <w:tc>
          <w:tcPr>
            <w:tcW w:type="dxa" w:w="3251"/>
          </w:tcPr>
          <w:p>
            <w:pPr>
              <w:spacing w:after="20"/>
            </w:pPr>
            <w:r/>
            <w:r>
              <w:rPr>
                <w:sz w:val="17"/>
              </w:rPr>
              <w:t>Movimiento de mineral</w:t>
            </w:r>
          </w:p>
        </w:tc>
        <w:tc>
          <w:tcPr>
            <w:tcW w:type="dxa" w:w="3251"/>
          </w:tcPr>
          <w:p>
            <w:pPr>
              <w:spacing w:after="20"/>
            </w:pPr>
            <w:r/>
            <w:r>
              <w:rPr>
                <w:sz w:val="17"/>
              </w:rPr>
              <w:t>Un viaje</w:t>
            </w:r>
          </w:p>
        </w:tc>
        <w:tc>
          <w:tcPr>
            <w:tcW w:type="dxa" w:w="3251"/>
          </w:tcPr>
          <w:p>
            <w:pPr>
              <w:spacing w:after="20"/>
            </w:pPr>
            <w:r/>
            <w:r>
              <w:rPr>
                <w:sz w:val="17"/>
              </w:rPr>
              <w:t>Turno, equipo, polígono, sector, destino, persona operadora, versión de plan</w:t>
            </w:r>
          </w:p>
        </w:tc>
      </w:tr>
      <w:tr>
        <w:tc>
          <w:tcPr>
            <w:tcW w:type="dxa" w:w="3251"/>
          </w:tcPr>
          <w:p>
            <w:pPr>
              <w:spacing w:after="20"/>
            </w:pPr>
            <w:r/>
            <w:r>
              <w:rPr>
                <w:sz w:val="17"/>
              </w:rPr>
              <w:t>Conciliación</w:t>
            </w:r>
          </w:p>
        </w:tc>
        <w:tc>
          <w:tcPr>
            <w:tcW w:type="dxa" w:w="3251"/>
          </w:tcPr>
          <w:p>
            <w:pPr>
              <w:spacing w:after="20"/>
            </w:pPr>
            <w:r/>
            <w:r>
              <w:rPr>
                <w:sz w:val="17"/>
              </w:rPr>
              <w:t>Un período y punto de medición</w:t>
            </w:r>
          </w:p>
        </w:tc>
        <w:tc>
          <w:tcPr>
            <w:tcW w:type="dxa" w:w="3251"/>
          </w:tcPr>
          <w:p>
            <w:pPr>
              <w:spacing w:after="20"/>
            </w:pPr>
            <w:r/>
            <w:r>
              <w:rPr>
                <w:sz w:val="17"/>
              </w:rPr>
              <w:t>Turno, período contable, punto de medición, versión de parámetros</w:t>
            </w:r>
          </w:p>
        </w:tc>
      </w:tr>
      <w:tr>
        <w:tc>
          <w:tcPr>
            <w:tcW w:type="dxa" w:w="3251"/>
          </w:tcPr>
          <w:p>
            <w:pPr>
              <w:spacing w:after="20"/>
            </w:pPr>
            <w:r/>
            <w:r>
              <w:rPr>
                <w:sz w:val="17"/>
              </w:rPr>
              <w:t>Productividad</w:t>
            </w:r>
          </w:p>
        </w:tc>
        <w:tc>
          <w:tcPr>
            <w:tcW w:type="dxa" w:w="3251"/>
          </w:tcPr>
          <w:p>
            <w:pPr>
              <w:spacing w:after="20"/>
            </w:pPr>
            <w:r/>
            <w:r>
              <w:rPr>
                <w:sz w:val="17"/>
              </w:rPr>
              <w:t>Una detención</w:t>
            </w:r>
          </w:p>
        </w:tc>
        <w:tc>
          <w:tcPr>
            <w:tcW w:type="dxa" w:w="3251"/>
          </w:tcPr>
          <w:p>
            <w:pPr>
              <w:spacing w:after="20"/>
            </w:pPr>
            <w:r/>
            <w:r>
              <w:rPr>
                <w:sz w:val="17"/>
              </w:rPr>
              <w:t>Turno, equipo, causa de tres niveles, versión de taxonomía</w:t>
            </w:r>
          </w:p>
        </w:tc>
      </w:tr>
      <w:tr>
        <w:tc>
          <w:tcPr>
            <w:tcW w:type="dxa" w:w="3251"/>
          </w:tcPr>
          <w:p>
            <w:pPr>
              <w:spacing w:after="20"/>
            </w:pPr>
            <w:r/>
            <w:r>
              <w:rPr>
                <w:sz w:val="17"/>
              </w:rPr>
              <w:t>Acceso y habilitación</w:t>
            </w:r>
          </w:p>
        </w:tc>
        <w:tc>
          <w:tcPr>
            <w:tcW w:type="dxa" w:w="3251"/>
          </w:tcPr>
          <w:p>
            <w:pPr>
              <w:spacing w:after="20"/>
            </w:pPr>
            <w:r/>
            <w:r>
              <w:rPr>
                <w:sz w:val="17"/>
              </w:rPr>
              <w:t>Un ingreso o validación</w:t>
            </w:r>
          </w:p>
        </w:tc>
        <w:tc>
          <w:tcPr>
            <w:tcW w:type="dxa" w:w="3251"/>
          </w:tcPr>
          <w:p>
            <w:pPr>
              <w:spacing w:after="20"/>
            </w:pPr>
            <w:r/>
            <w:r>
              <w:rPr>
                <w:sz w:val="17"/>
              </w:rPr>
              <w:t>Turno, persona, empresa contratista, tipo de habilitación</w:t>
            </w:r>
          </w:p>
        </w:tc>
      </w:tr>
      <w:tr>
        <w:tc>
          <w:tcPr>
            <w:tcW w:type="dxa" w:w="3251"/>
          </w:tcPr>
          <w:p>
            <w:pPr>
              <w:spacing w:after="20"/>
            </w:pPr>
            <w:r/>
            <w:r>
              <w:rPr>
                <w:sz w:val="17"/>
              </w:rPr>
              <w:t>Cumplimiento</w:t>
            </w:r>
          </w:p>
        </w:tc>
        <w:tc>
          <w:tcPr>
            <w:tcW w:type="dxa" w:w="3251"/>
          </w:tcPr>
          <w:p>
            <w:pPr>
              <w:spacing w:after="20"/>
            </w:pPr>
            <w:r/>
            <w:r>
              <w:rPr>
                <w:sz w:val="17"/>
              </w:rPr>
              <w:t>Una medición o reporte</w:t>
            </w:r>
          </w:p>
        </w:tc>
        <w:tc>
          <w:tcPr>
            <w:tcW w:type="dxa" w:w="3251"/>
          </w:tcPr>
          <w:p>
            <w:pPr>
              <w:spacing w:after="20"/>
            </w:pPr>
            <w:r/>
            <w:r>
              <w:rPr>
                <w:sz w:val="17"/>
              </w:rPr>
              <w:t>Compromiso, punto de medición, período, destinatario</w:t>
            </w:r>
          </w:p>
        </w:tc>
      </w:tr>
      <w:tr>
        <w:tc>
          <w:tcPr>
            <w:tcW w:type="dxa" w:w="3251"/>
          </w:tcPr>
          <w:p>
            <w:pPr>
              <w:spacing w:after="20"/>
            </w:pPr>
            <w:r/>
            <w:r>
              <w:rPr>
                <w:sz w:val="17"/>
              </w:rPr>
              <w:t>Comercial</w:t>
            </w:r>
          </w:p>
        </w:tc>
        <w:tc>
          <w:tcPr>
            <w:tcW w:type="dxa" w:w="3251"/>
          </w:tcPr>
          <w:p>
            <w:pPr>
              <w:spacing w:after="20"/>
            </w:pPr>
            <w:r/>
            <w:r>
              <w:rPr>
                <w:sz w:val="17"/>
              </w:rPr>
              <w:t>Un lote embarcado</w:t>
            </w:r>
          </w:p>
        </w:tc>
        <w:tc>
          <w:tcPr>
            <w:tcW w:type="dxa" w:w="3251"/>
          </w:tcPr>
          <w:p>
            <w:pPr>
              <w:spacing w:after="20"/>
            </w:pPr>
            <w:r/>
            <w:r>
              <w:rPr>
                <w:sz w:val="17"/>
              </w:rPr>
              <w:t>Embarque, comprador, período, sector de origen</w:t>
            </w:r>
          </w:p>
        </w:tc>
      </w:tr>
    </w:tbl>
    <w:p>
      <w:pPr>
        <w:spacing w:after="40"/>
      </w:pPr>
    </w:p>
    <w:p>
      <w:pPr>
        <w:jc w:val="both"/>
      </w:pPr>
      <w:r>
        <w:rPr>
          <w:sz w:val="20"/>
        </w:rPr>
        <w:t>Las dimensiones se mantienen con variación lenta de tipo 2: cuando cambia la definición de un turno, la taxonomía de detenciones o un factor de emisión, el hecho histórico conserva la versión que regía en su instante. Esa propiedad es la que permite recalcular un período cerrado y obtener exactamente la cifra que se informó.</w:t>
      </w:r>
    </w:p>
    <w:p>
      <w:pPr>
        <w:keepNext/>
        <w:spacing w:before="200" w:after="80"/>
      </w:pPr>
      <w:r>
        <w:rPr>
          <w:b/>
          <w:color w:val="1F4D75"/>
          <w:sz w:val="23"/>
        </w:rPr>
        <w:t>5.4 Modelo de explotación</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Vía</w:t>
            </w:r>
          </w:p>
        </w:tc>
        <w:tc>
          <w:tcPr>
            <w:tcW w:type="dxa" w:w="3251"/>
            <w:shd w:val="clear" w:fill="E7EEF6"/>
          </w:tcPr>
          <w:p>
            <w:pPr>
              <w:spacing w:after="20"/>
            </w:pPr>
            <w:r/>
            <w:r>
              <w:rPr>
                <w:b/>
                <w:sz w:val="17"/>
              </w:rPr>
              <w:t>Destinatario</w:t>
            </w:r>
          </w:p>
        </w:tc>
        <w:tc>
          <w:tcPr>
            <w:tcW w:type="dxa" w:w="3251"/>
            <w:shd w:val="clear" w:fill="E7EEF6"/>
          </w:tcPr>
          <w:p>
            <w:pPr>
              <w:spacing w:after="20"/>
            </w:pPr>
            <w:r/>
            <w:r>
              <w:rPr>
                <w:b/>
                <w:sz w:val="17"/>
              </w:rPr>
              <w:t>Alcance y control</w:t>
            </w:r>
          </w:p>
        </w:tc>
      </w:tr>
      <w:tr>
        <w:tc>
          <w:tcPr>
            <w:tcW w:type="dxa" w:w="3251"/>
          </w:tcPr>
          <w:p>
            <w:pPr>
              <w:spacing w:after="20"/>
            </w:pPr>
            <w:r/>
            <w:r>
              <w:rPr>
                <w:sz w:val="17"/>
              </w:rPr>
              <w:t>Tableros operacionales</w:t>
            </w:r>
          </w:p>
        </w:tc>
        <w:tc>
          <w:tcPr>
            <w:tcW w:type="dxa" w:w="3251"/>
          </w:tcPr>
          <w:p>
            <w:pPr>
              <w:spacing w:after="20"/>
            </w:pPr>
            <w:r/>
            <w:r>
              <w:rPr>
                <w:sz w:val="17"/>
              </w:rPr>
              <w:t>Supervisión de turno y Centro Integrado de Operaciones</w:t>
            </w:r>
          </w:p>
        </w:tc>
        <w:tc>
          <w:tcPr>
            <w:tcW w:type="dxa" w:w="3251"/>
          </w:tcPr>
          <w:p>
            <w:pPr>
              <w:spacing w:after="20"/>
            </w:pPr>
            <w:r/>
            <w:r>
              <w:rPr>
                <w:sz w:val="17"/>
              </w:rPr>
              <w:t>Indicadores por turno con latencia de 15 minutos, con acceso por rol, área y sitio</w:t>
            </w:r>
          </w:p>
        </w:tc>
      </w:tr>
      <w:tr>
        <w:tc>
          <w:tcPr>
            <w:tcW w:type="dxa" w:w="3251"/>
          </w:tcPr>
          <w:p>
            <w:pPr>
              <w:spacing w:after="20"/>
            </w:pPr>
            <w:r/>
            <w:r>
              <w:rPr>
                <w:sz w:val="17"/>
              </w:rPr>
              <w:t>Tableros de gestión</w:t>
            </w:r>
          </w:p>
        </w:tc>
        <w:tc>
          <w:tcPr>
            <w:tcW w:type="dxa" w:w="3251"/>
          </w:tcPr>
          <w:p>
            <w:pPr>
              <w:spacing w:after="20"/>
            </w:pPr>
            <w:r/>
            <w:r>
              <w:rPr>
                <w:sz w:val="17"/>
              </w:rPr>
              <w:t>Superintendencias y gerencias</w:t>
            </w:r>
          </w:p>
        </w:tc>
        <w:tc>
          <w:tcPr>
            <w:tcW w:type="dxa" w:w="3251"/>
          </w:tcPr>
          <w:p>
            <w:pPr>
              <w:spacing w:after="20"/>
            </w:pPr>
            <w:r/>
            <w:r>
              <w:rPr>
                <w:sz w:val="17"/>
              </w:rPr>
              <w:t>Cumplimiento de plan, conciliación, productividad y cumplimiento normativo, con latencia de 4 horas</w:t>
            </w:r>
          </w:p>
        </w:tc>
      </w:tr>
      <w:tr>
        <w:tc>
          <w:tcPr>
            <w:tcW w:type="dxa" w:w="3251"/>
          </w:tcPr>
          <w:p>
            <w:pPr>
              <w:spacing w:after="20"/>
            </w:pPr>
            <w:r/>
            <w:r>
              <w:rPr>
                <w:sz w:val="17"/>
              </w:rPr>
              <w:t>Tablero de calidad de datos</w:t>
            </w:r>
          </w:p>
        </w:tc>
        <w:tc>
          <w:tcPr>
            <w:tcW w:type="dxa" w:w="3251"/>
          </w:tcPr>
          <w:p>
            <w:pPr>
              <w:spacing w:after="20"/>
            </w:pPr>
            <w:r/>
            <w:r>
              <w:rPr>
                <w:sz w:val="17"/>
              </w:rPr>
              <w:t>CLIENTE</w:t>
            </w:r>
          </w:p>
        </w:tc>
        <w:tc>
          <w:tcPr>
            <w:tcW w:type="dxa" w:w="3251"/>
          </w:tcPr>
          <w:p>
            <w:pPr>
              <w:spacing w:after="20"/>
            </w:pPr>
            <w:r/>
            <w:r>
              <w:rPr>
                <w:sz w:val="17"/>
              </w:rPr>
              <w:t>Acceso propio y permanente, sin intervención del ADJUDICATARIO</w:t>
            </w:r>
          </w:p>
        </w:tc>
      </w:tr>
      <w:tr>
        <w:tc>
          <w:tcPr>
            <w:tcW w:type="dxa" w:w="3251"/>
          </w:tcPr>
          <w:p>
            <w:pPr>
              <w:spacing w:after="20"/>
            </w:pPr>
            <w:r/>
            <w:r>
              <w:rPr>
                <w:sz w:val="17"/>
              </w:rPr>
              <w:t>Consulta autoservida</w:t>
            </w:r>
          </w:p>
        </w:tc>
        <w:tc>
          <w:tcPr>
            <w:tcW w:type="dxa" w:w="3251"/>
          </w:tcPr>
          <w:p>
            <w:pPr>
              <w:spacing w:after="20"/>
            </w:pPr>
            <w:r/>
            <w:r>
              <w:rPr>
                <w:sz w:val="17"/>
              </w:rPr>
              <w:t>Analistas designados por el CLIENTE</w:t>
            </w:r>
          </w:p>
        </w:tc>
        <w:tc>
          <w:tcPr>
            <w:tcW w:type="dxa" w:w="3251"/>
          </w:tcPr>
          <w:p>
            <w:pPr>
              <w:spacing w:after="20"/>
            </w:pPr>
            <w:r/>
            <w:r>
              <w:rPr>
                <w:sz w:val="17"/>
              </w:rPr>
              <w:t>Sobre el almacén analítico y nunca sobre el transaccional. Respeta el control de acceso del dato de origen</w:t>
            </w:r>
          </w:p>
        </w:tc>
      </w:tr>
      <w:tr>
        <w:tc>
          <w:tcPr>
            <w:tcW w:type="dxa" w:w="3251"/>
          </w:tcPr>
          <w:p>
            <w:pPr>
              <w:spacing w:after="20"/>
            </w:pPr>
            <w:r/>
            <w:r>
              <w:rPr>
                <w:sz w:val="17"/>
              </w:rPr>
              <w:t>Interfaces de programación</w:t>
            </w:r>
          </w:p>
        </w:tc>
        <w:tc>
          <w:tcPr>
            <w:tcW w:type="dxa" w:w="3251"/>
          </w:tcPr>
          <w:p>
            <w:pPr>
              <w:spacing w:after="20"/>
            </w:pPr>
            <w:r/>
            <w:r>
              <w:rPr>
                <w:sz w:val="17"/>
              </w:rPr>
              <w:t>Sistemas del CLIENTE y terceros autorizados</w:t>
            </w:r>
          </w:p>
        </w:tc>
        <w:tc>
          <w:tcPr>
            <w:tcW w:type="dxa" w:w="3251"/>
          </w:tcPr>
          <w:p>
            <w:pPr>
              <w:spacing w:after="20"/>
            </w:pPr>
            <w:r/>
            <w:r>
              <w:rPr>
                <w:sz w:val="17"/>
              </w:rPr>
              <w:t>Contrato versionado, cuota y límite de tasa por consumidor</w:t>
            </w:r>
          </w:p>
        </w:tc>
      </w:tr>
      <w:tr>
        <w:tc>
          <w:tcPr>
            <w:tcW w:type="dxa" w:w="3251"/>
          </w:tcPr>
          <w:p>
            <w:pPr>
              <w:spacing w:after="20"/>
            </w:pPr>
            <w:r/>
            <w:r>
              <w:rPr>
                <w:sz w:val="17"/>
              </w:rPr>
              <w:t>Exportación total</w:t>
            </w:r>
          </w:p>
        </w:tc>
        <w:tc>
          <w:tcPr>
            <w:tcW w:type="dxa" w:w="3251"/>
          </w:tcPr>
          <w:p>
            <w:pPr>
              <w:spacing w:after="20"/>
            </w:pPr>
            <w:r/>
            <w:r>
              <w:rPr>
                <w:sz w:val="17"/>
              </w:rPr>
              <w:t>CLIENTE</w:t>
            </w:r>
          </w:p>
        </w:tc>
        <w:tc>
          <w:tcPr>
            <w:tcW w:type="dxa" w:w="3251"/>
          </w:tcPr>
          <w:p>
            <w:pPr>
              <w:spacing w:after="20"/>
            </w:pPr>
            <w:r/>
            <w:r>
              <w:rPr>
                <w:sz w:val="17"/>
              </w:rPr>
              <w:t>La información es del CLIENTE: exportación completa en formatos abiertos y documentados, en cualquier momento del Contrato, sin costo adicional y sin intervención del ADJUDICATARIO</w:t>
            </w:r>
          </w:p>
        </w:tc>
      </w:tr>
      <w:tr>
        <w:tc>
          <w:tcPr>
            <w:tcW w:type="dxa" w:w="3251"/>
          </w:tcPr>
          <w:p>
            <w:pPr>
              <w:spacing w:after="20"/>
            </w:pPr>
            <w:r/>
            <w:r>
              <w:rPr>
                <w:sz w:val="17"/>
              </w:rPr>
              <w:t>Publicación externa</w:t>
            </w:r>
          </w:p>
        </w:tc>
        <w:tc>
          <w:tcPr>
            <w:tcW w:type="dxa" w:w="3251"/>
          </w:tcPr>
          <w:p>
            <w:pPr>
              <w:spacing w:after="20"/>
            </w:pPr>
            <w:r/>
            <w:r>
              <w:rPr>
                <w:sz w:val="17"/>
              </w:rPr>
              <w:t>Comprador y autoridad</w:t>
            </w:r>
          </w:p>
        </w:tc>
        <w:tc>
          <w:tcPr>
            <w:tcW w:type="dxa" w:w="3251"/>
          </w:tcPr>
          <w:p>
            <w:pPr>
              <w:spacing w:after="20"/>
            </w:pPr>
            <w:r/>
            <w:r>
              <w:rPr>
                <w:sz w:val="17"/>
              </w:rPr>
              <w:t>Vista de exposición construida por lista blanca de atributos. Ningún atributo confidencial puede alcanzarla, y toda consulta queda registrada</w:t>
            </w:r>
          </w:p>
        </w:tc>
      </w:tr>
    </w:tbl>
    <w:p>
      <w:pPr>
        <w:spacing w:after="40"/>
      </w:pPr>
    </w:p>
    <w:p>
      <w:r>
        <w:br w:type="page"/>
      </w:r>
    </w:p>
    <w:p>
      <w:pPr>
        <w:keepNext/>
        <w:spacing w:before="280" w:after="80"/>
      </w:pPr>
      <w:r>
        <w:rPr>
          <w:b/>
          <w:color w:val="0D2B45"/>
          <w:sz w:val="28"/>
        </w:rPr>
        <w:t>6. Calidad de datos, retención, archivado y eliminación segura</w:t>
      </w:r>
    </w:p>
    <w:p>
      <w:pPr>
        <w:keepNext/>
        <w:spacing w:before="200" w:after="80"/>
      </w:pPr>
      <w:r>
        <w:rPr>
          <w:b/>
          <w:color w:val="1F4D75"/>
          <w:sz w:val="23"/>
        </w:rPr>
        <w:t>6.1 Calidad de datos</w:t>
      </w:r>
    </w:p>
    <w:p>
      <w:pPr>
        <w:jc w:val="both"/>
      </w:pPr>
      <w:r>
        <w:rPr>
          <w:sz w:val="20"/>
        </w:rPr>
        <w:t>La calidad se gestiona conforme a ISO/IEC 25012, con validación en el punto de captura y no en la ingesta: el evento se valida en el dispositivo, contra su esquema, antes de firmarse. Un evento que no valida no se descarta —el hecho de terreno ocurrió— sino que viaja a la cola de mensajes fallidos con su carga íntegra y su motivo. Los indicadores se publican en el tablero de calidad, con acceso propio y permanente del CLIENTE.</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Dimensión</w:t>
            </w:r>
          </w:p>
        </w:tc>
        <w:tc>
          <w:tcPr>
            <w:tcW w:type="dxa" w:w="3251"/>
            <w:shd w:val="clear" w:fill="E7EEF6"/>
          </w:tcPr>
          <w:p>
            <w:pPr>
              <w:spacing w:after="20"/>
            </w:pPr>
            <w:r/>
            <w:r>
              <w:rPr>
                <w:b/>
                <w:sz w:val="17"/>
              </w:rPr>
              <w:t>Indicador</w:t>
            </w:r>
          </w:p>
        </w:tc>
        <w:tc>
          <w:tcPr>
            <w:tcW w:type="dxa" w:w="3251"/>
            <w:shd w:val="clear" w:fill="E7EEF6"/>
          </w:tcPr>
          <w:p>
            <w:pPr>
              <w:spacing w:after="20"/>
            </w:pPr>
            <w:r/>
            <w:r>
              <w:rPr>
                <w:b/>
                <w:sz w:val="17"/>
              </w:rPr>
              <w:t>Meta</w:t>
            </w:r>
          </w:p>
        </w:tc>
      </w:tr>
      <w:tr>
        <w:tc>
          <w:tcPr>
            <w:tcW w:type="dxa" w:w="3251"/>
          </w:tcPr>
          <w:p>
            <w:pPr>
              <w:spacing w:after="20"/>
            </w:pPr>
            <w:r/>
            <w:r>
              <w:rPr>
                <w:sz w:val="17"/>
              </w:rPr>
              <w:t>Completitud</w:t>
            </w:r>
          </w:p>
        </w:tc>
        <w:tc>
          <w:tcPr>
            <w:tcW w:type="dxa" w:w="3251"/>
          </w:tcPr>
          <w:p>
            <w:pPr>
              <w:spacing w:after="20"/>
            </w:pPr>
            <w:r/>
            <w:r>
              <w:rPr>
                <w:sz w:val="17"/>
              </w:rPr>
              <w:t>Viajes con operador identificado, por equipo, turno y área</w:t>
            </w:r>
          </w:p>
        </w:tc>
        <w:tc>
          <w:tcPr>
            <w:tcW w:type="dxa" w:w="3251"/>
          </w:tcPr>
          <w:p>
            <w:pPr>
              <w:spacing w:after="20"/>
            </w:pPr>
            <w:r/>
            <w:r>
              <w:rPr>
                <w:sz w:val="17"/>
              </w:rPr>
              <w:t>≥ 90 %</w:t>
            </w:r>
          </w:p>
        </w:tc>
      </w:tr>
      <w:tr>
        <w:tc>
          <w:tcPr>
            <w:tcW w:type="dxa" w:w="3251"/>
          </w:tcPr>
          <w:p/>
        </w:tc>
        <w:tc>
          <w:tcPr>
            <w:tcW w:type="dxa" w:w="3251"/>
          </w:tcPr>
          <w:p>
            <w:pPr>
              <w:spacing w:after="20"/>
            </w:pPr>
            <w:r/>
            <w:r>
              <w:rPr>
                <w:sz w:val="17"/>
              </w:rPr>
              <w:t>Detenciones clasificadas al cierre del turno siguiente</w:t>
            </w:r>
          </w:p>
        </w:tc>
        <w:tc>
          <w:tcPr>
            <w:tcW w:type="dxa" w:w="3251"/>
          </w:tcPr>
          <w:p>
            <w:pPr>
              <w:spacing w:after="20"/>
            </w:pPr>
            <w:r/>
            <w:r>
              <w:rPr>
                <w:sz w:val="17"/>
              </w:rPr>
              <w:t>100 %</w:t>
            </w:r>
          </w:p>
        </w:tc>
      </w:tr>
      <w:tr>
        <w:tc>
          <w:tcPr>
            <w:tcW w:type="dxa" w:w="3251"/>
          </w:tcPr>
          <w:p/>
        </w:tc>
        <w:tc>
          <w:tcPr>
            <w:tcW w:type="dxa" w:w="3251"/>
          </w:tcPr>
          <w:p>
            <w:pPr>
              <w:spacing w:after="20"/>
            </w:pPr>
            <w:r/>
            <w:r>
              <w:rPr>
                <w:sz w:val="17"/>
              </w:rPr>
              <w:t>Compromisos con medición dentro de su frecuencia</w:t>
            </w:r>
          </w:p>
        </w:tc>
        <w:tc>
          <w:tcPr>
            <w:tcW w:type="dxa" w:w="3251"/>
          </w:tcPr>
          <w:p>
            <w:pPr>
              <w:spacing w:after="20"/>
            </w:pPr>
            <w:r/>
            <w:r>
              <w:rPr>
                <w:sz w:val="17"/>
              </w:rPr>
              <w:t>100 %</w:t>
            </w:r>
          </w:p>
        </w:tc>
      </w:tr>
      <w:tr>
        <w:tc>
          <w:tcPr>
            <w:tcW w:type="dxa" w:w="3251"/>
          </w:tcPr>
          <w:p>
            <w:pPr>
              <w:spacing w:after="20"/>
            </w:pPr>
            <w:r/>
            <w:r>
              <w:rPr>
                <w:sz w:val="17"/>
              </w:rPr>
              <w:t>Exactitud</w:t>
            </w:r>
          </w:p>
        </w:tc>
        <w:tc>
          <w:tcPr>
            <w:tcW w:type="dxa" w:w="3251"/>
          </w:tcPr>
          <w:p>
            <w:pPr>
              <w:spacing w:after="20"/>
            </w:pPr>
            <w:r/>
            <w:r>
              <w:rPr>
                <w:sz w:val="17"/>
              </w:rPr>
              <w:t>Desviación entre pesaje de a bordo y báscula de camiones, por equipo y campaña</w:t>
            </w:r>
          </w:p>
        </w:tc>
        <w:tc>
          <w:tcPr>
            <w:tcW w:type="dxa" w:w="3251"/>
          </w:tcPr>
          <w:p>
            <w:pPr>
              <w:spacing w:after="20"/>
            </w:pPr>
            <w:r/>
            <w:r>
              <w:rPr>
                <w:sz w:val="17"/>
              </w:rPr>
              <w:t>Se publica por punto de medición; no se corrige</w:t>
            </w:r>
          </w:p>
        </w:tc>
      </w:tr>
      <w:tr>
        <w:tc>
          <w:tcPr>
            <w:tcW w:type="dxa" w:w="3251"/>
          </w:tcPr>
          <w:p/>
        </w:tc>
        <w:tc>
          <w:tcPr>
            <w:tcW w:type="dxa" w:w="3251"/>
          </w:tcPr>
          <w:p>
            <w:pPr>
              <w:spacing w:after="20"/>
            </w:pPr>
            <w:r/>
            <w:r>
              <w:rPr>
                <w:sz w:val="17"/>
              </w:rPr>
              <w:t>Desviación entre ley estimada y ley medida, por polígono</w:t>
            </w:r>
          </w:p>
        </w:tc>
        <w:tc>
          <w:tcPr>
            <w:tcW w:type="dxa" w:w="3251"/>
          </w:tcPr>
          <w:p>
            <w:pPr>
              <w:spacing w:after="20"/>
            </w:pPr>
            <w:r/>
            <w:r>
              <w:rPr>
                <w:sz w:val="17"/>
              </w:rPr>
              <w:t>Se publica como calidad del modelo de bloques</w:t>
            </w:r>
          </w:p>
        </w:tc>
      </w:tr>
      <w:tr>
        <w:tc>
          <w:tcPr>
            <w:tcW w:type="dxa" w:w="3251"/>
          </w:tcPr>
          <w:p/>
        </w:tc>
        <w:tc>
          <w:tcPr>
            <w:tcW w:type="dxa" w:w="3251"/>
          </w:tcPr>
          <w:p>
            <w:pPr>
              <w:spacing w:after="20"/>
            </w:pPr>
            <w:r/>
            <w:r>
              <w:rPr>
                <w:sz w:val="17"/>
              </w:rPr>
              <w:t>Desviación entre ley predicha en la retoma y ley medida</w:t>
            </w:r>
          </w:p>
        </w:tc>
        <w:tc>
          <w:tcPr>
            <w:tcW w:type="dxa" w:w="3251"/>
          </w:tcPr>
          <w:p>
            <w:pPr>
              <w:spacing w:after="20"/>
            </w:pPr>
            <w:r/>
            <w:r>
              <w:rPr>
                <w:sz w:val="17"/>
              </w:rPr>
              <w:t>Se publica y valida el supuesto del acopio</w:t>
            </w:r>
          </w:p>
        </w:tc>
      </w:tr>
      <w:tr>
        <w:tc>
          <w:tcPr>
            <w:tcW w:type="dxa" w:w="3251"/>
          </w:tcPr>
          <w:p>
            <w:pPr>
              <w:spacing w:after="20"/>
            </w:pPr>
            <w:r/>
            <w:r>
              <w:rPr>
                <w:sz w:val="17"/>
              </w:rPr>
              <w:t>Consistencia</w:t>
            </w:r>
          </w:p>
        </w:tc>
        <w:tc>
          <w:tcPr>
            <w:tcW w:type="dxa" w:w="3251"/>
          </w:tcPr>
          <w:p>
            <w:pPr>
              <w:spacing w:after="20"/>
            </w:pPr>
            <w:r/>
            <w:r>
              <w:rPr>
                <w:sz w:val="17"/>
              </w:rPr>
              <w:t>Suma de proporciones por lote padre</w:t>
            </w:r>
          </w:p>
        </w:tc>
        <w:tc>
          <w:tcPr>
            <w:tcW w:type="dxa" w:w="3251"/>
          </w:tcPr>
          <w:p>
            <w:pPr>
              <w:spacing w:after="20"/>
            </w:pPr>
            <w:r/>
            <w:r>
              <w:rPr>
                <w:sz w:val="17"/>
              </w:rPr>
              <w:t>Exactamente 1, sin excepción</w:t>
            </w:r>
          </w:p>
        </w:tc>
      </w:tr>
      <w:tr>
        <w:tc>
          <w:tcPr>
            <w:tcW w:type="dxa" w:w="3251"/>
          </w:tcPr>
          <w:p/>
        </w:tc>
        <w:tc>
          <w:tcPr>
            <w:tcW w:type="dxa" w:w="3251"/>
          </w:tcPr>
          <w:p>
            <w:pPr>
              <w:spacing w:after="20"/>
            </w:pPr>
            <w:r/>
            <w:r>
              <w:rPr>
                <w:sz w:val="17"/>
              </w:rPr>
              <w:t>Eventos de terreno en cuarentena sobre el total reconciliado</w:t>
            </w:r>
          </w:p>
        </w:tc>
        <w:tc>
          <w:tcPr>
            <w:tcW w:type="dxa" w:w="3251"/>
          </w:tcPr>
          <w:p>
            <w:pPr>
              <w:spacing w:after="20"/>
            </w:pPr>
            <w:r/>
            <w:r>
              <w:rPr>
                <w:sz w:val="17"/>
              </w:rPr>
              <w:t>Tendiendo a cero, con alerta si crece</w:t>
            </w:r>
          </w:p>
        </w:tc>
      </w:tr>
      <w:tr>
        <w:tc>
          <w:tcPr>
            <w:tcW w:type="dxa" w:w="3251"/>
          </w:tcPr>
          <w:p/>
        </w:tc>
        <w:tc>
          <w:tcPr>
            <w:tcW w:type="dxa" w:w="3251"/>
          </w:tcPr>
          <w:p>
            <w:pPr>
              <w:spacing w:after="20"/>
            </w:pPr>
            <w:r/>
            <w:r>
              <w:rPr>
                <w:sz w:val="17"/>
              </w:rPr>
              <w:t>Diferencia de conciliación atribuida a un punto de medición</w:t>
            </w:r>
          </w:p>
        </w:tc>
        <w:tc>
          <w:tcPr>
            <w:tcW w:type="dxa" w:w="3251"/>
          </w:tcPr>
          <w:p>
            <w:pPr>
              <w:spacing w:after="20"/>
            </w:pPr>
            <w:r/>
            <w:r>
              <w:rPr>
                <w:sz w:val="17"/>
              </w:rPr>
              <w:t>100 % atribuida; ninguna se cierra como no explicada</w:t>
            </w:r>
          </w:p>
        </w:tc>
      </w:tr>
      <w:tr>
        <w:tc>
          <w:tcPr>
            <w:tcW w:type="dxa" w:w="3251"/>
          </w:tcPr>
          <w:p>
            <w:pPr>
              <w:spacing w:after="20"/>
            </w:pPr>
            <w:r/>
            <w:r>
              <w:rPr>
                <w:sz w:val="17"/>
              </w:rPr>
              <w:t>Trazabilidad</w:t>
            </w:r>
          </w:p>
        </w:tc>
        <w:tc>
          <w:tcPr>
            <w:tcW w:type="dxa" w:w="3251"/>
          </w:tcPr>
          <w:p>
            <w:pPr>
              <w:spacing w:after="20"/>
            </w:pPr>
            <w:r/>
            <w:r>
              <w:rPr>
                <w:sz w:val="17"/>
              </w:rPr>
              <w:t>Registros con linaje completo hasta su sistema de origen</w:t>
            </w:r>
          </w:p>
        </w:tc>
        <w:tc>
          <w:tcPr>
            <w:tcW w:type="dxa" w:w="3251"/>
          </w:tcPr>
          <w:p>
            <w:pPr>
              <w:spacing w:after="20"/>
            </w:pPr>
            <w:r/>
            <w:r>
              <w:rPr>
                <w:sz w:val="17"/>
              </w:rPr>
              <w:t>100 %</w:t>
            </w:r>
          </w:p>
        </w:tc>
      </w:tr>
      <w:tr>
        <w:tc>
          <w:tcPr>
            <w:tcW w:type="dxa" w:w="3251"/>
          </w:tcPr>
          <w:p>
            <w:pPr>
              <w:spacing w:after="20"/>
            </w:pPr>
            <w:r/>
            <w:r>
              <w:rPr>
                <w:sz w:val="17"/>
              </w:rPr>
              <w:t>Actualidad</w:t>
            </w:r>
          </w:p>
        </w:tc>
        <w:tc>
          <w:tcPr>
            <w:tcW w:type="dxa" w:w="3251"/>
          </w:tcPr>
          <w:p>
            <w:pPr>
              <w:spacing w:after="20"/>
            </w:pPr>
            <w:r/>
            <w:r>
              <w:rPr>
                <w:sz w:val="17"/>
              </w:rPr>
              <w:t>Latencia real de la capa analítica frente a la comprometida</w:t>
            </w:r>
          </w:p>
        </w:tc>
        <w:tc>
          <w:tcPr>
            <w:tcW w:type="dxa" w:w="3251"/>
          </w:tcPr>
          <w:p>
            <w:pPr>
              <w:spacing w:after="20"/>
            </w:pPr>
            <w:r/>
            <w:r>
              <w:rPr>
                <w:sz w:val="17"/>
              </w:rPr>
              <w:t>≤ 15 minutos operacional; ≤ 4 horas gestión</w:t>
            </w:r>
          </w:p>
        </w:tc>
      </w:tr>
    </w:tbl>
    <w:p>
      <w:pPr>
        <w:spacing w:after="40"/>
      </w:pPr>
    </w:p>
    <w:p>
      <w:pPr>
        <w:keepNext/>
        <w:spacing w:before="200" w:after="80"/>
      </w:pPr>
      <w:r>
        <w:rPr>
          <w:b/>
          <w:color w:val="1F4D75"/>
          <w:sz w:val="23"/>
        </w:rPr>
        <w:t>6.2 Retención</w:t>
      </w:r>
    </w:p>
    <w:p>
      <w:pPr>
        <w:jc w:val="both"/>
      </w:pPr>
      <w:r>
        <w:rPr>
          <w:sz w:val="20"/>
        </w:rPr>
        <w:t>Los plazos los fija el caso y ninguna categoría admite borrado anticipado. Donde el caso no fija plazo, rige el mínimo transversal de cinco años. El Capítulo 15 no fija plazo para el asiento de auditoría ni para los datos maestros de la plataforma: los diez años son definición del PROPONENTE, alineados con la retención mayor que el propio Capítulo 15 exige a la trazabilidad y a los registros de seguridad, y se declaran como tal en la regla RN-28.</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val="clear" w:fill="E7EEF6"/>
          </w:tcPr>
          <w:p>
            <w:pPr>
              <w:spacing w:after="20"/>
            </w:pPr>
            <w:r/>
            <w:r>
              <w:rPr>
                <w:b/>
                <w:sz w:val="17"/>
              </w:rPr>
              <w:t>Categoría</w:t>
            </w:r>
          </w:p>
        </w:tc>
        <w:tc>
          <w:tcPr>
            <w:tcW w:type="dxa" w:w="2438"/>
            <w:shd w:val="clear" w:fill="E7EEF6"/>
          </w:tcPr>
          <w:p>
            <w:pPr>
              <w:spacing w:after="20"/>
            </w:pPr>
            <w:r/>
            <w:r>
              <w:rPr>
                <w:b/>
                <w:sz w:val="17"/>
              </w:rPr>
              <w:t>Entidades</w:t>
            </w:r>
          </w:p>
        </w:tc>
        <w:tc>
          <w:tcPr>
            <w:tcW w:type="dxa" w:w="2438"/>
            <w:shd w:val="clear" w:fill="E7EEF6"/>
          </w:tcPr>
          <w:p>
            <w:pPr>
              <w:spacing w:after="20"/>
            </w:pPr>
            <w:r/>
            <w:r>
              <w:rPr>
                <w:b/>
                <w:sz w:val="17"/>
              </w:rPr>
              <w:t>Retención</w:t>
            </w:r>
          </w:p>
        </w:tc>
        <w:tc>
          <w:tcPr>
            <w:tcW w:type="dxa" w:w="2438"/>
            <w:shd w:val="clear" w:fill="E7EEF6"/>
          </w:tcPr>
          <w:p>
            <w:pPr>
              <w:spacing w:after="20"/>
            </w:pPr>
            <w:r/>
            <w:r>
              <w:rPr>
                <w:b/>
                <w:sz w:val="17"/>
              </w:rPr>
              <w:t>Almacén</w:t>
            </w:r>
          </w:p>
        </w:tc>
      </w:tr>
      <w:tr>
        <w:tc>
          <w:tcPr>
            <w:tcW w:type="dxa" w:w="2438"/>
          </w:tcPr>
          <w:p>
            <w:pPr>
              <w:spacing w:after="20"/>
            </w:pPr>
            <w:r/>
            <w:r>
              <w:rPr>
                <w:sz w:val="17"/>
              </w:rPr>
              <w:t>Seguridad y salud ocupacional</w:t>
            </w:r>
          </w:p>
        </w:tc>
        <w:tc>
          <w:tcPr>
            <w:tcW w:type="dxa" w:w="2438"/>
          </w:tcPr>
          <w:p>
            <w:pPr>
              <w:spacing w:after="20"/>
            </w:pPr>
            <w:r/>
            <w:r>
              <w:rPr>
                <w:sz w:val="17"/>
              </w:rPr>
              <w:t>Habilitación, Incidente, Inspección, Alerta de fatiga, Participación en incidente</w:t>
            </w:r>
          </w:p>
        </w:tc>
        <w:tc>
          <w:tcPr>
            <w:tcW w:type="dxa" w:w="2438"/>
          </w:tcPr>
          <w:p>
            <w:pPr>
              <w:spacing w:after="20"/>
            </w:pPr>
            <w:r/>
            <w:r>
              <w:rPr>
                <w:sz w:val="17"/>
              </w:rPr>
              <w:t>10 años</w:t>
            </w:r>
          </w:p>
        </w:tc>
        <w:tc>
          <w:tcPr>
            <w:tcW w:type="dxa" w:w="2438"/>
          </w:tcPr>
          <w:p>
            <w:pPr>
              <w:spacing w:after="20"/>
            </w:pPr>
            <w:r/>
            <w:r>
              <w:rPr>
                <w:sz w:val="17"/>
              </w:rPr>
              <w:t>Transaccional y documental</w:t>
            </w:r>
          </w:p>
        </w:tc>
      </w:tr>
      <w:tr>
        <w:tc>
          <w:tcPr>
            <w:tcW w:type="dxa" w:w="2438"/>
          </w:tcPr>
          <w:p>
            <w:pPr>
              <w:spacing w:after="20"/>
            </w:pPr>
            <w:r/>
            <w:r>
              <w:rPr>
                <w:sz w:val="17"/>
              </w:rPr>
              <w:t>Ambientales y de monitoreo</w:t>
            </w:r>
          </w:p>
        </w:tc>
        <w:tc>
          <w:tcPr>
            <w:tcW w:type="dxa" w:w="2438"/>
          </w:tcPr>
          <w:p>
            <w:pPr>
              <w:spacing w:after="20"/>
            </w:pPr>
            <w:r/>
            <w:r>
              <w:rPr>
                <w:sz w:val="17"/>
              </w:rPr>
              <w:t>Compromiso, Medición ambiental</w:t>
            </w:r>
          </w:p>
        </w:tc>
        <w:tc>
          <w:tcPr>
            <w:tcW w:type="dxa" w:w="2438"/>
          </w:tcPr>
          <w:p>
            <w:pPr>
              <w:spacing w:after="20"/>
            </w:pPr>
            <w:r/>
            <w:r>
              <w:rPr>
                <w:sz w:val="17"/>
              </w:rPr>
              <w:t>10 años</w:t>
            </w:r>
          </w:p>
        </w:tc>
        <w:tc>
          <w:tcPr>
            <w:tcW w:type="dxa" w:w="2438"/>
          </w:tcPr>
          <w:p>
            <w:pPr>
              <w:spacing w:after="20"/>
            </w:pPr>
            <w:r/>
            <w:r>
              <w:rPr>
                <w:sz w:val="17"/>
              </w:rPr>
              <w:t>Transaccional y series de tiempo</w:t>
            </w:r>
          </w:p>
        </w:tc>
      </w:tr>
      <w:tr>
        <w:tc>
          <w:tcPr>
            <w:tcW w:type="dxa" w:w="2438"/>
          </w:tcPr>
          <w:p>
            <w:pPr>
              <w:spacing w:after="20"/>
            </w:pPr>
            <w:r/>
            <w:r>
              <w:rPr>
                <w:sz w:val="17"/>
              </w:rPr>
              <w:t>Trazabilidad de mineral y embarques</w:t>
            </w:r>
          </w:p>
        </w:tc>
        <w:tc>
          <w:tcPr>
            <w:tcW w:type="dxa" w:w="2438"/>
          </w:tcPr>
          <w:p>
            <w:pPr>
              <w:spacing w:after="20"/>
            </w:pPr>
            <w:r/>
            <w:r>
              <w:rPr>
                <w:sz w:val="17"/>
              </w:rPr>
              <w:t>Viaje, Pesaje, Stock, Aporte, Retoma, Lote de chancado, Lote comercial, Composición de lote, Origen de retoma, Embarque, Certificado, Devolución, Muestra, Análisis, Arbitraje, Conciliación</w:t>
            </w:r>
          </w:p>
        </w:tc>
        <w:tc>
          <w:tcPr>
            <w:tcW w:type="dxa" w:w="2438"/>
          </w:tcPr>
          <w:p>
            <w:pPr>
              <w:spacing w:after="20"/>
            </w:pPr>
            <w:r/>
            <w:r>
              <w:rPr>
                <w:sz w:val="17"/>
              </w:rPr>
              <w:t>10 años</w:t>
            </w:r>
          </w:p>
        </w:tc>
        <w:tc>
          <w:tcPr>
            <w:tcW w:type="dxa" w:w="2438"/>
          </w:tcPr>
          <w:p>
            <w:pPr>
              <w:spacing w:after="20"/>
            </w:pPr>
            <w:r/>
            <w:r>
              <w:rPr>
                <w:sz w:val="17"/>
              </w:rPr>
              <w:t>Transaccional y documental</w:t>
            </w:r>
          </w:p>
        </w:tc>
      </w:tr>
      <w:tr>
        <w:tc>
          <w:tcPr>
            <w:tcW w:type="dxa" w:w="2438"/>
          </w:tcPr>
          <w:p>
            <w:pPr>
              <w:spacing w:after="20"/>
            </w:pPr>
            <w:r>
              <w:t>Auditoría y plataforma</w:t>
            </w:r>
            <w:r>
              <w:rPr>
                <w:sz w:val="17"/>
              </w:rPr>
            </w:r>
          </w:p>
        </w:tc>
        <w:tc>
          <w:tcPr>
            <w:tcW w:type="dxa" w:w="2438"/>
          </w:tcPr>
          <w:p>
            <w:pPr>
              <w:spacing w:after="20"/>
            </w:pPr>
            <w:r>
              <w:t>Asiento de auditoría, Parámetro / Regla, Dispositivo inventariado</w:t>
            </w:r>
            <w:r>
              <w:rPr>
                <w:sz w:val="17"/>
              </w:rPr>
            </w:r>
          </w:p>
        </w:tc>
        <w:tc>
          <w:tcPr>
            <w:tcW w:type="dxa" w:w="2438"/>
          </w:tcPr>
          <w:p>
            <w:pPr>
              <w:spacing w:after="20"/>
            </w:pPr>
            <w:r/>
            <w:r>
              <w:rPr>
                <w:sz w:val="17"/>
              </w:rPr>
              <w:t>10 años</w:t>
            </w:r>
          </w:p>
        </w:tc>
        <w:tc>
          <w:tcPr>
            <w:tcW w:type="dxa" w:w="2438"/>
          </w:tcPr>
          <w:p>
            <w:pPr>
              <w:spacing w:after="20"/>
            </w:pPr>
            <w:r/>
            <w:r>
              <w:rPr>
                <w:sz w:val="17"/>
              </w:rPr>
              <w:t>Transaccional</w:t>
            </w:r>
          </w:p>
        </w:tc>
      </w:tr>
      <w:tr>
        <w:tc>
          <w:tcPr>
            <w:tcW w:type="dxa" w:w="2438"/>
          </w:tcPr>
          <w:p>
            <w:pPr>
              <w:spacing w:after="20"/>
            </w:pPr>
            <w:r/>
            <w:r>
              <w:rPr>
                <w:sz w:val="17"/>
              </w:rPr>
              <w:t>Operacionales</w:t>
            </w:r>
          </w:p>
        </w:tc>
        <w:tc>
          <w:tcPr>
            <w:tcW w:type="dxa" w:w="2438"/>
          </w:tcPr>
          <w:p>
            <w:pPr>
              <w:spacing w:after="20"/>
            </w:pPr>
            <w:r/>
            <w:r>
              <w:rPr>
                <w:sz w:val="17"/>
              </w:rPr>
              <w:t>Detención, Alarma, Sesión de operador, Evento de terreno, telemetría</w:t>
            </w:r>
          </w:p>
        </w:tc>
        <w:tc>
          <w:tcPr>
            <w:tcW w:type="dxa" w:w="2438"/>
          </w:tcPr>
          <w:p>
            <w:pPr>
              <w:spacing w:after="20"/>
            </w:pPr>
            <w:r/>
            <w:r>
              <w:rPr>
                <w:sz w:val="17"/>
              </w:rPr>
              <w:t>5 años</w:t>
            </w:r>
          </w:p>
        </w:tc>
        <w:tc>
          <w:tcPr>
            <w:tcW w:type="dxa" w:w="2438"/>
          </w:tcPr>
          <w:p>
            <w:pPr>
              <w:spacing w:after="20"/>
            </w:pPr>
            <w:r/>
            <w:r>
              <w:rPr>
                <w:sz w:val="17"/>
              </w:rPr>
              <w:t>Transaccional y series de tiempo</w:t>
            </w:r>
          </w:p>
        </w:tc>
      </w:tr>
      <w:tr>
        <w:tc>
          <w:tcPr>
            <w:tcW w:type="dxa" w:w="2438"/>
          </w:tcPr>
          <w:p>
            <w:pPr>
              <w:spacing w:after="20"/>
            </w:pPr>
            <w:r/>
            <w:r>
              <w:rPr>
                <w:sz w:val="17"/>
              </w:rPr>
              <w:t>Tributarios</w:t>
            </w:r>
          </w:p>
        </w:tc>
        <w:tc>
          <w:tcPr>
            <w:tcW w:type="dxa" w:w="2438"/>
          </w:tcPr>
          <w:p>
            <w:pPr>
              <w:spacing w:after="20"/>
            </w:pPr>
            <w:r/>
            <w:r>
              <w:rPr>
                <w:sz w:val="17"/>
              </w:rPr>
              <w:t>Consultados en el ERP; no se duplican</w:t>
            </w:r>
          </w:p>
        </w:tc>
        <w:tc>
          <w:tcPr>
            <w:tcW w:type="dxa" w:w="2438"/>
          </w:tcPr>
          <w:p>
            <w:pPr>
              <w:spacing w:after="20"/>
            </w:pPr>
            <w:r/>
            <w:r>
              <w:rPr>
                <w:sz w:val="17"/>
              </w:rPr>
              <w:t>7 años</w:t>
            </w:r>
          </w:p>
        </w:tc>
        <w:tc>
          <w:tcPr>
            <w:tcW w:type="dxa" w:w="2438"/>
          </w:tcPr>
          <w:p>
            <w:pPr>
              <w:spacing w:after="20"/>
            </w:pPr>
            <w:r/>
            <w:r>
              <w:rPr>
                <w:sz w:val="17"/>
              </w:rPr>
              <w:t>ERP del CLIENTE</w:t>
            </w:r>
          </w:p>
        </w:tc>
      </w:tr>
    </w:tbl>
    <w:p>
      <w:pPr>
        <w:spacing w:after="40"/>
      </w:pPr>
    </w:p>
    <w:p>
      <w:pPr>
        <w:keepNext/>
        <w:spacing w:before="200" w:after="80"/>
      </w:pPr>
      <w:r>
        <w:rPr>
          <w:b/>
          <w:color w:val="1F4D75"/>
          <w:sz w:val="23"/>
        </w:rPr>
        <w:t>6.3 Archivado</w:t>
      </w:r>
    </w:p>
    <w:p>
      <w:pPr>
        <w:jc w:val="both"/>
      </w:pPr>
      <w:r>
        <w:rPr>
          <w:sz w:val="20"/>
        </w:rPr>
        <w:t>Al cumplirse la ventana en línea, el registro pasa al repositorio de consulta histórica y los objetos asociados descienden de clase de almacenamiento por política de ciclo de vida, conservando el bloqueo de objeto hasta el término del plazo de retención. El archivado se ejecuta por partición completa. El registro archivado conserva el mismo control de acceso, la misma auditoría de consultas y el mismo tratamiento del dato personal sensible que el registro vivo.</w:t>
      </w:r>
    </w:p>
    <w:p>
      <w:pPr>
        <w:keepNext/>
        <w:spacing w:before="200" w:after="80"/>
      </w:pPr>
      <w:r>
        <w:rPr>
          <w:b/>
          <w:color w:val="1F4D75"/>
          <w:sz w:val="23"/>
        </w:rPr>
        <w:t>6.4 Eliminación segura y verificable</w:t>
      </w:r>
    </w:p>
    <w:p>
      <w:pPr>
        <w:jc w:val="both"/>
      </w:pPr>
      <w:r>
        <w:rPr>
          <w:sz w:val="20"/>
        </w:rPr>
        <w:t>«Verificable» significa que se comprueba que el dato se fue. El procedimiento tiene cinco pasos y deja evidencia en cada uno.</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val="clear" w:fill="E7EEF6"/>
          </w:tcPr>
          <w:p>
            <w:pPr>
              <w:spacing w:after="20"/>
            </w:pPr>
            <w:r/>
            <w:r>
              <w:rPr>
                <w:b/>
                <w:sz w:val="17"/>
              </w:rPr>
              <w:t>N.º</w:t>
            </w:r>
          </w:p>
        </w:tc>
        <w:tc>
          <w:tcPr>
            <w:tcW w:type="dxa" w:w="3251"/>
            <w:shd w:val="clear" w:fill="E7EEF6"/>
          </w:tcPr>
          <w:p>
            <w:pPr>
              <w:spacing w:after="20"/>
            </w:pPr>
            <w:r/>
            <w:r>
              <w:rPr>
                <w:b/>
                <w:sz w:val="17"/>
              </w:rPr>
              <w:t>Paso</w:t>
            </w:r>
          </w:p>
        </w:tc>
        <w:tc>
          <w:tcPr>
            <w:tcW w:type="dxa" w:w="3251"/>
            <w:shd w:val="clear" w:fill="E7EEF6"/>
          </w:tcPr>
          <w:p>
            <w:pPr>
              <w:spacing w:after="20"/>
            </w:pPr>
            <w:r/>
            <w:r>
              <w:rPr>
                <w:b/>
                <w:sz w:val="17"/>
              </w:rPr>
              <w:t>Contenido</w:t>
            </w:r>
          </w:p>
        </w:tc>
      </w:tr>
      <w:tr>
        <w:tc>
          <w:tcPr>
            <w:tcW w:type="dxa" w:w="3251"/>
          </w:tcPr>
          <w:p>
            <w:pPr>
              <w:spacing w:after="20"/>
            </w:pPr>
            <w:r/>
            <w:r>
              <w:rPr>
                <w:sz w:val="17"/>
              </w:rPr>
              <w:t>1</w:t>
            </w:r>
          </w:p>
        </w:tc>
        <w:tc>
          <w:tcPr>
            <w:tcW w:type="dxa" w:w="3251"/>
          </w:tcPr>
          <w:p>
            <w:pPr>
              <w:spacing w:after="20"/>
            </w:pPr>
            <w:r/>
            <w:r>
              <w:rPr>
                <w:sz w:val="17"/>
              </w:rPr>
              <w:t>Identificación</w:t>
            </w:r>
          </w:p>
        </w:tc>
        <w:tc>
          <w:tcPr>
            <w:tcW w:type="dxa" w:w="3251"/>
          </w:tcPr>
          <w:p>
            <w:pPr>
              <w:spacing w:after="20"/>
            </w:pPr>
            <w:r/>
            <w:r>
              <w:rPr>
                <w:sz w:val="17"/>
              </w:rPr>
              <w:t>Consulta que lista los registros que cumplieron su plazo, por categoría y dominio, emitida como informe firmado</w:t>
            </w:r>
          </w:p>
        </w:tc>
      </w:tr>
      <w:tr>
        <w:tc>
          <w:tcPr>
            <w:tcW w:type="dxa" w:w="3251"/>
          </w:tcPr>
          <w:p>
            <w:pPr>
              <w:spacing w:after="20"/>
            </w:pPr>
            <w:r/>
            <w:r>
              <w:rPr>
                <w:sz w:val="17"/>
              </w:rPr>
              <w:t>2</w:t>
            </w:r>
          </w:p>
        </w:tc>
        <w:tc>
          <w:tcPr>
            <w:tcW w:type="dxa" w:w="3251"/>
          </w:tcPr>
          <w:p>
            <w:pPr>
              <w:spacing w:after="20"/>
            </w:pPr>
            <w:r/>
            <w:r>
              <w:rPr>
                <w:sz w:val="17"/>
              </w:rPr>
              <w:t>Aprobación</w:t>
            </w:r>
          </w:p>
        </w:tc>
        <w:tc>
          <w:tcPr>
            <w:tcW w:type="dxa" w:w="3251"/>
          </w:tcPr>
          <w:p>
            <w:pPr>
              <w:spacing w:after="20"/>
            </w:pPr>
            <w:r/>
            <w:r>
              <w:rPr>
                <w:sz w:val="17"/>
              </w:rPr>
              <w:t>Un segundo perfil aprueba la ejecución. El asiento de auditoría de la aprobación se conserva más allá del plazo del dato eliminado</w:t>
            </w:r>
          </w:p>
        </w:tc>
      </w:tr>
      <w:tr>
        <w:tc>
          <w:tcPr>
            <w:tcW w:type="dxa" w:w="3251"/>
          </w:tcPr>
          <w:p>
            <w:pPr>
              <w:spacing w:after="20"/>
            </w:pPr>
            <w:r/>
            <w:r>
              <w:rPr>
                <w:sz w:val="17"/>
              </w:rPr>
              <w:t>3</w:t>
            </w:r>
          </w:p>
        </w:tc>
        <w:tc>
          <w:tcPr>
            <w:tcW w:type="dxa" w:w="3251"/>
          </w:tcPr>
          <w:p>
            <w:pPr>
              <w:spacing w:after="20"/>
            </w:pPr>
            <w:r/>
            <w:r>
              <w:rPr>
                <w:sz w:val="17"/>
              </w:rPr>
              <w:t>Ejecución</w:t>
            </w:r>
          </w:p>
        </w:tc>
        <w:tc>
          <w:tcPr>
            <w:tcW w:type="dxa" w:w="3251"/>
          </w:tcPr>
          <w:p>
            <w:pPr>
              <w:spacing w:after="20"/>
            </w:pPr>
            <w:r/>
            <w:r>
              <w:rPr>
                <w:sz w:val="17"/>
              </w:rPr>
              <w:t>Eliminación criptográfica para el dato cifrado a nivel de campo —destrucción de la clave de campo, que lo hace irrecuperable— y eliminación física para el resto, incluidos respaldos y fragmentos comprimidos</w:t>
            </w:r>
          </w:p>
        </w:tc>
      </w:tr>
      <w:tr>
        <w:tc>
          <w:tcPr>
            <w:tcW w:type="dxa" w:w="3251"/>
          </w:tcPr>
          <w:p>
            <w:pPr>
              <w:spacing w:after="20"/>
            </w:pPr>
            <w:r/>
            <w:r>
              <w:rPr>
                <w:sz w:val="17"/>
              </w:rPr>
              <w:t>4</w:t>
            </w:r>
          </w:p>
        </w:tc>
        <w:tc>
          <w:tcPr>
            <w:tcW w:type="dxa" w:w="3251"/>
          </w:tcPr>
          <w:p>
            <w:pPr>
              <w:spacing w:after="20"/>
            </w:pPr>
            <w:r/>
            <w:r>
              <w:rPr>
                <w:sz w:val="17"/>
              </w:rPr>
              <w:t>Verificación</w:t>
            </w:r>
          </w:p>
        </w:tc>
        <w:tc>
          <w:tcPr>
            <w:tcW w:type="dxa" w:w="3251"/>
          </w:tcPr>
          <w:p>
            <w:pPr>
              <w:spacing w:after="20"/>
            </w:pPr>
            <w:r/>
            <w:r>
              <w:rPr>
                <w:sz w:val="17"/>
              </w:rPr>
              <w:t xml:space="preserve">Consulta de comprobación que debe retornar cero filas sobre los identificadores eliminados, ejecutada sobre los </w:t>
            </w:r>
            <w:r>
              <w:rPr>
                <w:b/>
                <w:sz w:val="17"/>
              </w:rPr>
              <w:t>seis almacenes</w:t>
            </w:r>
            <w:r>
              <w:rPr>
                <w:sz w:val="17"/>
              </w:rPr>
              <w:t xml:space="preserve"> —transaccional, series de tiempo, analítico, documental, archivos y repositorio histórico— y sobre las </w:t>
            </w:r>
            <w:r>
              <w:rPr>
                <w:b/>
                <w:sz w:val="17"/>
              </w:rPr>
              <w:t>tres copias derivadas</w:t>
            </w:r>
            <w:r>
              <w:rPr>
                <w:sz w:val="17"/>
              </w:rPr>
              <w:t>: réplica de borde, índice de búsqueda y caché</w:t>
            </w:r>
          </w:p>
        </w:tc>
      </w:tr>
      <w:tr>
        <w:tc>
          <w:tcPr>
            <w:tcW w:type="dxa" w:w="3251"/>
          </w:tcPr>
          <w:p>
            <w:pPr>
              <w:spacing w:after="20"/>
            </w:pPr>
            <w:r/>
            <w:r>
              <w:rPr>
                <w:sz w:val="17"/>
              </w:rPr>
              <w:t>5</w:t>
            </w:r>
          </w:p>
        </w:tc>
        <w:tc>
          <w:tcPr>
            <w:tcW w:type="dxa" w:w="3251"/>
          </w:tcPr>
          <w:p>
            <w:pPr>
              <w:spacing w:after="20"/>
            </w:pPr>
            <w:r/>
            <w:r>
              <w:rPr>
                <w:sz w:val="17"/>
              </w:rPr>
              <w:t>Constancia</w:t>
            </w:r>
          </w:p>
        </w:tc>
        <w:tc>
          <w:tcPr>
            <w:tcW w:type="dxa" w:w="3251"/>
          </w:tcPr>
          <w:p>
            <w:pPr>
              <w:spacing w:after="20"/>
            </w:pPr>
            <w:r/>
            <w:r>
              <w:rPr>
                <w:b/>
                <w:sz w:val="17"/>
              </w:rPr>
              <w:t>Certificado de eliminación</w:t>
            </w:r>
            <w:r>
              <w:rPr>
                <w:sz w:val="17"/>
              </w:rPr>
              <w:t xml:space="preserve"> con alcance, cantidad de registros, almacenes verificados, responsable y fecha, conservado como registro de auditoría</w:t>
            </w:r>
          </w:p>
        </w:tc>
      </w:tr>
    </w:tbl>
    <w:p>
      <w:pPr>
        <w:spacing w:after="40"/>
      </w:pPr>
    </w:p>
    <w:p>
      <w:pPr>
        <w:jc w:val="both"/>
      </w:pPr>
      <w:r>
        <w:rPr>
          <w:sz w:val="20"/>
        </w:rPr>
        <w:t>Dentro del período de retención no existe borrado físico: la baja es lógica y auditada. Al término del Contrato, la eliminación de la información del CLIENTE en la infraestructura del ADJUDICATARIO se ejecuta con este mismo procedimiento, previa exportación total verificada y aceptada, y se entrega el certificado de eliminación que exige el Artículo 85.º.</w:t>
      </w:r>
    </w:p>
    <w:p>
      <w:pPr>
        <w:keepNext/>
        <w:spacing w:before="200" w:after="80"/>
      </w:pPr>
      <w:r>
        <w:rPr>
          <w:b/>
          <w:color w:val="1F4D75"/>
          <w:sz w:val="23"/>
        </w:rPr>
        <w:t>6.5 Datos personales</w:t>
      </w:r>
    </w:p>
    <w:p>
      <w:pPr>
        <w:jc w:val="both"/>
      </w:pPr>
      <w:r>
        <w:rPr>
          <w:sz w:val="20"/>
        </w:rPr>
        <w:t>Las categorías sensibles del caso son cuatro: habilitación, salud ocupacional, control de fatiga y control de alcohol y drogas. El ADJUDICATARIO actúa como encargado del tratamiento y el CLIENTE como responsable.</w:t>
      </w:r>
    </w:p>
    <w:tbl>
      <w:tblPr>
        <w:tblStyle w:val="TableGrid"/>
        <w:tblW w:type="auto" w:w="0"/>
        <w:jc w:val="center"/>
        <w:tblLook w:firstColumn="1" w:firstRow="1" w:lastColumn="0" w:lastRow="0" w:noHBand="0" w:noVBand="1" w:val="04A0"/>
      </w:tblPr>
      <w:tblGrid>
        <w:gridCol w:w="4876"/>
        <w:gridCol w:w="4876"/>
      </w:tblGrid>
      <w:tr>
        <w:tc>
          <w:tcPr>
            <w:tcW w:type="dxa" w:w="4876"/>
            <w:shd w:val="clear" w:fill="E7EEF6"/>
          </w:tcPr>
          <w:p>
            <w:pPr>
              <w:spacing w:after="20"/>
            </w:pPr>
            <w:r/>
            <w:r>
              <w:rPr>
                <w:b/>
                <w:sz w:val="17"/>
              </w:rPr>
              <w:t>Obligación</w:t>
            </w:r>
          </w:p>
        </w:tc>
        <w:tc>
          <w:tcPr>
            <w:tcW w:type="dxa" w:w="4876"/>
            <w:shd w:val="clear" w:fill="E7EEF6"/>
          </w:tcPr>
          <w:p>
            <w:pPr>
              <w:spacing w:after="20"/>
            </w:pPr>
            <w:r/>
            <w:r>
              <w:rPr>
                <w:b/>
                <w:sz w:val="17"/>
              </w:rPr>
              <w:t>Cómo se cumple</w:t>
            </w:r>
          </w:p>
        </w:tc>
      </w:tr>
      <w:tr>
        <w:tc>
          <w:tcPr>
            <w:tcW w:type="dxa" w:w="4876"/>
          </w:tcPr>
          <w:p>
            <w:pPr>
              <w:spacing w:after="20"/>
            </w:pPr>
            <w:r/>
            <w:r>
              <w:rPr>
                <w:sz w:val="17"/>
              </w:rPr>
              <w:t>Acuerdo de tratamiento de datos</w:t>
            </w:r>
          </w:p>
        </w:tc>
        <w:tc>
          <w:tcPr>
            <w:tcW w:type="dxa" w:w="4876"/>
          </w:tcPr>
          <w:p>
            <w:pPr>
              <w:spacing w:after="20"/>
            </w:pPr>
            <w:r/>
            <w:r>
              <w:rPr>
                <w:sz w:val="17"/>
              </w:rPr>
              <w:t>Se suscribe antes de tratar el primer dato, precisando finalidad, categorías de datos, categorías de titulares, plazo, medidas de seguridad y régimen de subencargados</w:t>
            </w:r>
          </w:p>
        </w:tc>
      </w:tr>
      <w:tr>
        <w:tc>
          <w:tcPr>
            <w:tcW w:type="dxa" w:w="4876"/>
          </w:tcPr>
          <w:p>
            <w:pPr>
              <w:spacing w:after="20"/>
            </w:pPr>
            <w:r/>
            <w:r>
              <w:rPr>
                <w:sz w:val="17"/>
              </w:rPr>
              <w:t>Medidas técnicas</w:t>
            </w:r>
          </w:p>
        </w:tc>
        <w:tc>
          <w:tcPr>
            <w:tcW w:type="dxa" w:w="4876"/>
          </w:tcPr>
          <w:p>
            <w:pPr>
              <w:spacing w:after="20"/>
            </w:pPr>
            <w:r/>
            <w:r>
              <w:rPr>
                <w:sz w:val="17"/>
              </w:rPr>
              <w:t>Cifrado a nivel de campo en las cuatro categorías sensibles y en el documento de identidad, también en el registro local del dispositivo; seudonimización en la capa analítica, que recibe un identificador seudonimizado y no el nombre ni el documento; control de acceso por privilegio mínimo; registro de accesos; minimización</w:t>
            </w:r>
          </w:p>
        </w:tc>
      </w:tr>
      <w:tr>
        <w:tc>
          <w:tcPr>
            <w:tcW w:type="dxa" w:w="4876"/>
          </w:tcPr>
          <w:p>
            <w:pPr>
              <w:spacing w:after="20"/>
            </w:pPr>
            <w:r/>
            <w:r>
              <w:rPr>
                <w:sz w:val="17"/>
              </w:rPr>
              <w:t>Auditoría de la consulta</w:t>
            </w:r>
          </w:p>
        </w:tc>
        <w:tc>
          <w:tcPr>
            <w:tcW w:type="dxa" w:w="4876"/>
          </w:tcPr>
          <w:p>
            <w:pPr>
              <w:spacing w:after="20"/>
            </w:pPr>
            <w:r/>
            <w:r>
              <w:rPr>
                <w:sz w:val="17"/>
              </w:rPr>
              <w:t>Toda lectura de un atributo confidencial o personal sensible genera asiento con persona, motivo, marca de tiempo y dispositivo. El acceso de emergencia queda registrado con período de uso</w:t>
            </w:r>
          </w:p>
        </w:tc>
      </w:tr>
      <w:tr>
        <w:tc>
          <w:tcPr>
            <w:tcW w:type="dxa" w:w="4876"/>
          </w:tcPr>
          <w:p>
            <w:pPr>
              <w:spacing w:after="20"/>
            </w:pPr>
            <w:r/>
            <w:r>
              <w:rPr>
                <w:sz w:val="17"/>
              </w:rPr>
              <w:t>Ambientes no productivos</w:t>
            </w:r>
          </w:p>
        </w:tc>
        <w:tc>
          <w:tcPr>
            <w:tcW w:type="dxa" w:w="4876"/>
          </w:tcPr>
          <w:p>
            <w:pPr>
              <w:spacing w:after="20"/>
            </w:pPr>
            <w:r/>
            <w:r>
              <w:rPr>
                <w:sz w:val="17"/>
              </w:rPr>
              <w:t>El dato personal sensible no se copia nunca, ni seudonimizado: con la población del caso la seudonimización es reversible por cruce. Las pruebas usan datos sintéticos</w:t>
            </w:r>
          </w:p>
        </w:tc>
      </w:tr>
      <w:tr>
        <w:tc>
          <w:tcPr>
            <w:tcW w:type="dxa" w:w="4876"/>
          </w:tcPr>
          <w:p>
            <w:pPr>
              <w:spacing w:after="20"/>
            </w:pPr>
            <w:r/>
            <w:r>
              <w:rPr>
                <w:sz w:val="17"/>
              </w:rPr>
              <w:t>Derechos del titular</w:t>
            </w:r>
          </w:p>
        </w:tc>
        <w:tc>
          <w:tcPr>
            <w:tcW w:type="dxa" w:w="4876"/>
          </w:tcPr>
          <w:p>
            <w:pPr>
              <w:spacing w:after="20"/>
            </w:pPr>
            <w:r/>
            <w:r>
              <w:rPr>
                <w:sz w:val="17"/>
              </w:rPr>
              <w:t>Consulta y exportación por titular sobre todos los almacenes. El encargado entrega al CLIENTE los antecedentes dentro de 5 días hábiles desde que éste le comunica la solicitud, para que el responsable responda dentro del plazo legal. La supresión no procede mientras rija una obligación legal de conservación: en ese período se aplica bloqueo o eliminación criptográfica del campo personal, conservando el registro operacional</w:t>
            </w:r>
          </w:p>
        </w:tc>
      </w:tr>
      <w:tr>
        <w:tc>
          <w:tcPr>
            <w:tcW w:type="dxa" w:w="4876"/>
          </w:tcPr>
          <w:p>
            <w:pPr>
              <w:spacing w:after="20"/>
            </w:pPr>
            <w:r/>
            <w:r>
              <w:rPr>
                <w:sz w:val="17"/>
              </w:rPr>
              <w:t>Decisiones automatizadas</w:t>
            </w:r>
          </w:p>
        </w:tc>
        <w:tc>
          <w:tcPr>
            <w:tcW w:type="dxa" w:w="4876"/>
          </w:tcPr>
          <w:p>
            <w:pPr>
              <w:spacing w:after="20"/>
            </w:pPr>
            <w:r/>
            <w:r>
              <w:rPr>
                <w:sz w:val="17"/>
              </w:rPr>
              <w:t>Ninguna decisión con efecto jurídico o significativo sobre una persona se adopta únicamente por tratamiento automatizado. La clasificación automática de detenciones, la marca de operador no identificado y las alertas de fatiga producen indicadores y avisos; toda consecuencia sobre la persona requiere validación humana registrada</w:t>
            </w:r>
          </w:p>
        </w:tc>
      </w:tr>
      <w:tr>
        <w:tc>
          <w:tcPr>
            <w:tcW w:type="dxa" w:w="4876"/>
          </w:tcPr>
          <w:p>
            <w:pPr>
              <w:spacing w:after="20"/>
            </w:pPr>
            <w:r/>
            <w:r>
              <w:rPr>
                <w:sz w:val="17"/>
              </w:rPr>
              <w:t>Notificación de brechas</w:t>
            </w:r>
          </w:p>
        </w:tc>
        <w:tc>
          <w:tcPr>
            <w:tcW w:type="dxa" w:w="4876"/>
          </w:tcPr>
          <w:p>
            <w:pPr>
              <w:spacing w:after="20"/>
            </w:pPr>
            <w:r/>
            <w:r>
              <w:rPr>
                <w:b/>
                <w:sz w:val="17"/>
              </w:rPr>
              <w:t>Dentro de las 24 horas siguientes a la detección</w:t>
            </w:r>
            <w:r>
              <w:rPr>
                <w:sz w:val="17"/>
              </w:rPr>
              <w:t>, al CLIENTE, con la información necesaria para que éste cumpla sus obligaciones de notificación a la autoridad y a los titulares. El procedimiento se ensaya al menos una vez al año</w:t>
            </w:r>
          </w:p>
        </w:tc>
      </w:tr>
      <w:tr>
        <w:tc>
          <w:tcPr>
            <w:tcW w:type="dxa" w:w="4876"/>
          </w:tcPr>
          <w:p>
            <w:pPr>
              <w:spacing w:after="20"/>
            </w:pPr>
            <w:r/>
            <w:r>
              <w:rPr>
                <w:sz w:val="17"/>
              </w:rPr>
              <w:t>Subcontratación</w:t>
            </w:r>
          </w:p>
        </w:tc>
        <w:tc>
          <w:tcPr>
            <w:tcW w:type="dxa" w:w="4876"/>
          </w:tcPr>
          <w:p>
            <w:pPr>
              <w:spacing w:after="20"/>
            </w:pPr>
            <w:r/>
            <w:r>
              <w:rPr>
                <w:sz w:val="17"/>
              </w:rPr>
              <w:t>Toda subcontratación que implique tratamiento requiere autorización previa y escrita del CLIENTE, y el subencargado queda sujeto a las mismas obligaciones</w:t>
            </w:r>
          </w:p>
        </w:tc>
      </w:tr>
      <w:tr>
        <w:tc>
          <w:tcPr>
            <w:tcW w:type="dxa" w:w="4876"/>
          </w:tcPr>
          <w:p>
            <w:pPr>
              <w:spacing w:after="20"/>
            </w:pPr>
            <w:r/>
            <w:r>
              <w:rPr>
                <w:sz w:val="17"/>
              </w:rPr>
              <w:t>Transferencia internacional</w:t>
            </w:r>
          </w:p>
        </w:tc>
        <w:tc>
          <w:tcPr>
            <w:tcW w:type="dxa" w:w="4876"/>
          </w:tcPr>
          <w:p>
            <w:pPr>
              <w:spacing w:after="20"/>
            </w:pPr>
            <w:r/>
            <w:r>
              <w:rPr>
                <w:sz w:val="17"/>
              </w:rPr>
              <w:t>Los datos personales residen en Chile. Toda transferencia internacional requiere base de licitud, resguardos adecuados y autorización previa y escrita del CLIENTE</w:t>
            </w:r>
          </w:p>
        </w:tc>
      </w:tr>
      <w:tr>
        <w:tc>
          <w:tcPr>
            <w:tcW w:type="dxa" w:w="4876"/>
          </w:tcPr>
          <w:p>
            <w:pPr>
              <w:spacing w:after="20"/>
            </w:pPr>
            <w:r/>
            <w:r>
              <w:rPr>
                <w:sz w:val="17"/>
              </w:rPr>
              <w:t>Contraparte y prevención</w:t>
            </w:r>
          </w:p>
        </w:tc>
        <w:tc>
          <w:tcPr>
            <w:tcW w:type="dxa" w:w="4876"/>
          </w:tcPr>
          <w:p>
            <w:pPr>
              <w:spacing w:after="20"/>
            </w:pPr>
            <w:r/>
            <w:r>
              <w:rPr>
                <w:sz w:val="17"/>
              </w:rPr>
              <w:t>OVERFORE designa un delegado de protección de datos como contraparte del CLIENTE, y mantiene el registro de actividades de tratamiento, la evaluación de impacto de los tratamientos de mayor riesgo y un modelo de prevención de infracciones</w:t>
            </w:r>
          </w:p>
        </w:tc>
      </w:tr>
      <w:tr>
        <w:tc>
          <w:tcPr>
            <w:tcW w:type="dxa" w:w="4876"/>
          </w:tcPr>
          <w:p>
            <w:pPr>
              <w:spacing w:after="20"/>
            </w:pPr>
            <w:r/>
            <w:r>
              <w:rPr>
                <w:sz w:val="17"/>
              </w:rPr>
              <w:t>Ciberseguridad</w:t>
            </w:r>
          </w:p>
        </w:tc>
        <w:tc>
          <w:tcPr>
            <w:tcW w:type="dxa" w:w="4876"/>
          </w:tcPr>
          <w:p>
            <w:pPr>
              <w:spacing w:after="20"/>
            </w:pPr>
            <w:r/>
            <w:r>
              <w:rPr>
                <w:sz w:val="17"/>
              </w:rPr>
              <w:t>Se evalúa con el CLIENTE si éste califica como operador de importancia vital bajo la Ley N.º 21.663. De calificar, el procedimiento de brechas alimenta además la cadena de reporte al CSIRT Nacional con sus plazos propios, sin sustituir la notificación de 24 horas al CLIENTE</w:t>
            </w:r>
          </w:p>
        </w:tc>
      </w:tr>
    </w:tbl>
    <w:p>
      <w:pPr>
        <w:spacing w:after="40"/>
      </w:pPr>
    </w:p>
    <w:p>
      <w:pPr>
        <w:jc w:val="both"/>
      </w:pPr>
      <w:r>
        <w:rPr>
          <w:color w:val="5B6878"/>
          <w:sz w:val="17"/>
        </w:rPr>
        <w:t>La Ley N.º 21.719 entra en vigencia el 1 de diciembre de 2026, antes del mes 1 del cronograma contractual: todas las obligaciones de este apartado rigen desde el primer día del Contrato.</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