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CHAP_2" w:id="5024"/>
      <w:r>
        <w:t xml:space="preserve">Chapitre 2 – Cadre théorique : viscoélasticité linéaire et formulation spectrale du problème multicouche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2_intro">
        <w:r>
          <w:rPr>
            <w:b/>
            <w:bCs/>
            <w:color w:val="1F3864"/>
          </w:rPr>
          <w:t xml:space="preserve">Introduction du chapitre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2_1">
        <w:r>
          <w:rPr>
            <w:b/>
            <w:bCs/>
            <w:color w:val="1F3864"/>
          </w:rPr>
          <w:t xml:space="preserve">2.1 Hypothèses et rappels de mécanique des milieux continus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1_1">
        <w:r>
          <w:rPr>
            <w:b w:val="false"/>
            <w:bCs w:val="false"/>
            <w:color w:val="262626"/>
          </w:rPr>
          <w:t xml:space="preserve">2.1.1 Équations de champ et hypothèses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1_2">
        <w:r>
          <w:rPr>
            <w:b w:val="false"/>
            <w:bCs w:val="false"/>
            <w:color w:val="262626"/>
          </w:rPr>
          <w:t xml:space="preserve">2.1.2 Viscoélasticité linéaire héréditaire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2_2">
        <w:r>
          <w:rPr>
            <w:b/>
            <w:bCs/>
            <w:color w:val="1F3864"/>
          </w:rPr>
          <w:t xml:space="preserve">2.2 Le modèle 2S2P1D, du domaine fréquentiel au domaine temporel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2_1">
        <w:r>
          <w:rPr>
            <w:b w:val="false"/>
            <w:bCs w:val="false"/>
            <w:color w:val="262626"/>
          </w:rPr>
          <w:t xml:space="preserve">2.2.1 Formulation fréquentielle et équivalence temps-température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2_2">
        <w:r>
          <w:rPr>
            <w:b w:val="false"/>
            <w:bCs w:val="false"/>
            <w:color w:val="262626"/>
          </w:rPr>
          <w:t xml:space="preserve">2.2.2 Conversion en chaîne de Kelvin-Voigt généralisée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2_3">
        <w:r>
          <w:rPr>
            <w:b w:val="false"/>
            <w:bCs w:val="false"/>
            <w:color w:val="262626"/>
          </w:rPr>
          <w:t xml:space="preserve">2.2.3 Comportement tridimensionnel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2_3">
        <w:r>
          <w:rPr>
            <w:b/>
            <w:bCs/>
            <w:color w:val="1F3864"/>
          </w:rPr>
          <w:t xml:space="preserve">2.3 Formulation spectrale du problème multicouche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3_1">
        <w:r>
          <w:rPr>
            <w:b w:val="false"/>
            <w:bCs w:val="false"/>
            <w:color w:val="262626"/>
          </w:rPr>
          <w:t xml:space="preserve">2.3.1 Transformées de Fourier et repère mobile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3_2">
        <w:r>
          <w:rPr>
            <w:b w:val="false"/>
            <w:bCs w:val="false"/>
            <w:color w:val="262626"/>
          </w:rPr>
          <w:t xml:space="preserve">2.3.2 Matrices de transfert et de rigidité de couche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3_3">
        <w:r>
          <w:rPr>
            <w:b w:val="false"/>
            <w:bCs w:val="false"/>
            <w:color w:val="262626"/>
          </w:rPr>
          <w:t xml:space="preserve">2.3.3 Conditions d'interface et aux limites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2_4">
        <w:r>
          <w:rPr>
            <w:b/>
            <w:bCs/>
            <w:color w:val="1F3864"/>
          </w:rPr>
          <w:t xml:space="preserve">2.4 Représentation analytique des empreintes de pression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4_1">
        <w:r>
          <w:rPr>
            <w:b w:val="false"/>
            <w:bCs w:val="false"/>
            <w:color w:val="262626"/>
          </w:rPr>
          <w:t xml:space="preserve">2.4.1 Paramétrisation des profils hétérogènes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4_2">
        <w:r>
          <w:rPr>
            <w:b w:val="false"/>
            <w:bCs w:val="false"/>
            <w:color w:val="262626"/>
          </w:rPr>
          <w:t xml:space="preserve">2.4.2 Transformées des empreintes et superposition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2_synth">
        <w:r>
          <w:rPr>
            <w:b/>
            <w:bCs/>
            <w:color w:val="1F3864"/>
          </w:rPr>
          <w:t xml:space="preserve">Synthèse du chapitre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CHAP_2 \o "2-3" \h \z } (le signet CHAP_2 couvre déjà tout le chapitre).</w:t>
      </w:r>
    </w:p>
    <w:p>
      <w:pPr>
        <w:pStyle w:val="Heading2"/>
      </w:pPr>
      <w:bookmarkStart w:name="C2_intro" w:id="5025"/>
      <w:r>
        <w:t xml:space="preserve">Introduction du chapitre</w:t>
      </w:r>
      <w:bookmarkEnd w:id="502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Expose l'objectif : construire un formalisme rigoureux et autonome, qui servira de base à la notice mathématique du code semi-analytique. Précise les conventions de notation (renvoi à la nomenclature).</w:t>
      </w:r>
    </w:p>
    <w:p>
      <w:pPr>
        <w:pStyle w:val="Heading2"/>
      </w:pPr>
      <w:bookmarkStart w:name="C2_1" w:id="5026"/>
      <w:r>
        <w:t xml:space="preserve">2.1 Hypothèses et rappels de mécanique des milieux continus</w:t>
      </w:r>
      <w:bookmarkEnd w:id="502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Fixe le cadre (petites perturbations, isotropie, nature des interfaces) et les équations de champ.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ouvrages de MMC (Salençon, Mandel), cours de référence.</w:t>
      </w:r>
    </w:p>
    <w:p>
      <w:pPr>
        <w:pStyle w:val="Heading3"/>
      </w:pPr>
      <w:bookmarkStart w:name="C2_1_1" w:id="5027"/>
      <w:r>
        <w:t xml:space="preserve">2.1.1 Équations de champ et hypothèses</w:t>
      </w:r>
      <w:bookmarkEnd w:id="502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Écris cinématique, équilibre (quasi-statique ou dynamique) et conditions aux limites. Justifie le choix quasi-statique ou dynamique selon les vitesses étudiées.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Salençon (Mécanique des milieux continus), Mandel.</w:t>
      </w:r>
    </w:p>
    <w:p>
      <w:pPr>
        <w:pStyle w:val="Heading3"/>
      </w:pPr>
      <w:bookmarkStart w:name="C2_1_2" w:id="5028"/>
      <w:r>
        <w:t xml:space="preserve">2.1.2 Viscoélasticité linéaire héréditaire</w:t>
      </w:r>
      <w:bookmarkEnd w:id="502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la forme intégrale de Boltzmann, les fonctions de fluage et de relaxation, et le principe de correspondance élastique-viscoélastique. C'est le pont théorique entre solutions élastiques et réponse viscoélastique.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Christensen (Theory of Viscoelasticity), Salençon (Viscoélasticité pour le calcul des structures), Mandel.</w:t>
      </w:r>
    </w:p>
    <w:p>
      <w:pPr>
        <w:pStyle w:val="Heading2"/>
      </w:pPr>
      <w:bookmarkStart w:name="C2_2" w:id="5029"/>
      <w:r>
        <w:t xml:space="preserve">2.2 Le modèle 2S2P1D, du domaine fréquentiel au domaine temporel</w:t>
      </w:r>
      <w:bookmarkEnd w:id="502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Formalise le modèle retenu et sa transposition dans les deux domaines utilisés par la thèse.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Olard &amp; Di Benedetto (2003), Tiouajni et al. (2011).</w:t>
      </w:r>
    </w:p>
    <w:p>
      <w:pPr>
        <w:pStyle w:val="Heading3"/>
      </w:pPr>
      <w:bookmarkStart w:name="C2_2_1" w:id="5030"/>
      <w:r>
        <w:t xml:space="preserve">2.2.1 Formulation fréquentielle et équivalence temps-température</w:t>
      </w:r>
      <w:bookmarkEnd w:id="503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Donne E*(ω,T), le rôle de chaque paramètre et la loi WLF. Ajoute une vérification de cohérence des paramètres (cf. écart sur |E*| relevé lors de la rédaction de l'article TFE).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Olard &amp; Di Benedetto (2003), articles d'application du 2S2P1D, thèses LTDS.</w:t>
      </w:r>
    </w:p>
    <w:p>
      <w:pPr>
        <w:pStyle w:val="Heading3"/>
      </w:pPr>
      <w:bookmarkStart w:name="C2_2_2" w:id="5031"/>
      <w:r>
        <w:t xml:space="preserve">2.2.2 Conversion en chaîne de Kelvin-Voigt généralisée</w:t>
      </w:r>
      <w:bookmarkEnd w:id="503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Détaille l'identification des paramètres KVG (méthode de Tiouajni et al., avec les corrections de notation et la coquille relevées au TFE). Discute le nombre de branches et la qualité d'approximation.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Tiouajni et al. (2011), articles sur l'identification de spectres discrets (séries de Prony).</w:t>
      </w:r>
    </w:p>
    <w:p>
      <w:pPr>
        <w:pStyle w:val="Heading3"/>
      </w:pPr>
      <w:bookmarkStart w:name="C2_2_3" w:id="5032"/>
      <w:r>
        <w:t xml:space="preserve">2.2.3 Comportement tridimensionnel</w:t>
      </w:r>
      <w:bookmarkEnd w:id="503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Traite les parties sphérique et déviatorique, le coefficient de Poisson complexe et leurs conséquences sur la réponse 3D.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LTDS sur le coefficient de Poisson complexe, thèses sur la caractérisation 3D des enrobés.</w:t>
      </w:r>
    </w:p>
    <w:p>
      <w:pPr>
        <w:pStyle w:val="Heading2"/>
      </w:pPr>
      <w:bookmarkStart w:name="C2_3" w:id="5033"/>
      <w:r>
        <w:t xml:space="preserve">2.3 Formulation spectrale du problème multicouche</w:t>
      </w:r>
      <w:bookmarkEnd w:id="503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Cœur de l'apport théorique : résolution du multicouche viscoélastique sous charge mobile dans l'espace des nombres d'onde.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sur les méthodes de transfert et de rigidité de couches, ViscoRoute, littérature de géophysique.</w:t>
      </w:r>
    </w:p>
    <w:p>
      <w:pPr>
        <w:pStyle w:val="Heading3"/>
      </w:pPr>
      <w:bookmarkStart w:name="C2_3_1" w:id="5034"/>
      <w:r>
        <w:t xml:space="preserve">2.3.1 Transformées de Fourier et repère mobile</w:t>
      </w:r>
      <w:bookmarkEnd w:id="503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Introduis la double transformée en espace et le passage au repère lié à la charge à vitesse constante, qui transforme la viscoélasticité en dépendance au nombre d'onde. Explicite les conventions de signe.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ouvrages sur les transformées intégrales, articles sur les charges mobiles (Duhamel, Chabot).</w:t>
      </w:r>
    </w:p>
    <w:p>
      <w:pPr>
        <w:pStyle w:val="Heading3"/>
      </w:pPr>
      <w:bookmarkStart w:name="C2_3_2" w:id="5035"/>
      <w:r>
        <w:t xml:space="preserve">2.3.2 Matrices de transfert et de rigidité de couche</w:t>
      </w:r>
      <w:bookmarkEnd w:id="503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Établis la solution dans une couche homogène puis l'assemblage des couches. Discute la stabilité numérique aux grands nombres d'onde.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Thomson (1950), Haskell (1953), Kausel &amp; Roësset (1981) — à vérifier dans ta base.</w:t>
      </w:r>
    </w:p>
    <w:p>
      <w:pPr>
        <w:pStyle w:val="Heading3"/>
      </w:pPr>
      <w:bookmarkStart w:name="C2_3_3" w:id="5036"/>
      <w:r>
        <w:t xml:space="preserve">2.3.3 Conditions d'interface et aux limites</w:t>
      </w:r>
      <w:bookmarkEnd w:id="503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Traite les interfaces collées, glissantes ou partiellement collées et la condition de massif semi-infini. Prévois les cas limites qui serviront à la vérification au chapitre 4.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sur les interfaces de chaussées (Chupin, Chabot), thèses LTDS et Université Gustave Eiffel.</w:t>
      </w:r>
    </w:p>
    <w:p>
      <w:pPr>
        <w:pStyle w:val="Heading2"/>
      </w:pPr>
      <w:bookmarkStart w:name="C2_4" w:id="5037"/>
      <w:r>
        <w:t xml:space="preserve">2.4 Représentation analytique des empreintes de pression</w:t>
      </w:r>
      <w:bookmarkEnd w:id="503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Construis une famille d'empreintes paramétrées, directement transformables dans l'espace spectral.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mesures De Beer, modèle à 5 gaussiennes du TFE.</w:t>
      </w:r>
    </w:p>
    <w:p>
      <w:pPr>
        <w:pStyle w:val="Heading3"/>
      </w:pPr>
      <w:bookmarkStart w:name="C2_4_1" w:id="5038"/>
      <w:r>
        <w:t xml:space="preserve">2.4.1 Paramétrisation des profils hétérogènes</w:t>
      </w:r>
      <w:bookmarkEnd w:id="503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Formalise le modèle à gaussiennes et les fonctions erf, avec la contrainte d'intégrale (normalisation à la charge par roue). Relie chaque paramètre aux mesures.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De Beer et al., Tielking &amp; Roberts (1987), rapport HTPT Airbus.</w:t>
      </w:r>
    </w:p>
    <w:p>
      <w:pPr>
        <w:pStyle w:val="Heading3"/>
      </w:pPr>
      <w:bookmarkStart w:name="C2_4_2" w:id="5039"/>
      <w:r>
        <w:t xml:space="preserve">2.4.2 Transformées des empreintes et superposition</w:t>
      </w:r>
      <w:bookmarkEnd w:id="503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Donne les transformées analytiques des empreintes et le principe de superposition pour les roues d'un bogie. Montre que les solutions élémentaires de type Boussinesq en sont un cas particulier.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ouvrages sur les transformées, articles semi-analytiques en mécanique des chaussées.</w:t>
      </w:r>
    </w:p>
    <w:p>
      <w:pPr>
        <w:pStyle w:val="Heading2"/>
      </w:pPr>
      <w:bookmarkStart w:name="C2_synth" w:id="5040"/>
      <w:r>
        <w:t xml:space="preserve">Synthèse du chapitre</w:t>
      </w:r>
      <w:bookmarkEnd w:id="504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Récapitule le formalisme sous forme de schéma de résolution (entrées : empreinte et matériaux ; sorties : champs de contraintes et de déformations). Annonce son implémentation au chapitre 4.</w:t>
      </w:r>
    </w:p>
    <w:p>
      <w:pPr>
        <w:pStyle w:val="TitreHorsTDM"/>
        <w:spacing w:before="480"/>
      </w:pPr>
      <w:bookmarkEnd w:id="5024"/>
      <w:r>
        <w:t xml:space="preserve">Références du chapitre (version de relecture)</w:t>
      </w:r>
    </w:p>
    <w:p>
      <w:pPr>
        <w:pStyle w:val="Consigne"/>
      </w:pPr>
      <w:r>
        <w:rPr>
          <w:b/>
          <w:bCs/>
        </w:rPr>
        <w:t xml:space="preserve">Bibliographie locale : </w:t>
      </w:r>
      <w:r>
        <w:t xml:space="preserve">insère ici la bibliographie Zotero (onglet Zotero &gt; Add/Edit Bibliography) pour tes relecteurs. Zotero n'acceptant qu'une bibliographie par document, supprime ce bloc avant la fusion : la bibliographie générale est produite dans le document maître.</w:t>
      </w:r>
    </w:p>
    <w:p>
      <w:pPr>
        <w:pStyle w:val="TitreHorsTDM"/>
      </w:pPr>
      <w:r>
        <w:t xml:space="preserve">Instructions d'assemblage</w:t>
      </w:r>
    </w:p>
    <w:p>
      <w:pPr>
        <w:pStyle w:val="Consigne"/>
        <w:numPr>
          <w:ilvl w:val="0"/>
          <w:numId w:val="3"/>
        </w:numPr>
      </w:pPr>
      <w:r>
        <w:t xml:space="preserve">Saut de section : ce fichier se termine par un « Saut de section (Page suivante) », porté par le paragraphe vide juste sous ce bloc (affiche les marques avec Ctrl+Maj+8). Ne le supprime pas et n'écris rien après : il clôt la section « Chapitre 2 – Cadre théorique » (avec son en-tête propre) et fait démarrer « Chapitre 3 – Modélisation par éléments finis de l'effet des empreintes hétérogènes » (03_Chapitre3_Modelisation_EF.docx) sur une nouvelle page.</w:t>
      </w:r>
    </w:p>
    <w:p>
      <w:pPr>
        <w:pStyle w:val="Consigne"/>
        <w:numPr>
          <w:ilvl w:val="0"/>
          <w:numId w:val="3"/>
        </w:numPr>
      </w:pPr>
      <w:r>
        <w:t xml:space="preserve">Pour en insérer un à la main : place le curseur à la toute fin du dernier paragraphe du chapitre, puis Mise en page &gt; Sauts de pages &gt; Sauts de section : Page suivante.</w:t>
      </w:r>
    </w:p>
    <w:p>
      <w:pPr>
        <w:pStyle w:val="Consigne"/>
        <w:numPr>
          <w:ilvl w:val="0"/>
          <w:numId w:val="3"/>
        </w:numPr>
      </w:pPr>
      <w:r>
        <w:t xml:space="preserve">Numérotation : la pagination continue depuis le chapitre précédent (Format des numéros &gt; « À la suite de la section précédente »). Ne la fais pas redémarrer.</w:t>
      </w:r>
    </w:p>
    <w:p>
      <w:pPr>
        <w:pStyle w:val="Consigne"/>
        <w:numPr>
          <w:ilvl w:val="0"/>
          <w:numId w:val="3"/>
        </w:numPr>
      </w:pPr>
      <w:r>
        <w:t xml:space="preserve">En-tête : l'en-tête « Chapitre 2 – Cadre théorique » appartient à cette section ; après fusion, vérifie dans l'onglet En-tête que « Lier au précédent » est désactivé, sinon il reprendrait celui du chapitre précédent.</w:t>
      </w:r>
    </w:p>
    <w:p>
      <w:pPr>
        <w:pStyle w:val="Consigne"/>
        <w:numPr>
          <w:ilvl w:val="0"/>
          <w:numId w:val="3"/>
        </w:numPr>
      </w:pPr>
      <w:r>
        <w:t xml:space="preserve">Avant fusion : supprime le bloc « Références du chapitre » puis toutes les consignes bleues (clic droit sur une consigne &gt; Styles &gt; Sélectionner toutes les instances, puis Suppr). Le paragraphe du saut de section est en style Normal : il n'est pas touché.</w:t>
      </w:r>
    </w:p>
    <w:p>
      <w:pPr>
        <w:pStyle w:val="Consigne"/>
        <w:numPr>
          <w:ilvl w:val="0"/>
          <w:numId w:val="3"/>
        </w:numPr>
      </w:pPr>
      <w:r>
        <w:t xml:space="preserve">Fusion : dans 00_Document_maitre.docx, sélectionne la ligne « ◆ Insérer ici : 02_Chapitre2_Cadre_theorique.docx », puis Insertion &gt; Objet ▾ &gt; Texte d'un fichier… et choisis ce fichier. Mets ensuite à jour la table des matières (Ctrl+A puis F9) et Zotero (Refresh).</w:t>
      </w:r>
    </w:p>
    <w:p>
      <w:pPr>
        <w:pStyle w:val="Consigne"/>
        <w:numPr>
          <w:ilvl w:val="0"/>
          <w:numId w:val="3"/>
        </w:numPr>
      </w:pPr>
      <w:r>
        <w:t xml:space="preserve">Impression recto-verso (version finale) : remplace ce saut par « Page impaire » pour que chaque chapitre commence sur une page de droite.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/>
    <w:sectPr>
      <w:type w:val="nextPage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Chapitre 2 – Cadre théorique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1F3864"/>
      </w:rPr>
    </w:lvl>
    <w:lvl w:ilvl="1" w15:tentative="1">
      <w:start w:val="1"/>
      <w:numFmt w:val="bullet"/>
      <w:lvlText w:val="–"/>
      <w:lvlJc w:val="left"/>
      <w:pPr>
        <w:ind w:left="880" w:hanging="260"/>
      </w:pPr>
      <w:rPr>
        <w:color w:val="2E5E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fr-FR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76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12" w:space="6"/>
      </w:pBdr>
      <w:spacing w:after="480" w:before="0" w:line="320"/>
      <w:jc w:val="left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60" w:before="400"/>
      <w:jc w:val="left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280"/>
      <w:jc w:val="left"/>
      <w:outlineLvl w:val="2"/>
    </w:pPr>
    <w:rPr>
      <w:rFonts w:ascii="Calibri" w:cs="Calibri" w:eastAsia="Calibri" w:hAnsi="Calibri"/>
      <w:b/>
      <w:bCs/>
      <w:color w:val="2E5E8C"/>
      <w:sz w:val="25"/>
      <w:szCs w:val="25"/>
    </w:rPr>
  </w:style>
  <w:style w:type="paragraph" w:styleId="Consigne">
    <w:name w:val="Consigne de rédaction"/>
    <w:basedOn w:val="Normal"/>
    <w:next w:val="Normal"/>
    <w:qFormat/>
    <w:pPr>
      <w:pBdr>
        <w:left w:val="single" w:color="5B9BD5" w:sz="18" w:space="6"/>
      </w:pBdr>
      <w:shd w:fill="E8F0FA" w:color="auto" w:val="clear"/>
      <w:spacing w:after="80" w:before="40" w:line="252"/>
      <w:ind w:left="170"/>
      <w:jc w:val="left"/>
    </w:pPr>
    <w:rPr>
      <w:rFonts w:ascii="Calibri" w:cs="Calibri" w:eastAsia="Calibri" w:hAnsi="Calibri"/>
      <w:i/>
      <w:iCs/>
      <w:color w:val="1F4E79"/>
      <w:sz w:val="20"/>
      <w:szCs w:val="20"/>
    </w:rPr>
  </w:style>
  <w:style w:type="paragraph" w:styleId="TitreHorsTDM">
    <w:name w:val="Titre hors TDM"/>
    <w:basedOn w:val="Normal"/>
    <w:next w:val="Normal"/>
    <w:qFormat/>
    <w:pPr>
      <w:keepNext/>
      <w:pBdr>
        <w:bottom w:val="single" w:color="8EAADB" w:sz="4" w:space="3"/>
      </w:pBdr>
      <w:spacing w:after="120" w:before="240"/>
      <w:jc w:val="left"/>
    </w:pPr>
    <w:rPr>
      <w:rFonts w:ascii="Calibri" w:cs="Calibri" w:eastAsia="Calibri" w:hAnsi="Calibri"/>
      <w:b/>
      <w:bCs/>
      <w:smallCaps/>
      <w:color w:val="1F3864"/>
      <w:sz w:val="26"/>
      <w:szCs w:val="26"/>
    </w:rPr>
  </w:style>
  <w:style w:type="paragraph" w:styleId="SommaireChapitre">
    <w:name w:val="Sommaire chapitre"/>
    <w:basedOn w:val="Normal"/>
    <w:next w:val="SommaireChapitre"/>
    <w:qFormat/>
    <w:pPr>
      <w:spacing w:after="40" w:before="0" w:line="252"/>
      <w:jc w:val="left"/>
    </w:pPr>
    <w:rPr>
      <w:rFonts w:ascii="Calibri" w:cs="Calibri" w:eastAsia="Calibri" w:hAnsi="Calibri"/>
      <w:sz w:val="21"/>
      <w:szCs w:val="21"/>
    </w:rPr>
  </w:style>
  <w:style w:type="paragraph" w:styleId="PageTitre">
    <w:name w:val="Page de titre"/>
    <w:basedOn w:val="Normal"/>
    <w:next w:val="PageTitre"/>
    <w:pPr>
      <w:spacing w:after="160" w:line="320"/>
      <w:jc w:val="center"/>
    </w:pPr>
    <w:rPr>
      <w:rFonts w:ascii="Calibri" w:cs="Calibri" w:eastAsia="Calibri" w:hAnsi="Calibri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Chapitre 2 – Cadre théorique : viscoélasticité linéaire et formulation spectrale du problème multicouche</dc:title>
  <dc:creator>Lucas DAVID</dc:creator>
  <cp:lastModifiedBy>Un-named</cp:lastModifiedBy>
  <cp:revision>1</cp:revision>
  <dcterms:created xsi:type="dcterms:W3CDTF">2026-10-05T08:09:58.633Z</dcterms:created>
  <dcterms:modified xsi:type="dcterms:W3CDTF">2026-10-05T08:09:58.633Z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