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4" w:id="5059"/>
      <w:r>
        <w:t xml:space="preserve">Chapitre 4 – Code semi-analytique spectral : implémentation, validation et études paramétriques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4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1">
        <w:r>
          <w:rPr>
            <w:b/>
            <w:bCs/>
            <w:color w:val="1F3864"/>
          </w:rPr>
          <w:t xml:space="preserve">4.1 Implémentation numérique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1_1">
        <w:r>
          <w:rPr>
            <w:b w:val="false"/>
            <w:bCs w:val="false"/>
            <w:color w:val="262626"/>
          </w:rPr>
          <w:t xml:space="preserve">4.1.1 Discrétisation spectrale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1_2">
        <w:r>
          <w:rPr>
            <w:b w:val="false"/>
            <w:bCs w:val="false"/>
            <w:color w:val="262626"/>
          </w:rPr>
          <w:t xml:space="preserve">4.1.2 Résolution couche par couche et transformée inverse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1_3">
        <w:r>
          <w:rPr>
            <w:b w:val="false"/>
            <w:bCs w:val="false"/>
            <w:color w:val="262626"/>
          </w:rPr>
          <w:t xml:space="preserve">4.1.3 Architecture logicielle et notice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2">
        <w:r>
          <w:rPr>
            <w:b/>
            <w:bCs/>
            <w:color w:val="1F3864"/>
          </w:rPr>
          <w:t xml:space="preserve">4.2 Vérification et validation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2_1">
        <w:r>
          <w:rPr>
            <w:b w:val="false"/>
            <w:bCs w:val="false"/>
            <w:color w:val="262626"/>
          </w:rPr>
          <w:t xml:space="preserve">4.2.1 Cas analytiques élastiques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2_2">
        <w:r>
          <w:rPr>
            <w:b w:val="false"/>
            <w:bCs w:val="false"/>
            <w:color w:val="262626"/>
          </w:rPr>
          <w:t xml:space="preserve">4.2.2 Comparaison au modèle éléments finis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2_3">
        <w:r>
          <w:rPr>
            <w:b w:val="false"/>
            <w:bCs w:val="false"/>
            <w:color w:val="262626"/>
          </w:rPr>
          <w:t xml:space="preserve">4.2.3 Comparaison à un outil semi-analytique existant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3">
        <w:r>
          <w:rPr>
            <w:b/>
            <w:bCs/>
            <w:color w:val="1F3864"/>
          </w:rPr>
          <w:t xml:space="preserve">4.3 Études paramétriques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3_1">
        <w:r>
          <w:rPr>
            <w:b w:val="false"/>
            <w:bCs w:val="false"/>
            <w:color w:val="262626"/>
          </w:rPr>
          <w:t xml:space="preserve">4.3.1 Vitesse de roulage et température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3_2">
        <w:r>
          <w:rPr>
            <w:b w:val="false"/>
            <w:bCs w:val="false"/>
            <w:color w:val="262626"/>
          </w:rPr>
          <w:t xml:space="preserve">4.3.2 Forme et paramètres de l'empreinte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4_3_3">
        <w:r>
          <w:rPr>
            <w:b w:val="false"/>
            <w:bCs w:val="false"/>
            <w:color w:val="262626"/>
          </w:rPr>
          <w:t xml:space="preserve">4.3.3 Configurations de trains d'atterrissage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4">
        <w:r>
          <w:rPr>
            <w:b/>
            <w:bCs/>
            <w:color w:val="1F3864"/>
          </w:rPr>
          <w:t xml:space="preserve">4.4 Performances et domaine de validité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4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CHAP_4 \o "2-3" \h \z } (le signet CHAP_4 couvre déjà tout le chapitre).</w:t>
      </w:r>
    </w:p>
    <w:p>
      <w:pPr>
        <w:pStyle w:val="Heading2"/>
      </w:pPr>
      <w:bookmarkStart w:name="C4_intro" w:id="5060"/>
      <w:r>
        <w:t xml:space="preserve">Introduction du chapitre</w:t>
      </w:r>
      <w:bookmarkEnd w:id="506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l'objectif : un outil maison rapide, documenté et vérifié, qui implémente le formalisme du chapitre 2.</w:t>
      </w:r>
    </w:p>
    <w:p>
      <w:pPr>
        <w:pStyle w:val="Heading2"/>
      </w:pPr>
      <w:bookmarkStart w:name="C4_1" w:id="5061"/>
      <w:r>
        <w:t xml:space="preserve">4.1 Implémentation numérique</w:t>
      </w:r>
      <w:bookmarkEnd w:id="506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l'architecture du code de façon à permettre sa reproduction.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méthodes numériques (FFT, quadratures), documentation NumPy/SciPy.</w:t>
      </w:r>
    </w:p>
    <w:p>
      <w:pPr>
        <w:pStyle w:val="Heading3"/>
      </w:pPr>
      <w:bookmarkStart w:name="C4_1_1" w:id="5062"/>
      <w:r>
        <w:t xml:space="preserve">4.1.1 Discrétisation spectrale</w:t>
      </w:r>
      <w:bookmarkEnd w:id="506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Justifie les grilles en nombre d'onde, la taille de domaine et le fenêtrage. Traite le repliement et le phénomène de Gibbs.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traitement du signal, articles sur la FFT en mécanique des chaussées.</w:t>
      </w:r>
    </w:p>
    <w:p>
      <w:pPr>
        <w:pStyle w:val="Heading3"/>
      </w:pPr>
      <w:bookmarkStart w:name="C4_1_2" w:id="5063"/>
      <w:r>
        <w:t xml:space="preserve">4.1.2 Résolution couche par couche et transformée inverse</w:t>
      </w:r>
      <w:bookmarkEnd w:id="506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l'assemblage, la résolution et l'inversion (FFT 2D ou transformée de Hankel selon la symétrie). Précise les techniques de stabilisation.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méthodologiques (Kausel, méthodes de rigidité stables).</w:t>
      </w:r>
    </w:p>
    <w:p>
      <w:pPr>
        <w:pStyle w:val="Heading3"/>
      </w:pPr>
      <w:bookmarkStart w:name="C4_1_3" w:id="5064"/>
      <w:r>
        <w:t xml:space="preserve">4.1.3 Architecture logicielle et notice</w:t>
      </w:r>
      <w:bookmarkEnd w:id="506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structure du code, les tests unitaires et la notice mathématique (renvoyée en annexe A).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pas de source ; renvoi à l'annexe.</w:t>
      </w:r>
    </w:p>
    <w:p>
      <w:pPr>
        <w:pStyle w:val="Heading2"/>
      </w:pPr>
      <w:bookmarkStart w:name="C4_2" w:id="5065"/>
      <w:r>
        <w:t xml:space="preserve">4.2 Vérification et validation</w:t>
      </w:r>
      <w:bookmarkEnd w:id="506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Établis la confiance dans le code par une hiérarchie de cas tests, du plus simple au plus représentatif.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solutions de référence publiées.</w:t>
      </w:r>
    </w:p>
    <w:p>
      <w:pPr>
        <w:pStyle w:val="Heading3"/>
      </w:pPr>
      <w:bookmarkStart w:name="C4_2_1" w:id="5066"/>
      <w:r>
        <w:t xml:space="preserve">4.2.1 Cas analytiques élastiques</w:t>
      </w:r>
      <w:bookmarkEnd w:id="506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à Boussinesq et à Burmister (Alizé) sous charge circulaire uniforme.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Burmister, documentation Alizé, Huang.</w:t>
      </w:r>
    </w:p>
    <w:p>
      <w:pPr>
        <w:pStyle w:val="Heading3"/>
      </w:pPr>
      <w:bookmarkStart w:name="C4_2_2" w:id="5067"/>
      <w:r>
        <w:t xml:space="preserve">4.2.2 Comparaison au modèle éléments finis</w:t>
      </w:r>
      <w:bookmarkEnd w:id="506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Confronte le code aux résultats COMSOL du chapitre 3 pour les trois empreintes, en viscoélastique.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résultats du chapitre 3.</w:t>
      </w:r>
    </w:p>
    <w:p>
      <w:pPr>
        <w:pStyle w:val="Heading3"/>
      </w:pPr>
      <w:bookmarkStart w:name="C4_2_3" w:id="5068"/>
      <w:r>
        <w:t xml:space="preserve">4.2.3 Comparaison à un outil semi-analytique existant</w:t>
      </w:r>
      <w:bookmarkEnd w:id="506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Si l'outil est accessible, compare à ViscoRoute ou à un code équivalent sur un cas publié.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ViscoRoute (Chabot, Duhamel et al.).</w:t>
      </w:r>
    </w:p>
    <w:p>
      <w:pPr>
        <w:pStyle w:val="Heading2"/>
      </w:pPr>
      <w:bookmarkStart w:name="C4_3" w:id="5069"/>
      <w:r>
        <w:t xml:space="preserve">4.3 Études paramétriques</w:t>
      </w:r>
      <w:bookmarkEnd w:id="506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Exploite la rapidité du code pour balayer l'espace des paramètres.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données STAC sur le trafic et le climat.</w:t>
      </w:r>
    </w:p>
    <w:p>
      <w:pPr>
        <w:pStyle w:val="Heading3"/>
      </w:pPr>
      <w:bookmarkStart w:name="C4_3_1" w:id="5070"/>
      <w:r>
        <w:t xml:space="preserve">4.3.1 Vitesse de roulage et température</w:t>
      </w:r>
      <w:bookmarkEnd w:id="507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Étudie l'effet couplé vitesse/température via l'équivalence temps-température, notamment pour les zones de circulation lente.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rapports STAC, articles sur les effets de vitesse.</w:t>
      </w:r>
    </w:p>
    <w:p>
      <w:pPr>
        <w:pStyle w:val="Heading3"/>
      </w:pPr>
      <w:bookmarkStart w:name="C4_3_2" w:id="5071"/>
      <w:r>
        <w:t xml:space="preserve">4.3.2 Forme et paramètres de l'empreinte</w:t>
      </w:r>
      <w:bookmarkEnd w:id="507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Fais varier amplitude, position et largeur des pics du profil M, et identifie les paramètres les plus influents.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al., rapport HTPT Airbus.</w:t>
      </w:r>
    </w:p>
    <w:p>
      <w:pPr>
        <w:pStyle w:val="Heading3"/>
      </w:pPr>
      <w:bookmarkStart w:name="C4_3_3" w:id="5072"/>
      <w:r>
        <w:t xml:space="preserve">4.3.3 Configurations de trains d'atterrissage</w:t>
      </w:r>
      <w:bookmarkEnd w:id="507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plusieurs avions (A340, A380, B777…) et l'interaction entre roues.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caractéristiques avions des constructeurs, documentation OACI ACR-PCR.</w:t>
      </w:r>
    </w:p>
    <w:p>
      <w:pPr>
        <w:pStyle w:val="Heading2"/>
      </w:pPr>
      <w:bookmarkStart w:name="C4_4" w:id="5073"/>
      <w:r>
        <w:t xml:space="preserve">4.4 Performances et domaine de validité</w:t>
      </w:r>
      <w:bookmarkEnd w:id="507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Quantifie le temps de calcul et la précision par rapport aux éléments finis. Liste les limites (linéarité, interfaces, extension latérale infinie).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comparant le coût des méthodes de calcul de chaussées.</w:t>
      </w:r>
    </w:p>
    <w:p>
      <w:pPr>
        <w:pStyle w:val="Heading2"/>
      </w:pPr>
      <w:bookmarkStart w:name="C4_synth" w:id="5074"/>
      <w:r>
        <w:t xml:space="preserve">Synthèse du chapitre</w:t>
      </w:r>
      <w:bookmarkEnd w:id="507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Conclus sur la validité du code et sur ce qu'il permet que les éléments finis ne permettent pas aisément (balayages paramétriques, lecture théorique des résultats).</w:t>
      </w:r>
    </w:p>
    <w:p>
      <w:pPr>
        <w:pStyle w:val="TitreHorsTDM"/>
        <w:spacing w:before="480"/>
      </w:pPr>
      <w:bookmarkEnd w:id="5059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4 – Code semi-analytique » (avec son en-tête propre) et fait démarrer « Chapitre 5 – Influence de la texture de surface sur la réponse mécanique proche de la surface » (05_Chapitre5_Texture_de_surface.docx)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4 – Code semi-analytique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04_Chapitre4_Code_semi-analytique.docx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4 – Code semi-analytique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4 – Code semi-analytique spectral : implémentation, validation et études paramétriques</dc:title>
  <dc:creator>Lucas DAVID</dc:creator>
  <cp:lastModifiedBy>Un-named</cp:lastModifiedBy>
  <cp:revision>1</cp:revision>
  <dcterms:created xsi:type="dcterms:W3CDTF">2026-10-05T08:09:58.689Z</dcterms:created>
  <dcterms:modified xsi:type="dcterms:W3CDTF">2026-10-05T08:09:58.689Z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