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INTRO" w:id="5000"/>
      <w:r>
        <w:t xml:space="preserve">Introduction générale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INTRO_1">
        <w:r>
          <w:rPr>
            <w:b/>
            <w:bCs/>
            <w:color w:val="1F3864"/>
          </w:rPr>
          <w:t xml:space="preserve">Contexte industriel et scientifique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2">
        <w:r>
          <w:rPr>
            <w:b/>
            <w:bCs/>
            <w:color w:val="1F3864"/>
          </w:rPr>
          <w:t xml:space="preserve">Problématique et questions de recherche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3">
        <w:r>
          <w:rPr>
            <w:b/>
            <w:bCs/>
            <w:color w:val="1F3864"/>
          </w:rPr>
          <w:t xml:space="preserve">Objectifs et démarche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INTRO_4">
        <w:r>
          <w:rPr>
            <w:b/>
            <w:bCs/>
            <w:color w:val="1F3864"/>
          </w:rPr>
          <w:t xml:space="preserve">Organisation du manuscrit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CHAP_INTRO \o "2-3" \h \z } (le signet CHAP_INTRO couvre déjà tout le chapitre).</w:t>
      </w:r>
    </w:p>
    <w:p>
      <w:pPr>
        <w:pStyle w:val="Heading2"/>
      </w:pPr>
      <w:bookmarkStart w:name="CINTRO_1" w:id="5001"/>
      <w:r>
        <w:t xml:space="preserve">Contexte industriel et scientifique</w:t>
      </w:r>
      <w:bookmarkEnd w:id="500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l'évolution du trafic aéronautique (charges par roue croissantes, pressions de gonflage élevées, trains multi-essieux) et le rôle du STAC dans la doctrine française de dimensionnement. Termine par les enjeux économiques et de sécurité liés à la durabilité des chaussées aéronautiques souples.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et rapports techniques du STAC, documents OACI et FAA (circulaires AC 150/5320), données constructeurs (Airbus), articles de synthèse sur les chaussées aéroportuaires.</w:t>
      </w:r>
    </w:p>
    <w:p>
      <w:pPr>
        <w:pStyle w:val="Heading2"/>
      </w:pPr>
      <w:bookmarkStart w:name="CINTRO_2" w:id="5002"/>
      <w:r>
        <w:t xml:space="preserve">Problématique et questions de recherche</w:t>
      </w:r>
      <w:bookmarkEnd w:id="500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Formule la question centrale : comment la distribution réelle, hétérogène (profil en M), de la pression de contact modifie-t-elle la réponse mécanique et la durée de vie des chaussées aéronautiques par rapport à l'hypothèse classique de charge uniforme ? Décline-la en questions de recherche numérotées (domaine fréquentiel, solution semi-analytique, texture, validation expérimentale).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mesures de contact (De Beer, Stress-In-Motion), rapport HTPT Airbus, ton TFE et ton article MAIREINFRA 2027 (types « Thèse/Rapport » et « Article de conférence »).</w:t>
      </w:r>
    </w:p>
    <w:p>
      <w:pPr>
        <w:pStyle w:val="Heading2"/>
      </w:pPr>
      <w:bookmarkStart w:name="CINTRO_3" w:id="5003"/>
      <w:r>
        <w:t xml:space="preserve">Objectifs et démarche</w:t>
      </w:r>
      <w:bookmarkEnd w:id="500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Liste les objectifs (cadre théorique spectral, référence éléments finis, code semi-analytique, texture, validation expérimentale sur le banc 2T3C) et montre comment ils s'enchaînent. Un schéma de démarche en figure est recommandé ici.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peu de citations : renvoie aux références structurantes de chaque chapitre.</w:t>
      </w:r>
    </w:p>
    <w:p>
      <w:pPr>
        <w:pStyle w:val="Heading2"/>
      </w:pPr>
      <w:bookmarkStart w:name="CINTRO_4" w:id="5004"/>
      <w:r>
        <w:t xml:space="preserve">Organisation du manuscrit</w:t>
      </w:r>
      <w:bookmarkEnd w:id="500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Résume chaque chapitre en un court paragraphe. À rédiger en dernier, une fois les chapitres stabilisés.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nouvelle.</w:t>
      </w:r>
    </w:p>
    <w:p>
      <w:pPr>
        <w:pStyle w:val="TitreHorsTDM"/>
        <w:spacing w:before="480"/>
      </w:pPr>
      <w:bookmarkEnd w:id="5000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Introduction générale » (avec son en-tête propre) et fait démarrer « Chapitre 1 – État de l'art : chaussées aéronautiques, matériaux bitumineux et contact pneumatique-chaussée » (01_Chapitre1_Etat_de_l_art.docx)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cette section redémarre la pagination à 1 en chiffres arabes (Insertion &gt; Numéro de page &gt; Format des numéros &gt; « À partir de : 1 »). Les pages liminaires restent en chiffres romains.</w:t>
      </w:r>
    </w:p>
    <w:p>
      <w:pPr>
        <w:pStyle w:val="Consigne"/>
        <w:numPr>
          <w:ilvl w:val="0"/>
          <w:numId w:val="3"/>
        </w:numPr>
      </w:pPr>
      <w:r>
        <w:t xml:space="preserve">En-tête : l'en-tête « Introduction générale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00_Introduction_generale.docx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start="1"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Introduction générale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générale</dc:title>
  <dc:creator>Lucas DAVID</dc:creator>
  <cp:lastModifiedBy>Un-named</cp:lastModifiedBy>
  <cp:revision>1</cp:revision>
  <dcterms:created xsi:type="dcterms:W3CDTF">2026-10-05T08:09:58.516Z</dcterms:created>
  <dcterms:modified xsi:type="dcterms:W3CDTF">2026-10-05T08:09:58.517Z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