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3" w:id="5041"/>
      <w:r>
        <w:t xml:space="preserve">Chapitre 3 – Modélisation par éléments finis de l'effet des empreintes hétérogènes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3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1">
        <w:r>
          <w:rPr>
            <w:b/>
            <w:bCs/>
            <w:color w:val="1F3864"/>
          </w:rPr>
          <w:t xml:space="preserve">3.1 Modèle éléments finis de référence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1_1">
        <w:r>
          <w:rPr>
            <w:b w:val="false"/>
            <w:bCs w:val="false"/>
            <w:color w:val="262626"/>
          </w:rPr>
          <w:t xml:space="preserve">3.1.1 Géométrie, structure et maillage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1_2">
        <w:r>
          <w:rPr>
            <w:b w:val="false"/>
            <w:bCs w:val="false"/>
            <w:color w:val="262626"/>
          </w:rPr>
          <w:t xml:space="preserve">3.1.2 Implémentation du comportement viscoélastique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1_3">
        <w:r>
          <w:rPr>
            <w:b w:val="false"/>
            <w:bCs w:val="false"/>
            <w:color w:val="262626"/>
          </w:rPr>
          <w:t xml:space="preserve">3.1.3 Validation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2">
        <w:r>
          <w:rPr>
            <w:b/>
            <w:bCs/>
            <w:color w:val="1F3864"/>
          </w:rPr>
          <w:t xml:space="preserve">3.2 Chargements étudiés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2_1">
        <w:r>
          <w:rPr>
            <w:b w:val="false"/>
            <w:bCs w:val="false"/>
            <w:color w:val="262626"/>
          </w:rPr>
          <w:t xml:space="preserve">3.2.1 Empreintes uniformes de référence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2_2">
        <w:r>
          <w:rPr>
            <w:b w:val="false"/>
            <w:bCs w:val="false"/>
            <w:color w:val="262626"/>
          </w:rPr>
          <w:t xml:space="preserve">3.2.2 Empreinte hétérogène de type M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2_3">
        <w:r>
          <w:rPr>
            <w:b w:val="false"/>
            <w:bCs w:val="false"/>
            <w:color w:val="262626"/>
          </w:rPr>
          <w:t xml:space="preserve">3.2.3 Configuration avion et conditions de calcul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3">
        <w:r>
          <w:rPr>
            <w:b/>
            <w:bCs/>
            <w:color w:val="1F3864"/>
          </w:rPr>
          <w:t xml:space="preserve">3.3 Résultats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3_1">
        <w:r>
          <w:rPr>
            <w:b w:val="false"/>
            <w:bCs w:val="false"/>
            <w:color w:val="262626"/>
          </w:rPr>
          <w:t xml:space="preserve">3.3.1 Réponse près de la surface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3_2">
        <w:r>
          <w:rPr>
            <w:b w:val="false"/>
            <w:bCs w:val="false"/>
            <w:color w:val="262626"/>
          </w:rPr>
          <w:t xml:space="preserve">3.3.2 Réponse en base de couche bitumineuse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3_3">
        <w:r>
          <w:rPr>
            <w:b w:val="false"/>
            <w:bCs w:val="false"/>
            <w:color w:val="262626"/>
          </w:rPr>
          <w:t xml:space="preserve">3.3.3 Comparaison élastique / viscoélastique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4">
        <w:r>
          <w:rPr>
            <w:b/>
            <w:bCs/>
            <w:color w:val="1F3864"/>
          </w:rPr>
          <w:t xml:space="preserve">3.4 Conséquences sur la durée de vie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4_1">
        <w:r>
          <w:rPr>
            <w:b w:val="false"/>
            <w:bCs w:val="false"/>
            <w:color w:val="262626"/>
          </w:rPr>
          <w:t xml:space="preserve">3.4.1 Lois d'endommagement utilisées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3_4_2">
        <w:r>
          <w:rPr>
            <w:b w:val="false"/>
            <w:bCs w:val="false"/>
            <w:color w:val="262626"/>
          </w:rPr>
          <w:t xml:space="preserve">3.4.2 Sensibilité de la durée de vie au profil de pression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3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CHAP_3 \o "2-3" \h \z } (le signet CHAP_3 couvre déjà tout le chapitre).</w:t>
      </w:r>
    </w:p>
    <w:p>
      <w:pPr>
        <w:pStyle w:val="Heading2"/>
      </w:pPr>
      <w:bookmarkStart w:name="C3_intro" w:id="5042"/>
      <w:r>
        <w:t xml:space="preserve">Introduction du chapitre</w:t>
      </w:r>
      <w:bookmarkEnd w:id="504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ce chapitre comme la consolidation des travaux du TFE et la construction d'une référence numérique pour valider le code semi-analytique.</w:t>
      </w:r>
    </w:p>
    <w:p>
      <w:pPr>
        <w:pStyle w:val="Heading2"/>
      </w:pPr>
      <w:bookmarkStart w:name="C3_1" w:id="5043"/>
      <w:r>
        <w:t xml:space="preserve">3.1 Modèle éléments finis de référence</w:t>
      </w:r>
      <w:bookmarkEnd w:id="504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 modèle COMSOL de manière reproductible.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documentation COMSOL, Roussel (2020), Roussel/Petitjean et al. (2002).</w:t>
      </w:r>
    </w:p>
    <w:p>
      <w:pPr>
        <w:pStyle w:val="Heading3"/>
      </w:pPr>
      <w:bookmarkStart w:name="C3_1_1" w:id="5044"/>
      <w:r>
        <w:t xml:space="preserve">3.1.1 Géométrie, structure et maillage</w:t>
      </w:r>
      <w:bookmarkEnd w:id="504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structure multicouche (BB/GB/GRH/plateforme/substratum), les dimensions et les conditions aux limites. Intègre l'étude de convergence (60 éléments/m, éléments quadratiques, écarts sur |ε_XZ|).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modélisation EF des chaussées, documentation COMSOL.</w:t>
      </w:r>
    </w:p>
    <w:p>
      <w:pPr>
        <w:pStyle w:val="Heading3"/>
      </w:pPr>
      <w:bookmarkStart w:name="C3_1_2" w:id="5045"/>
      <w:r>
        <w:t xml:space="preserve">3.1.2 Implémentation du comportement viscoélastique</w:t>
      </w:r>
      <w:bookmarkEnd w:id="504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Explique l'implémentation de la chaîne KVG dans COMSOL et les choix d'intégration temporelle.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documentation COMSOL, Tiouajni et al. (2011).</w:t>
      </w:r>
    </w:p>
    <w:p>
      <w:pPr>
        <w:pStyle w:val="Heading3"/>
      </w:pPr>
      <w:bookmarkStart w:name="C3_1_3" w:id="5046"/>
      <w:r>
        <w:t xml:space="preserve">3.1.3 Validation</w:t>
      </w:r>
      <w:bookmarkEnd w:id="504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aux résultats de référence (Roussel/Petitjean et al. 2002, Roussel 2020), avec environ 1 % d'écart en viscoélastique. Explique les écarts diagnostiqués (sondes, expressions, repliement spatial).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Roussel/Petitjean et al. (2002), Roussel (2020).</w:t>
      </w:r>
    </w:p>
    <w:p>
      <w:pPr>
        <w:pStyle w:val="Heading2"/>
      </w:pPr>
      <w:bookmarkStart w:name="C3_2" w:id="5047"/>
      <w:r>
        <w:t xml:space="preserve">3.2 Chargements étudiés</w:t>
      </w:r>
      <w:bookmarkEnd w:id="504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Définis les trois empreintes comparées à charge égale.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al., données Airbus.</w:t>
      </w:r>
    </w:p>
    <w:p>
      <w:pPr>
        <w:pStyle w:val="Heading3"/>
      </w:pPr>
      <w:bookmarkStart w:name="C3_2_1" w:id="5048"/>
      <w:r>
        <w:t xml:space="preserve">3.2.1 Empreintes uniformes de référence</w:t>
      </w:r>
      <w:bookmarkEnd w:id="504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les empreintes rectangulaire et circulaire uniformes et leur justification réglementaire.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STAC, documentation Alizé.</w:t>
      </w:r>
    </w:p>
    <w:p>
      <w:pPr>
        <w:pStyle w:val="Heading3"/>
      </w:pPr>
      <w:bookmarkStart w:name="C3_2_2" w:id="5049"/>
      <w:r>
        <w:t xml:space="preserve">3.2.2 Empreinte hétérogène de type M</w:t>
      </w:r>
      <w:bookmarkEnd w:id="504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Retrace la calibration (Tielking, puis données VRSPTA, puis modèle à 5 gaussiennes) et la normalisation à 370 kN par roue (k = 370/372,8).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De Beer et al. (VRSPTA), Tielking &amp; Roberts (1987).</w:t>
      </w:r>
    </w:p>
    <w:p>
      <w:pPr>
        <w:pStyle w:val="Heading3"/>
      </w:pPr>
      <w:bookmarkStart w:name="C3_2_3" w:id="5050"/>
      <w:r>
        <w:t xml:space="preserve">3.2.3 Configuration avion et conditions de calcul</w:t>
      </w:r>
      <w:bookmarkEnd w:id="505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Précise le bogie A340, la vitesse, la température et le pas de temps. Justifie ces choix au regard des données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caractéristiques avions Airbus, rapports STAC.</w:t>
      </w:r>
    </w:p>
    <w:p>
      <w:pPr>
        <w:pStyle w:val="Heading2"/>
      </w:pPr>
      <w:bookmarkStart w:name="C3_3" w:id="5051"/>
      <w:r>
        <w:t xml:space="preserve">3.3 Résultats</w:t>
      </w:r>
      <w:bookmarkEnd w:id="505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champs mécaniques en séparant zone superficielle et base de couche.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principalement tes résultats ; citer des références pour comparer les ordres de grandeur.</w:t>
      </w:r>
    </w:p>
    <w:p>
      <w:pPr>
        <w:pStyle w:val="Heading3"/>
      </w:pPr>
      <w:bookmarkStart w:name="C3_3_1" w:id="5052"/>
      <w:r>
        <w:t xml:space="preserve">3.3.1 Réponse près de la surface</w:t>
      </w:r>
      <w:bookmarkEnd w:id="505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Analyse la densité d'énergie de déformation, τxz, ε1 et les directions principales (matrices 2×3 de la soutenance). Argumente le lien avec le top-down cracking.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 top-down cracking et les critères en surface.</w:t>
      </w:r>
    </w:p>
    <w:p>
      <w:pPr>
        <w:pStyle w:val="Heading3"/>
      </w:pPr>
      <w:bookmarkStart w:name="C3_3_2" w:id="5053"/>
      <w:r>
        <w:t xml:space="preserve">3.3.2 Réponse en base de couche bitumineuse</w:t>
      </w:r>
      <w:bookmarkEnd w:id="505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Montre la quasi-insensibilité de ε_xx en base (≈ 2 %) à la forme de l'empreinte. Discute les implications pour les critères de dimensionnement actuels.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de dimensionnement (STAC, FAA).</w:t>
      </w:r>
    </w:p>
    <w:p>
      <w:pPr>
        <w:pStyle w:val="Heading3"/>
      </w:pPr>
      <w:bookmarkStart w:name="C3_3_3" w:id="5054"/>
      <w:r>
        <w:t xml:space="preserve">3.3.3 Comparaison élastique / viscoélastique</w:t>
      </w:r>
      <w:bookmarkEnd w:id="505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Quantifie l'apport du comportement viscoélastique et discute le module élastique équivalent (point à trancher : 11 670 ou 14 877 MPa).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comparant calculs élastiques et viscoélastiques.</w:t>
      </w:r>
    </w:p>
    <w:p>
      <w:pPr>
        <w:pStyle w:val="Heading2"/>
      </w:pPr>
      <w:bookmarkStart w:name="C3_4" w:id="5055"/>
      <w:r>
        <w:t xml:space="preserve">3.4 Conséquences sur la durée de vie</w:t>
      </w:r>
      <w:bookmarkEnd w:id="505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Traduis les écarts de sollicitation en écarts de durée de vie.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lois de fatigue STAC/LCPC, articles de fatigue.</w:t>
      </w:r>
    </w:p>
    <w:p>
      <w:pPr>
        <w:pStyle w:val="Heading3"/>
      </w:pPr>
      <w:bookmarkStart w:name="C3_4_1" w:id="5056"/>
      <w:r>
        <w:t xml:space="preserve">3.4.1 Lois d'endommagement utilisées</w:t>
      </w:r>
      <w:bookmarkEnd w:id="505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lois de fatigue et leurs hypothèses, en précisant leur domaine de validité.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STAC/LCPC, NF EN 12697-24.</w:t>
      </w:r>
    </w:p>
    <w:p>
      <w:pPr>
        <w:pStyle w:val="Heading3"/>
      </w:pPr>
      <w:bookmarkStart w:name="C3_4_2" w:id="5057"/>
      <w:r>
        <w:t xml:space="preserve">3.4.2 Sensibilité de la durée de vie au profil de pression</w:t>
      </w:r>
      <w:bookmarkEnd w:id="505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réduction de durée de vie (30 à 52 % pour le profil à pics d'épaulement) et sa sensibilité. Discute les limites (critère unique, matériau, surface lisse).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sensibilité en dimensionnement.</w:t>
      </w:r>
    </w:p>
    <w:p>
      <w:pPr>
        <w:pStyle w:val="Heading2"/>
      </w:pPr>
      <w:bookmarkStart w:name="C3_synth" w:id="5058"/>
      <w:r>
        <w:t xml:space="preserve">Synthèse du chapitre</w:t>
      </w:r>
      <w:bookmarkEnd w:id="505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Résume les résultats clés et leurs limites, qui motivent les chapitres 4 (coût de calcul, généralisation), 5 (texture) et 6 (validation expérimentale).</w:t>
      </w:r>
    </w:p>
    <w:p>
      <w:pPr>
        <w:pStyle w:val="TitreHorsTDM"/>
        <w:spacing w:before="480"/>
      </w:pPr>
      <w:bookmarkEnd w:id="5041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3 – Modélisation éléments finis » (avec son en-tête propre) et fait démarrer « Chapitre 4 – Code semi-analytique spectral : implémentation, validation et études paramétriques » (04_Chapitre4_Code_semi-analytique.docx)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3 – Modélisation éléments finis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03_Chapitre3_Modelisation_EF.docx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3 – Modélisation éléments finis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3 – Modélisation par éléments finis de l'effet des empreintes hétérogènes</dc:title>
  <dc:creator>Lucas DAVID</dc:creator>
  <cp:lastModifiedBy>Un-named</cp:lastModifiedBy>
  <cp:revision>1</cp:revision>
  <dcterms:created xsi:type="dcterms:W3CDTF">2026-10-05T08:09:58.673Z</dcterms:created>
  <dcterms:modified xsi:type="dcterms:W3CDTF">2026-10-05T08:09:58.673Z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