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5" w:id="5075"/>
      <w:r>
        <w:t xml:space="preserve">Chapitre 5 – Influence de la texture de surface sur la réponse mécanique proche de la surface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5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1">
        <w:r>
          <w:rPr>
            <w:b/>
            <w:bCs/>
            <w:color w:val="1F3864"/>
          </w:rPr>
          <w:t xml:space="preserve">5.1 Caractérisation de la texture des surfaces aéronautiques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1_1">
        <w:r>
          <w:rPr>
            <w:b w:val="false"/>
            <w:bCs w:val="false"/>
            <w:color w:val="262626"/>
          </w:rPr>
          <w:t xml:space="preserve">5.1.1 Grandeurs descriptives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1_2">
        <w:r>
          <w:rPr>
            <w:b w:val="false"/>
            <w:bCs w:val="false"/>
            <w:color w:val="262626"/>
          </w:rPr>
          <w:t xml:space="preserve">5.1.2 Rainurage des pistes et données disponibles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2">
        <w:r>
          <w:rPr>
            <w:b/>
            <w:bCs/>
            <w:color w:val="1F3864"/>
          </w:rPr>
          <w:t xml:space="preserve">5.2 Modélisation du contact pneumatique-texture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2_1">
        <w:r>
          <w:rPr>
            <w:b w:val="false"/>
            <w:bCs w:val="false"/>
            <w:color w:val="262626"/>
          </w:rPr>
          <w:t xml:space="preserve">5.2.1 Théories du contact rugueux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2_2">
        <w:r>
          <w:rPr>
            <w:b w:val="false"/>
            <w:bCs w:val="false"/>
            <w:color w:val="262626"/>
          </w:rPr>
          <w:t xml:space="preserve">5.2.2 Couplage empreinte globale / texture locale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3">
        <w:r>
          <w:rPr>
            <w:b/>
            <w:bCs/>
            <w:color w:val="1F3864"/>
          </w:rPr>
          <w:t xml:space="preserve">5.3 Réponse mécanique près de la surface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3_1">
        <w:r>
          <w:rPr>
            <w:b w:val="false"/>
            <w:bCs w:val="false"/>
            <w:color w:val="262626"/>
          </w:rPr>
          <w:t xml:space="preserve">5.3.1 Comparaison surface lisse / surface texturée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5_3_2">
        <w:r>
          <w:rPr>
            <w:b w:val="false"/>
            <w:bCs w:val="false"/>
            <w:color w:val="262626"/>
          </w:rPr>
          <w:t xml:space="preserve">5.3.2 Conséquences pour la fissuration en surface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5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CHAP_5 \o "2-3" \h \z } (le signet CHAP_5 couvre déjà tout le chapitre).</w:t>
      </w:r>
    </w:p>
    <w:p>
      <w:pPr>
        <w:pStyle w:val="Heading2"/>
      </w:pPr>
      <w:bookmarkStart w:name="C5_intro" w:id="5076"/>
      <w:r>
        <w:t xml:space="preserve">Introduction du chapitre</w:t>
      </w:r>
      <w:bookmarkEnd w:id="507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Pose l'hypothèse de travail : une surface texturée est plus défavorable, près de la surface, que la surface lisse supposée au TFE.</w:t>
      </w:r>
    </w:p>
    <w:p>
      <w:pPr>
        <w:pStyle w:val="Heading2"/>
      </w:pPr>
      <w:bookmarkStart w:name="C5_1" w:id="5077"/>
      <w:r>
        <w:t xml:space="preserve">5.1 Caractérisation de la texture des surfaces aéronautiques</w:t>
      </w:r>
      <w:bookmarkEnd w:id="507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texture comme une donnée d'entrée mécanique.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normes, rapports STAC, articles de métrologie de surface.</w:t>
      </w:r>
    </w:p>
    <w:p>
      <w:pPr>
        <w:pStyle w:val="Heading3"/>
      </w:pPr>
      <w:bookmarkStart w:name="C5_1_1" w:id="5078"/>
      <w:r>
        <w:t xml:space="preserve">5.1.1 Grandeurs descriptives</w:t>
      </w:r>
      <w:bookmarkEnd w:id="507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Définis la MPD, la profondeur moyenne de texture et les spectres de rugosité (densité spectrale de puissance), ainsi que leur mesure par profilométrie laser.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ISO 13473-1 et -2, articles de caractérisation de texture.</w:t>
      </w:r>
    </w:p>
    <w:p>
      <w:pPr>
        <w:pStyle w:val="Heading3"/>
      </w:pPr>
      <w:bookmarkStart w:name="C5_1_2" w:id="5079"/>
      <w:r>
        <w:t xml:space="preserve">5.1.2 Rainurage des pistes et données disponibles</w:t>
      </w:r>
      <w:bookmarkEnd w:id="507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 rainurage (géométrie, objectifs d'adhérence) et les données de texture accessibles via le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circulaires FAA sur le rainurage, documents STAC sur l'adhérence.</w:t>
      </w:r>
    </w:p>
    <w:p>
      <w:pPr>
        <w:pStyle w:val="Heading2"/>
      </w:pPr>
      <w:bookmarkStart w:name="C5_2" w:id="5080"/>
      <w:r>
        <w:t xml:space="preserve">5.2 Modélisation du contact pneumatique-texture</w:t>
      </w:r>
      <w:bookmarkEnd w:id="508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Construis la modélisation à deux échelles.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littérature sur le contact rugueux et la tribologie.</w:t>
      </w:r>
    </w:p>
    <w:p>
      <w:pPr>
        <w:pStyle w:val="Heading3"/>
      </w:pPr>
      <w:bookmarkStart w:name="C5_2_1" w:id="5081"/>
      <w:r>
        <w:t xml:space="preserve">5.2.1 Théories du contact rugueux</w:t>
      </w:r>
      <w:bookmarkEnd w:id="508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Greenwood-Williamson, Persson et les approches numériques (éléments de frontière). Choisis la plus adaptée aux échelles en jeu.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Greenwood &amp; Williamson (1966), Persson (2001), Johnson (1985).</w:t>
      </w:r>
    </w:p>
    <w:p>
      <w:pPr>
        <w:pStyle w:val="Heading3"/>
      </w:pPr>
      <w:bookmarkStart w:name="C5_2_2" w:id="5082"/>
      <w:r>
        <w:t xml:space="preserve">5.2.2 Couplage empreinte globale / texture locale</w:t>
      </w:r>
      <w:bookmarkEnd w:id="508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Formule le couplage entre l'empreinte globale (profil M) et la redistribution locale des pressions par la texture (étude « niveau 1 »).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multi-échelles sur le contact pneu-chaussée (bruit, adhérence).</w:t>
      </w:r>
    </w:p>
    <w:p>
      <w:pPr>
        <w:pStyle w:val="Heading2"/>
      </w:pPr>
      <w:bookmarkStart w:name="C5_3" w:id="5083"/>
      <w:r>
        <w:t xml:space="preserve">5.3 Réponse mécanique près de la surface</w:t>
      </w:r>
      <w:bookmarkEnd w:id="508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Évalue l'effet de la texture sur les champs mécaniques avec le code semi-analytique.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résultats ; articles sur les contraintes en surface.</w:t>
      </w:r>
    </w:p>
    <w:p>
      <w:pPr>
        <w:pStyle w:val="Heading3"/>
      </w:pPr>
      <w:bookmarkStart w:name="C5_3_1" w:id="5084"/>
      <w:r>
        <w:t xml:space="preserve">5.3.1 Comparaison surface lisse / surface texturée</w:t>
      </w:r>
      <w:bookmarkEnd w:id="508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aux résultats du TFE et du chapitre 3 à charge égale, et quantifie les concentrations locales.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résultats des chapitres 3 et 4.</w:t>
      </w:r>
    </w:p>
    <w:p>
      <w:pPr>
        <w:pStyle w:val="Heading3"/>
      </w:pPr>
      <w:bookmarkStart w:name="C5_3_2" w:id="5085"/>
      <w:r>
        <w:t xml:space="preserve">5.3.2 Conséquences pour la fissuration en surface</w:t>
      </w:r>
      <w:bookmarkEnd w:id="508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Discute les implications pour le top-down cracking et l'arrachement, ainsi que la profondeur d'influence de la texture.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la fissuration de surface et le désenrobage.</w:t>
      </w:r>
    </w:p>
    <w:p>
      <w:pPr>
        <w:pStyle w:val="Heading2"/>
      </w:pPr>
      <w:bookmarkStart w:name="C5_synth" w:id="5086"/>
      <w:r>
        <w:t xml:space="preserve">Synthèse du chapitre</w:t>
      </w:r>
      <w:bookmarkEnd w:id="508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Conclus sur la nécessité de prendre en compte la texture et sur la profondeur au-delà de laquelle son effet devient négligeable.</w:t>
      </w:r>
    </w:p>
    <w:p>
      <w:pPr>
        <w:pStyle w:val="TitreHorsTDM"/>
        <w:spacing w:before="480"/>
      </w:pPr>
      <w:bookmarkEnd w:id="5075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Chapitre 5 – Texture de surface » (avec son en-tête propre) et fait démarrer « Chapitre 6 – Campagne expérimentale de fatigue sous chemins de chargement représentatifs (banc 2T3C) » (06_Chapitre6_Campagne_2T3C.docx)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Chapitre 5 – Texture de surface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05_Chapitre5_Texture_de_surface.docx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5 – Texture de surface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5 – Influence de la texture de surface sur la réponse mécanique proche de la surface</dc:title>
  <dc:creator>Lucas DAVID</dc:creator>
  <cp:lastModifiedBy>Un-named</cp:lastModifiedBy>
  <cp:revision>1</cp:revision>
  <dcterms:created xsi:type="dcterms:W3CDTF">2026-10-05T08:09:58.704Z</dcterms:created>
  <dcterms:modified xsi:type="dcterms:W3CDTF">2026-10-05T08:09:58.704Z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