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6" w:id="5087"/>
      <w:r>
        <w:t xml:space="preserve">Chapitre 6 – Campagne expérimentale de fatigue sous chemins de chargement représentatifs (banc 2T3C)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6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1">
        <w:r>
          <w:rPr>
            <w:b/>
            <w:bCs/>
            <w:color w:val="1F3864"/>
          </w:rPr>
          <w:t xml:space="preserve">6.1 Des modèles à l'essai : définition des chemins de chargement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1_1">
        <w:r>
          <w:rPr>
            <w:b w:val="false"/>
            <w:bCs w:val="false"/>
            <w:color w:val="262626"/>
          </w:rPr>
          <w:t xml:space="preserve">6.1.1 Extraction des chemins de chargement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1_2">
        <w:r>
          <w:rPr>
            <w:b w:val="false"/>
            <w:bCs w:val="false"/>
            <w:color w:val="262626"/>
          </w:rPr>
          <w:t xml:space="preserve">6.1.2 Apport des mesures in situ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1_3">
        <w:r>
          <w:rPr>
            <w:b w:val="false"/>
            <w:bCs w:val="false"/>
            <w:color w:val="262626"/>
          </w:rPr>
          <w:t xml:space="preserve">6.1.3 Traduction en consignes d'essai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2">
        <w:r>
          <w:rPr>
            <w:b/>
            <w:bCs/>
            <w:color w:val="1F3864"/>
          </w:rPr>
          <w:t xml:space="preserve">6.2 Dispositif expérimental et matériaux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2_1">
        <w:r>
          <w:rPr>
            <w:b w:val="false"/>
            <w:bCs w:val="false"/>
            <w:color w:val="262626"/>
          </w:rPr>
          <w:t xml:space="preserve">6.2.1 Le banc 2T3C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2_2">
        <w:r>
          <w:rPr>
            <w:b w:val="false"/>
            <w:bCs w:val="false"/>
            <w:color w:val="262626"/>
          </w:rPr>
          <w:t xml:space="preserve">6.2.2 Matériau et éprouvettes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3">
        <w:r>
          <w:rPr>
            <w:b/>
            <w:bCs/>
            <w:color w:val="1F3864"/>
          </w:rPr>
          <w:t xml:space="preserve">6.3 Programme expérimental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4">
        <w:r>
          <w:rPr>
            <w:b/>
            <w:bCs/>
            <w:color w:val="1F3864"/>
          </w:rPr>
          <w:t xml:space="preserve">6.4 Résultats et analyse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4_1">
        <w:r>
          <w:rPr>
            <w:b w:val="false"/>
            <w:bCs w:val="false"/>
            <w:color w:val="262626"/>
          </w:rPr>
          <w:t xml:space="preserve">6.4.1 Linéarité et évolution du module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4_2">
        <w:r>
          <w:rPr>
            <w:b w:val="false"/>
            <w:bCs w:val="false"/>
            <w:color w:val="262626"/>
          </w:rPr>
          <w:t xml:space="preserve">6.4.2 Durées de vie et critères de rupture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6_4_3">
        <w:r>
          <w:rPr>
            <w:b w:val="false"/>
            <w:bCs w:val="false"/>
            <w:color w:val="262626"/>
          </w:rPr>
          <w:t xml:space="preserve">6.4.3 Effet du chemin de chargement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6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CHAP_6 \o "2-3" \h \z } (le signet CHAP_6 couvre déjà tout le chapitre).</w:t>
      </w:r>
    </w:p>
    <w:p>
      <w:pPr>
        <w:pStyle w:val="Heading2"/>
      </w:pPr>
      <w:bookmarkStart w:name="C6_intro" w:id="5088"/>
      <w:r>
        <w:t xml:space="preserve">Introduction du chapitre</w:t>
      </w:r>
      <w:bookmarkEnd w:id="508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la logique : confronter à l'expérience les chemins de chargement issus des modèles, en fatigue multiaxiale.</w:t>
      </w:r>
    </w:p>
    <w:p>
      <w:pPr>
        <w:pStyle w:val="Heading2"/>
      </w:pPr>
      <w:bookmarkStart w:name="C6_1" w:id="5089"/>
      <w:r>
        <w:t xml:space="preserve">6.1 Des modèles à l'essai : définition des chemins de chargement</w:t>
      </w:r>
      <w:bookmarkEnd w:id="508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Établis comment les sollicitations calculées deviennent des consignes d'essai.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la fatigue multiaxiale et les chemins de chargement.</w:t>
      </w:r>
    </w:p>
    <w:p>
      <w:pPr>
        <w:pStyle w:val="Heading3"/>
      </w:pPr>
      <w:bookmarkStart w:name="C6_1_1" w:id="5090"/>
      <w:r>
        <w:t xml:space="preserve">6.1.1 Extraction des chemins de chargement</w:t>
      </w:r>
      <w:bookmarkEnd w:id="509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Extrais des modèles (COMSOL, semi-analytique) l'évolution des tenseurs et des cercles de Mohr au passage d'un bogie.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résultats des chapitres 3 à 5.</w:t>
      </w:r>
    </w:p>
    <w:p>
      <w:pPr>
        <w:pStyle w:val="Heading3"/>
      </w:pPr>
      <w:bookmarkStart w:name="C6_1_2" w:id="5091"/>
      <w:r>
        <w:t xml:space="preserve">6.1.2 Apport des mesures in situ</w:t>
      </w:r>
      <w:bookmarkEnd w:id="509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Intègre, si elles sont disponibles, les données de planches instrumentées du STAC pour valider les chemins calculés.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rapports d'instrumentation STAC (diffusion à vérifier), articles sur les pistes instrumentées.</w:t>
      </w:r>
    </w:p>
    <w:p>
      <w:pPr>
        <w:pStyle w:val="Heading3"/>
      </w:pPr>
      <w:bookmarkStart w:name="C6_1_3" w:id="5092"/>
      <w:r>
        <w:t xml:space="preserve">6.1.3 Traduction en consignes d'essai</w:t>
      </w:r>
      <w:bookmarkEnd w:id="5092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Convertis les chemins en consignes couplées torsion / traction-compression sur cylindre creux, dans les limites du banc.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thèses et articles sur le banc 2T3C (ENTPE).</w:t>
      </w:r>
    </w:p>
    <w:p>
      <w:pPr>
        <w:pStyle w:val="Heading2"/>
      </w:pPr>
      <w:bookmarkStart w:name="C6_2" w:id="5093"/>
      <w:r>
        <w:t xml:space="preserve">6.2 Dispositif expérimental et matériaux</w:t>
      </w:r>
      <w:bookmarkEnd w:id="509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le banc, le matériau et la préparation des éprouvettes.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normes NF EN 12697, thèses LTDS.</w:t>
      </w:r>
    </w:p>
    <w:p>
      <w:pPr>
        <w:pStyle w:val="Heading3"/>
      </w:pPr>
      <w:bookmarkStart w:name="C6_2_1" w:id="5094"/>
      <w:r>
        <w:t xml:space="preserve">6.2.1 Le banc 2T3C</w:t>
      </w:r>
      <w:bookmarkEnd w:id="509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 principe (torsion et traction-compression sur cylindre creux), la métrologie et le pilotage.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thèses et articles ENTPE/LTDS sur le 2T3C.</w:t>
      </w:r>
    </w:p>
    <w:p>
      <w:pPr>
        <w:pStyle w:val="Heading3"/>
      </w:pPr>
      <w:bookmarkStart w:name="C6_2_2" w:id="5095"/>
      <w:r>
        <w:t xml:space="preserve">6.2.2 Matériau et éprouvettes</w:t>
      </w:r>
      <w:bookmarkEnd w:id="509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formulation, la fabrication des éprouvettes monocouches et la caractérisation préalable du module complexe (calage 2S2P1D).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NF EN 12697-26 et -33, Olard &amp; Di Benedetto (2003).</w:t>
      </w:r>
    </w:p>
    <w:p>
      <w:pPr>
        <w:pStyle w:val="Heading2"/>
      </w:pPr>
      <w:bookmarkStart w:name="C6_3" w:id="5096"/>
      <w:r>
        <w:t xml:space="preserve">6.3 Programme expérimental</w:t>
      </w:r>
      <w:bookmarkEnd w:id="509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 plan d'essais (chemins, niveaux, températures, fréquences, répétitions) et sa justification statistique.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sur les plans d'expérience en fatigue des enrobés.</w:t>
      </w:r>
    </w:p>
    <w:p>
      <w:pPr>
        <w:pStyle w:val="Heading2"/>
      </w:pPr>
      <w:bookmarkStart w:name="C6_4" w:id="5097"/>
      <w:r>
        <w:t xml:space="preserve">6.4 Résultats et analyse</w:t>
      </w:r>
      <w:bookmarkEnd w:id="509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Analyse les essais en lien avec les prédictions numériques.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fatigue LTDS, articles de fatigue multiaxiale.</w:t>
      </w:r>
    </w:p>
    <w:p>
      <w:pPr>
        <w:pStyle w:val="Heading3"/>
      </w:pPr>
      <w:bookmarkStart w:name="C6_4_1" w:id="5098"/>
      <w:r>
        <w:t xml:space="preserve">6.4.1 Linéarité et évolution du module</w:t>
      </w:r>
      <w:bookmarkEnd w:id="509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Analyse l'évolution du module complexe au cours des essais, en distinguant la fatigue des effets biaisants (échauffement, thixotropie).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travaux du groupe Di Benedetto sur les effets biaisants.</w:t>
      </w:r>
    </w:p>
    <w:p>
      <w:pPr>
        <w:pStyle w:val="Heading3"/>
      </w:pPr>
      <w:bookmarkStart w:name="C6_4_2" w:id="5099"/>
      <w:r>
        <w:t xml:space="preserve">6.4.2 Durées de vie et critères de rupture</w:t>
      </w:r>
      <w:bookmarkEnd w:id="509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les durées de vie selon les critères retenus et leur dispersion.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NF EN 12697-24, articles sur les critères de rupture.</w:t>
      </w:r>
    </w:p>
    <w:p>
      <w:pPr>
        <w:pStyle w:val="Heading3"/>
      </w:pPr>
      <w:bookmarkStart w:name="C6_4_3" w:id="5100"/>
      <w:r>
        <w:t xml:space="preserve">6.4.3 Effet du chemin de chargement</w:t>
      </w:r>
      <w:bookmarkEnd w:id="510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chemins uniaxiaux et multiaxiaux, et confronte aux prédictions des chapitres 3 et 4.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articles de fatigue multiaxiale (enrobés, et métaux pour les critères).</w:t>
      </w:r>
    </w:p>
    <w:p>
      <w:pPr>
        <w:pStyle w:val="Heading2"/>
      </w:pPr>
      <w:bookmarkStart w:name="C6_synth" w:id="5101"/>
      <w:r>
        <w:t xml:space="preserve">Synthèse du chapitre</w:t>
      </w:r>
      <w:bookmarkEnd w:id="510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Conclus sur la validation expérimentale et sur la pertinence des critères de dimensionnement actuels face aux chemins de chargement réels.</w:t>
      </w:r>
    </w:p>
    <w:p>
      <w:pPr>
        <w:pStyle w:val="TitreHorsTDM"/>
        <w:spacing w:before="480"/>
      </w:pPr>
      <w:bookmarkEnd w:id="5087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Chapitre 6 – Campagne expérimentale 2T3C » (avec son en-tête propre) et fait démarrer « Chapitre 7 – Implications pour le dimensionnement des chaussées aéronautiques » (07_Chapitre7_Implications_dimensionnement.docx)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Chapitre 6 – Campagne expérimentale 2T3C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06_Chapitre6_Campagne_2T3C.docx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6 – Campagne expérimentale 2T3C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6 – Campagne expérimentale de fatigue sous chemins de chargement représentatifs (banc 2T3C)</dc:title>
  <dc:creator>Lucas DAVID</dc:creator>
  <cp:lastModifiedBy>Un-named</cp:lastModifiedBy>
  <cp:revision>1</cp:revision>
  <dcterms:created xsi:type="dcterms:W3CDTF">2026-10-05T08:09:58.720Z</dcterms:created>
  <dcterms:modified xsi:type="dcterms:W3CDTF">2026-10-05T08:09:58.720Z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