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header+xml" PartName="/word/header15.xml"/>
  <Override ContentType="application/vnd.openxmlformats-officedocument.wordprocessingml.header+xml" PartName="/word/header16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header+xml" PartName="/word/header17.xml"/>
  <Override ContentType="application/vnd.openxmlformats-officedocument.wordprocessingml.header+xml" PartName="/word/header18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header+xml" PartName="/word/header19.xml"/>
  <Override ContentType="application/vnd.openxmlformats-officedocument.wordprocessingml.header+xml" PartName="/word/header20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header+xml" PartName="/word/header21.xml"/>
  <Override ContentType="application/vnd.openxmlformats-officedocument.wordprocessingml.header+xml" PartName="/word/header22.xml"/>
  <Override ContentType="application/vnd.openxmlformats-officedocument.wordprocessingml.footer+xml" PartName="/word/footer21.xml"/>
  <Override ContentType="application/vnd.openxmlformats-officedocument.wordprocessingml.footer+xml" PartName="/word/footer22.xml"/>
  <Override ContentType="application/vnd.openxmlformats-officedocument.wordprocessingml.header+xml" PartName="/word/header23.xml"/>
  <Override ContentType="application/vnd.openxmlformats-officedocument.wordprocessingml.header+xml" PartName="/word/header24.xml"/>
  <Override ContentType="application/vnd.openxmlformats-officedocument.wordprocessingml.footer+xml" PartName="/word/footer23.xml"/>
  <Override ContentType="application/vnd.openxmlformats-officedocument.wordprocessingml.footer+xml" PartName="/word/footer2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PageTitre"/>
      </w:pPr>
      <w:r>
        <w:t xml:space="preserve">Thèse de doctorat</w:t>
      </w:r>
    </w:p>
    <w:p>
      <w:pPr>
        <w:pStyle w:val="PageTitre"/>
      </w:pPr>
      <w:r>
        <w:t xml:space="preserve">[Université / établissement délivrant le diplôme — à compléter]</w:t>
      </w:r>
    </w:p>
    <w:p>
      <w:pPr>
        <w:pStyle w:val="PageTitre"/>
      </w:pPr>
      <w:r>
        <w:t xml:space="preserve">[École doctorale — à compléter]</w:t>
      </w:r>
    </w:p>
    <w:p>
      <w:pPr>
        <w:pStyle w:val="PageTitre"/>
      </w:pPr>
      <w:r>
        <w:t xml:space="preserve">Spécialité : [à compléter]</w:t>
      </w:r>
    </w:p>
    <w:p>
      <w:pPr>
        <w:pStyle w:val="PageTitre"/>
      </w:pPr>
    </w:p>
    <w:p>
      <w:pPr>
        <w:pStyle w:val="PageTitre"/>
      </w:pPr>
    </w:p>
    <w:p>
      <w:pPr>
        <w:pStyle w:val="PageTitre"/>
      </w:pPr>
      <w:r>
        <w:rPr>
          <w:b/>
          <w:bCs/>
          <w:color w:val="1F3864"/>
          <w:sz w:val="36"/>
          <w:szCs w:val="36"/>
        </w:rPr>
        <w:t xml:space="preserve">Prise en compte des hétérogénéités de pression sous roue pour mieux appréhender les chaussées aéronautiques et routières</w:t>
      </w:r>
    </w:p>
    <w:p>
      <w:pPr>
        <w:pStyle w:val="PageTitre"/>
      </w:pPr>
    </w:p>
    <w:p>
      <w:pPr>
        <w:pStyle w:val="PageTitre"/>
      </w:pPr>
      <w:r>
        <w:t xml:space="preserve">Présentée par Lucas DAVID</w:t>
      </w:r>
    </w:p>
    <w:p>
      <w:pPr>
        <w:pStyle w:val="PageTitre"/>
      </w:pPr>
      <w:r>
        <w:t xml:space="preserve">Laboratoire de Tribologie et Dynamique des Systèmes (LTDS) – ENTPE</w:t>
      </w:r>
    </w:p>
    <w:p>
      <w:pPr>
        <w:pStyle w:val="PageTitre"/>
      </w:pPr>
      <w:r>
        <w:t xml:space="preserve">En partenariat avec le Service technique de l'aviation civile (STAC)</w:t>
      </w:r>
    </w:p>
    <w:p>
      <w:pPr>
        <w:pStyle w:val="PageTitre"/>
      </w:pPr>
    </w:p>
    <w:p>
      <w:pPr>
        <w:pStyle w:val="PageTitre"/>
      </w:pPr>
      <w:r>
        <w:t xml:space="preserve">Soutenue le [date] devant le jury composé de : [à compléter]</w:t>
      </w:r>
    </w:p>
    <w:p>
      <w:pPr>
        <w:pStyle w:val="Consigne"/>
      </w:pPr>
      <w:r>
        <w:rPr>
          <w:b/>
          <w:bCs/>
        </w:rPr>
        <w:t xml:space="preserve">Titre : </w:t>
      </w:r>
      <w:r>
        <w:t xml:space="preserve">titre de travail repris du TFE (thèse en continuité directe). Remplace-le par l'intitulé officiel déposé à l'école doctorale.</w:t>
      </w:r>
    </w:p>
    <w:p>
      <w:r>
        <w:br w:type="page"/>
      </w:r>
    </w:p>
    <w:p>
      <w:pPr>
        <w:pStyle w:val="TitreHorsTDM"/>
      </w:pPr>
      <w:r>
        <w:t xml:space="preserve">Remerciements</w:t>
      </w:r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à rédiger en fin de thèse.</w:t>
      </w:r>
    </w:p>
    <w:p>
      <w:r>
        <w:br w:type="page"/>
      </w:r>
    </w:p>
    <w:p>
      <w:pPr>
        <w:pStyle w:val="TitreHorsTDM"/>
      </w:pPr>
      <w:r>
        <w:t xml:space="preserve">Résumé</w:t>
      </w:r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une page maximum, en français, avec 5 à 6 mots-clés.</w:t>
      </w:r>
    </w:p>
    <w:p>
      <w:r>
        <w:br w:type="page"/>
      </w:r>
    </w:p>
    <w:p>
      <w:pPr>
        <w:pStyle w:val="TitreHorsTDM"/>
      </w:pPr>
      <w:r>
        <w:t xml:space="preserve">Abstract</w:t>
      </w:r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traduction anglaise du résumé, avec keywords.</w:t>
      </w:r>
    </w:p>
    <w:p>
      <w:r>
        <w:br w:type="page"/>
      </w:r>
    </w:p>
    <w:p>
      <w:pPr>
        <w:pStyle w:val="TitreHorsTDM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TitreHorsTDM"/>
      </w:pPr>
      <w:r>
        <w:t xml:space="preserve">Liste des figures</w:t>
      </w:r>
    </w:p>
    <w:sdt>
      <w:sdtPr>
        <w:alias w:val="Liste des figures"/>
      </w:sdtPr>
      <w:sdtContent>
        <w:p>
          <w:r>
            <w:fldChar w:fldCharType="begin" w:dirty="true"/>
            <w:instrText xml:space="preserve">TOC \c "Figure" \h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TitreHorsTDM"/>
      </w:pPr>
      <w:r>
        <w:t xml:space="preserve">Liste des tableaux</w:t>
      </w:r>
    </w:p>
    <w:sdt>
      <w:sdtPr>
        <w:alias w:val="Liste des tableaux"/>
      </w:sdtPr>
      <w:sdtContent>
        <w:p>
          <w:r>
            <w:fldChar w:fldCharType="begin" w:dirty="true"/>
            <w:instrText xml:space="preserve">TOC \c "Tableau" \h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TitreHorsTDM"/>
      </w:pPr>
      <w:r>
        <w:t xml:space="preserve">Nomenclature</w:t>
      </w:r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symboles (E*, ω, τ, ε, σ…), indices et abréviations (2S2P1D, KVG, MPD, SED, STAC…).</w:t>
      </w:r>
    </w:p>
    <w:p>
      <w:pPr>
        <w:pStyle w:val="Consigne"/>
      </w:pPr>
      <w:r>
        <w:rPr>
          <w:b/>
          <w:bCs/>
        </w:rPr>
        <w:t xml:space="preserve">Mise à jour : </w:t>
      </w:r>
      <w:r>
        <w:t xml:space="preserve">à l'ouverture, Word propose de mettre à jour les champs : réponds Oui. Sinon, clic droit dans la table &gt; Mettre à jour les champs &gt; Mettre à jour toute la table.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type w:val="nextPage"/>
          <w:pgSz w:w="11906" w:h="16838" w:orient="portrait"/>
          <w:pgMar w:top="1418" w:right="1418" w:bottom="1418" w:left="1418" w:header="708" w:footer="708" w:gutter="0"/>
          <w:pgNumType w:start="1" w:fmt="lowerRoman"/>
          <w:titlePg/>
          <w:docGrid w:linePitch="360"/>
        </w:sectPr>
      </w:pPr>
    </w:p>
    <w:p>
      <w:pPr>
        <w:pStyle w:val="Consigne"/>
      </w:pPr>
      <w:r>
        <w:rPr>
          <w:b/>
          <w:bCs/>
        </w:rPr>
        <w:t xml:space="preserve">Aperçu : </w:t>
      </w:r>
      <w:r>
        <w:t xml:space="preserve">document généré pour lire la trame complète et contrôler la table des matières générale. Ne rédige pas dedans : rédige dans les fichiers du dossier Chapitres, puis fusionne via 00_Document_maitre.docx.</w:t>
      </w:r>
    </w:p>
    <w:p>
      <w:pPr>
        <w:pStyle w:val="Heading1"/>
      </w:pPr>
      <w:bookmarkStart w:name="CHAP_INTRO" w:id="5120"/>
      <w:r>
        <w:t xml:space="preserve">Introduction générale</w:t>
      </w:r>
    </w:p>
    <w:p>
      <w:pPr>
        <w:pStyle w:val="TitreHorsTDM"/>
      </w:pPr>
      <w:r>
        <w:t xml:space="preserve">Sommaire du chapitre</w:t>
      </w:r>
    </w:p>
    <w:p>
      <w:pPr>
        <w:pStyle w:val="SommaireChapitre"/>
        <w:numPr>
          <w:ilvl w:val="0"/>
          <w:numId w:val="2"/>
        </w:numPr>
      </w:pPr>
      <w:hyperlink w:history="1" w:anchor="CINTRO_1">
        <w:r>
          <w:rPr>
            <w:b/>
            <w:bCs/>
            <w:color w:val="1F3864"/>
          </w:rPr>
          <w:t xml:space="preserve">Contexte industriel et scientifique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INTRO_2">
        <w:r>
          <w:rPr>
            <w:b/>
            <w:bCs/>
            <w:color w:val="1F3864"/>
          </w:rPr>
          <w:t xml:space="preserve">Problématique et questions de recherche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INTRO_3">
        <w:r>
          <w:rPr>
            <w:b/>
            <w:bCs/>
            <w:color w:val="1F3864"/>
          </w:rPr>
          <w:t xml:space="preserve">Objectifs et démarche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INTRO_4">
        <w:r>
          <w:rPr>
            <w:b/>
            <w:bCs/>
            <w:color w:val="1F3864"/>
          </w:rPr>
          <w:t xml:space="preserve">Organisation du manuscrit</w:t>
        </w:r>
      </w:hyperlink>
    </w:p>
    <w:p>
      <w:pPr>
        <w:pStyle w:val="Consigne"/>
      </w:pPr>
      <w:r>
        <w:rPr>
          <w:b/>
          <w:bCs/>
        </w:rPr>
        <w:t xml:space="preserve">Mini-sommaire cliquable (Ctrl+clic). </w:t>
      </w:r>
      <w:r>
        <w:t xml:space="preserve">À mettre à jour à la main si tu renommes un titre — ou à remplacer par un sommaire automatique : Insertion &gt; QuickPart &gt; Champ… &gt; TOC, code de champ { TOC \b CHAP_INTRO \o "2-3" \h \z } (le signet CHAP_INTRO couvre déjà tout le chapitre).</w:t>
      </w:r>
    </w:p>
    <w:p>
      <w:pPr>
        <w:pStyle w:val="Heading2"/>
      </w:pPr>
      <w:bookmarkStart w:name="CINTRO_1" w:id="5121"/>
      <w:r>
        <w:t xml:space="preserve">Contexte industriel et scientifique</w:t>
      </w:r>
      <w:bookmarkEnd w:id="5121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l'évolution du trafic aéronautique (charges par roue croissantes, pressions de gonflage élevées, trains multi-essieux) et le rôle du STAC dans la doctrine française de dimensionnement. Termine par les enjeux économiques et de sécurité liés à la durabilité des chaussées aéronautiques souples.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guides et rapports techniques du STAC, documents OACI et FAA (circulaires AC 150/5320), données constructeurs (Airbus), articles de synthèse sur les chaussées aéroportuaires.</w:t>
      </w:r>
    </w:p>
    <w:p>
      <w:pPr>
        <w:pStyle w:val="Heading2"/>
      </w:pPr>
      <w:bookmarkStart w:name="CINTRO_2" w:id="5122"/>
      <w:r>
        <w:t xml:space="preserve">Problématique et questions de recherche</w:t>
      </w:r>
      <w:bookmarkEnd w:id="5122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Formule la question centrale : comment la distribution réelle, hétérogène (profil en M), de la pression de contact modifie-t-elle la réponse mécanique et la durée de vie des chaussées aéronautiques par rapport à l'hypothèse classique de charge uniforme ? Décline-la en questions de recherche numérotées (domaine fréquentiel, solution semi-analytique, texture, validation expérimentale).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mesures de contact (De Beer, Stress-In-Motion), rapport HTPT Airbus, ton TFE et ton article MAIREINFRA 2027 (types « Thèse/Rapport » et « Article de conférence »).</w:t>
      </w:r>
    </w:p>
    <w:p>
      <w:pPr>
        <w:pStyle w:val="Heading2"/>
      </w:pPr>
      <w:bookmarkStart w:name="CINTRO_3" w:id="5123"/>
      <w:r>
        <w:t xml:space="preserve">Objectifs et démarche</w:t>
      </w:r>
      <w:bookmarkEnd w:id="5123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Liste les objectifs (cadre théorique spectral, référence éléments finis, code semi-analytique, texture, validation expérimentale sur le banc 2T3C) et montre comment ils s'enchaînent. Un schéma de démarche en figure est recommandé ici.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peu de citations : renvoie aux références structurantes de chaque chapitre.</w:t>
      </w:r>
    </w:p>
    <w:p>
      <w:pPr>
        <w:pStyle w:val="Heading2"/>
      </w:pPr>
      <w:bookmarkStart w:name="CINTRO_4" w:id="5124"/>
      <w:r>
        <w:t xml:space="preserve">Organisation du manuscrit</w:t>
      </w:r>
      <w:bookmarkEnd w:id="5124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Résume chaque chapitre en un court paragraphe. À rédiger en dernier, une fois les chapitres stabilisés.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aucune source nouvelle.</w:t>
      </w:r>
    </w:p>
    <w:p>
      <w:bookmarkEnd w:id="5120"/>
    </w:p>
    <w:p>
      <w:pPr>
        <w:sectPr>
          <w:headerReference w:type="default" r:id="rId11"/>
          <w:headerReference w:type="first" r:id="rId12"/>
          <w:footerReference w:type="default" r:id="rId13"/>
          <w:footerReference w:type="first" r:id="rId14"/>
          <w:type w:val="nextPage"/>
          <w:pgSz w:w="11906" w:h="16838" w:orient="portrait"/>
          <w:pgMar w:top="1418" w:right="1418" w:bottom="1418" w:left="1418" w:header="708" w:footer="708" w:gutter="0"/>
          <w:pgNumType w:start="1" w:fmt="decimal"/>
          <w:titlePg/>
          <w:docGrid w:linePitch="360"/>
        </w:sectPr>
      </w:pPr>
    </w:p>
    <w:p>
      <w:pPr>
        <w:pStyle w:val="Heading1"/>
      </w:pPr>
      <w:bookmarkStart w:name="CHAP_1" w:id="5125"/>
      <w:r>
        <w:t xml:space="preserve">Chapitre 1 – État de l'art : chaussées aéronautiques, matériaux bitumineux et contact pneumatique-chaussée</w:t>
      </w:r>
    </w:p>
    <w:p>
      <w:pPr>
        <w:pStyle w:val="TitreHorsTDM"/>
      </w:pPr>
      <w:r>
        <w:t xml:space="preserve">Sommaire du chapitre</w:t>
      </w:r>
    </w:p>
    <w:p>
      <w:pPr>
        <w:pStyle w:val="SommaireChapitre"/>
        <w:numPr>
          <w:ilvl w:val="0"/>
          <w:numId w:val="2"/>
        </w:numPr>
      </w:pPr>
      <w:hyperlink w:history="1" w:anchor="C1_intro">
        <w:r>
          <w:rPr>
            <w:b/>
            <w:bCs/>
            <w:color w:val="1F3864"/>
          </w:rPr>
          <w:t xml:space="preserve">Introduction du chapitre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1_1">
        <w:r>
          <w:rPr>
            <w:b/>
            <w:bCs/>
            <w:color w:val="1F3864"/>
          </w:rPr>
          <w:t xml:space="preserve">1.1 Les chaussées aéronautiques souples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1_1_1">
        <w:r>
          <w:rPr>
            <w:b w:val="false"/>
            <w:bCs w:val="false"/>
            <w:color w:val="262626"/>
          </w:rPr>
          <w:t xml:space="preserve">1.1.1 Structures, sollicitations et trafic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1_1_2">
        <w:r>
          <w:rPr>
            <w:b w:val="false"/>
            <w:bCs w:val="false"/>
            <w:color w:val="262626"/>
          </w:rPr>
          <w:t xml:space="preserve">1.1.2 Méthodes de dimensionnement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1_1_3">
        <w:r>
          <w:rPr>
            <w:b w:val="false"/>
            <w:bCs w:val="false"/>
            <w:color w:val="262626"/>
          </w:rPr>
          <w:t xml:space="preserve">1.1.3 Modes de dégradation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1_2">
        <w:r>
          <w:rPr>
            <w:b/>
            <w:bCs/>
            <w:color w:val="1F3864"/>
          </w:rPr>
          <w:t xml:space="preserve">1.2 Comportement thermomécanique des matériaux bitumineux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1_2_1">
        <w:r>
          <w:rPr>
            <w:b w:val="false"/>
            <w:bCs w:val="false"/>
            <w:color w:val="262626"/>
          </w:rPr>
          <w:t xml:space="preserve">1.2.1 Viscoélasticité linéaire et module complexe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1_2_2">
        <w:r>
          <w:rPr>
            <w:b w:val="false"/>
            <w:bCs w:val="false"/>
            <w:color w:val="262626"/>
          </w:rPr>
          <w:t xml:space="preserve">1.2.2 Modèles rhéologiques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1_2_3">
        <w:r>
          <w:rPr>
            <w:b w:val="false"/>
            <w:bCs w:val="false"/>
            <w:color w:val="262626"/>
          </w:rPr>
          <w:t xml:space="preserve">1.2.3 Fatigue des enrobés bitumineux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1_3">
        <w:r>
          <w:rPr>
            <w:b/>
            <w:bCs/>
            <w:color w:val="1F3864"/>
          </w:rPr>
          <w:t xml:space="preserve">1.3 Contact pneumatique-chaussée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1_3_1">
        <w:r>
          <w:rPr>
            <w:b w:val="false"/>
            <w:bCs w:val="false"/>
            <w:color w:val="262626"/>
          </w:rPr>
          <w:t xml:space="preserve">1.3.1 Techniques de mesure des pressions de contact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1_3_2">
        <w:r>
          <w:rPr>
            <w:b w:val="false"/>
            <w:bCs w:val="false"/>
            <w:color w:val="262626"/>
          </w:rPr>
          <w:t xml:space="preserve">1.3.2 Formes des profils de pression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1_3_3">
        <w:r>
          <w:rPr>
            <w:b w:val="false"/>
            <w:bCs w:val="false"/>
            <w:color w:val="262626"/>
          </w:rPr>
          <w:t xml:space="preserve">1.3.3 Modélisation du contact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1_3_4">
        <w:r>
          <w:rPr>
            <w:b w:val="false"/>
            <w:bCs w:val="false"/>
            <w:color w:val="262626"/>
          </w:rPr>
          <w:t xml:space="preserve">1.3.4 Texture de surface et contact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1_4">
        <w:r>
          <w:rPr>
            <w:b/>
            <w:bCs/>
            <w:color w:val="1F3864"/>
          </w:rPr>
          <w:t xml:space="preserve">1.4 Modélisation mécanique des chaussées multicouches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1_4_1">
        <w:r>
          <w:rPr>
            <w:b w:val="false"/>
            <w:bCs w:val="false"/>
            <w:color w:val="262626"/>
          </w:rPr>
          <w:t xml:space="preserve">1.4.1 Solutions analytiques élastiques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1_4_2">
        <w:r>
          <w:rPr>
            <w:b w:val="false"/>
            <w:bCs w:val="false"/>
            <w:color w:val="262626"/>
          </w:rPr>
          <w:t xml:space="preserve">1.4.2 Approches viscoélastiques et charges mobiles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1_synth">
        <w:r>
          <w:rPr>
            <w:b/>
            <w:bCs/>
            <w:color w:val="1F3864"/>
          </w:rPr>
          <w:t xml:space="preserve">Synthèse du chapitre</w:t>
        </w:r>
      </w:hyperlink>
    </w:p>
    <w:p>
      <w:pPr>
        <w:pStyle w:val="Consigne"/>
      </w:pPr>
      <w:r>
        <w:rPr>
          <w:b/>
          <w:bCs/>
        </w:rPr>
        <w:t xml:space="preserve">Mini-sommaire cliquable (Ctrl+clic). </w:t>
      </w:r>
      <w:r>
        <w:t xml:space="preserve">À mettre à jour à la main si tu renommes un titre — ou à remplacer par un sommaire automatique : Insertion &gt; QuickPart &gt; Champ… &gt; TOC, code de champ { TOC \b CHAP_1 \o "2-3" \h \z } (le signet CHAP_1 couvre déjà tout le chapitre).</w:t>
      </w:r>
    </w:p>
    <w:p>
      <w:pPr>
        <w:pStyle w:val="Heading2"/>
      </w:pPr>
      <w:bookmarkStart w:name="C1_intro" w:id="5126"/>
      <w:r>
        <w:t xml:space="preserve">Introduction du chapitre</w:t>
      </w:r>
      <w:bookmarkEnd w:id="5126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Annonce les quatre axes de l'état de l'art et leur lien avec la problématique. Une demi-page suffit.</w:t>
      </w:r>
    </w:p>
    <w:p>
      <w:pPr>
        <w:pStyle w:val="Heading2"/>
      </w:pPr>
      <w:bookmarkStart w:name="C1_1" w:id="5127"/>
      <w:r>
        <w:t xml:space="preserve">1.1 Les chaussées aéronautiques souples</w:t>
      </w:r>
      <w:bookmarkEnd w:id="5127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Décris les spécificités des chaussées aéroportuaires par rapport aux chaussées routières et le cadre réglementaire de leur dimensionnement.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guides STAC, documents FAA, ouvrages de référence (Huang, Pavement Analysis and Design).</w:t>
      </w:r>
    </w:p>
    <w:p>
      <w:pPr>
        <w:pStyle w:val="Heading3"/>
      </w:pPr>
      <w:bookmarkStart w:name="C1_1_1" w:id="5128"/>
      <w:r>
        <w:t xml:space="preserve">1.1.1 Structures, sollicitations et trafic</w:t>
      </w:r>
      <w:bookmarkEnd w:id="5128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les structures types (BB/GB/GRH/plateforme), les configurations de trains (bogies A340, A380, B777) et les ordres de grandeur de charges et de pressions. Insiste sur la canalisation latérale et les vitesses (roulage, décollage, zones d'attente).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documents constructeurs (caractéristiques avions pour la planification d'aéroports), rapports STAC, FAA.</w:t>
      </w:r>
    </w:p>
    <w:p>
      <w:pPr>
        <w:pStyle w:val="Heading3"/>
      </w:pPr>
      <w:bookmarkStart w:name="C1_1_2" w:id="5129"/>
      <w:r>
        <w:t xml:space="preserve">1.1.2 Méthodes de dimensionnement</w:t>
      </w:r>
      <w:bookmarkEnd w:id="5129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Compare la méthode rationnelle française (STAC/Alizé), la méthode FAA (FAARFIELD) et le système ACR-PCR de l'OACI. Identifie les critères (ε_t en base de couche bitumineuse, ε_z sur plateforme) et l'hypothèse systématique de charge uniforme circulaire.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guides techniques STAC, circulaire FAA AC 150/5320-6, documentation OACI ACR-PCR, articles de comparaison de méthodes.</w:t>
      </w:r>
    </w:p>
    <w:p>
      <w:pPr>
        <w:pStyle w:val="Heading3"/>
      </w:pPr>
      <w:bookmarkStart w:name="C1_1_3" w:id="5130"/>
      <w:r>
        <w:t xml:space="preserve">1.1.3 Modes de dégradation</w:t>
      </w:r>
      <w:bookmarkEnd w:id="5130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Décris la fatigue ascendante (bottom-up), la fissuration descendante (top-down cracking) et l'orniérage, en soulignant les mécanismes proches de la surface. Prépare l'argument selon lequel l'empreinte réelle agit d'abord sur la zone superficielle.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sur le top-down cracking (Int. J. Pavement Engineering, RMPD, TRR), retours d'expérience et expertises STAC.</w:t>
      </w:r>
    </w:p>
    <w:p>
      <w:pPr>
        <w:pStyle w:val="Heading2"/>
      </w:pPr>
      <w:bookmarkStart w:name="C1_2" w:id="5131"/>
      <w:r>
        <w:t xml:space="preserve">1.2 Comportement thermomécanique des matériaux bitumineux</w:t>
      </w:r>
      <w:bookmarkEnd w:id="5131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Pose les bases rhéologiques nécessaires aux chapitres 2 à 4, sans entrer dans le formalisme (renvoyé au chapitre 2).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travaux et thèses du groupe Di Benedetto (LTDS), norme NF EN 12697-26.</w:t>
      </w:r>
    </w:p>
    <w:p>
      <w:pPr>
        <w:pStyle w:val="Heading3"/>
      </w:pPr>
      <w:bookmarkStart w:name="C1_2_1" w:id="5132"/>
      <w:r>
        <w:t xml:space="preserve">1.2.1 Viscoélasticité linéaire et module complexe</w:t>
      </w:r>
      <w:bookmarkEnd w:id="5132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Définis le module complexe, le domaine de linéarité et le principe d'équivalence temps-température (loi WLF). Illustre par des courbes maîtresses et les représentations Cole-Cole et Black.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Olard &amp; Di Benedetto (2003), thèses LTDS, NF EN 12697-26, articles de revue (RMPD, Construction and Building Materials).</w:t>
      </w:r>
    </w:p>
    <w:p>
      <w:pPr>
        <w:pStyle w:val="Heading3"/>
      </w:pPr>
      <w:bookmarkStart w:name="C1_2_2" w:id="5133"/>
      <w:r>
        <w:t xml:space="preserve">1.2.2 Modèles rhéologiques</w:t>
      </w:r>
      <w:bookmarkEnd w:id="5133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Synthétise les modèles analogiques (Maxwell, Kelvin-Voigt, Huet, Huet-Sayegh, 2S2P1D) dans un tableau comparatif, comme retravaillé au TFE. Justifie le choix du 2S2P1D et de sa conversion en chaîne de Kelvin-Voigt généralisée.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fondateurs (Huet, Sayegh, Olard &amp; Di Benedetto 2003), Tiouajni et al. (2011), revues de modèles rhéologiques.</w:t>
      </w:r>
    </w:p>
    <w:p>
      <w:pPr>
        <w:pStyle w:val="Heading3"/>
      </w:pPr>
      <w:bookmarkStart w:name="C1_2_3" w:id="5134"/>
      <w:r>
        <w:t xml:space="preserve">1.2.3 Fatigue des enrobés bitumineux</w:t>
      </w:r>
      <w:bookmarkEnd w:id="5134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les essais de fatigue (flexion, traction-compression, cylindre creux), les critères de rupture et les lois de fatigue du dimensionnement. Mentionne les effets de la multiaxialité, en lien avec le chapitre 6.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travaux fatigue LTDS/ENTPE, programmes RILEM, NF EN 12697-24, thèses sur le banc 2T3C.</w:t>
      </w:r>
    </w:p>
    <w:p>
      <w:pPr>
        <w:pStyle w:val="Heading2"/>
      </w:pPr>
      <w:bookmarkStart w:name="C1_3" w:id="5135"/>
      <w:r>
        <w:t xml:space="preserve">1.3 Contact pneumatique-chaussée</w:t>
      </w:r>
      <w:bookmarkEnd w:id="5135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Cœur de l'état de l'art : c'est ici que se construit la lacune scientifique. Développe largement cette partie (cf. retours de relecture du chapitre 1 du TFE).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collection Zotero dédiée au contact pneu-chaussée.</w:t>
      </w:r>
    </w:p>
    <w:p>
      <w:pPr>
        <w:pStyle w:val="Heading3"/>
      </w:pPr>
      <w:bookmarkStart w:name="C1_3_1" w:id="5136"/>
      <w:r>
        <w:t xml:space="preserve">1.3.1 Techniques de mesure des pressions de contact</w:t>
      </w:r>
      <w:bookmarkEnd w:id="5136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Décris le dispositif Stress-In-Motion / VRSPTA de De Beer, les capteurs de pression et les mesures sur pneus d'avion (rapport HTPT Airbus). Discute la résolution spatiale et les conditions d'essai (charge, gonflage, vitesse).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De Beer et al. (rapports CSIR, articles), rapport HTPT Airbus, articles TRR sur la mesure des contraintes de contact.</w:t>
      </w:r>
    </w:p>
    <w:p>
      <w:pPr>
        <w:pStyle w:val="Heading3"/>
      </w:pPr>
      <w:bookmarkStart w:name="C1_3_2" w:id="5137"/>
      <w:r>
        <w:t xml:space="preserve">1.3.2 Formes des profils de pression</w:t>
      </w:r>
      <w:bookmarkEnd w:id="5137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Classe les profils observés (uniforme, en n, en M) et décris la transition n→M avec la charge pour les pneus radiaux (dès 40–50 kN). Insiste sur les surpressions de bord et leur variabilité transversale et longitudinale.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matrices de mesures De Beer, Tielking &amp; Roberts (1987), articles sur pneus poids lourds et avions.</w:t>
      </w:r>
    </w:p>
    <w:p>
      <w:pPr>
        <w:pStyle w:val="Heading3"/>
      </w:pPr>
      <w:bookmarkStart w:name="C1_3_3" w:id="5138"/>
      <w:r>
        <w:t xml:space="preserve">1.3.3 Modélisation du contact</w:t>
      </w:r>
      <w:bookmarkEnd w:id="5138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les modèles de pneus éléments finis, les représentations analytiques (Tielking, gaussiennes, fonctions erf) et leur usage en calcul de chaussée. Souligne qu'aucune ne propage un profil M mesuré dans un calcul viscoélastique multicouche complet.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de modélisation pneu-chaussée (travaux d'Al-Qadi et Wang, à vérifier dans ta base), thèses, Johnson (1985), Contact Mechanics.</w:t>
      </w:r>
    </w:p>
    <w:p>
      <w:pPr>
        <w:pStyle w:val="Heading3"/>
      </w:pPr>
      <w:bookmarkStart w:name="C1_3_4" w:id="5139"/>
      <w:r>
        <w:t xml:space="preserve">1.3.4 Texture de surface et contact</w:t>
      </w:r>
      <w:bookmarkEnd w:id="5139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Introduis la texture (micro et macro, MPD), le rainurage des pistes et son effet présumé sur la distribution locale des pressions. Sert d'ancrage bibliographique au chapitre 5.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ISO 13473-1, Persson (2001) sur le contact rugueux, documents FAA et STAC sur le rainurage et l'adhérence.</w:t>
      </w:r>
    </w:p>
    <w:p>
      <w:pPr>
        <w:pStyle w:val="Heading2"/>
      </w:pPr>
      <w:bookmarkStart w:name="C1_4" w:id="5140"/>
      <w:r>
        <w:t xml:space="preserve">1.4 Modélisation mécanique des chaussées multicouches</w:t>
      </w:r>
      <w:bookmarkEnd w:id="5140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Passe en revue les outils de calcul de la réponse d'une chaussée, du plus analytique au plus numérique.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ouvrages de MMC, articles méthodologiques, documentation logicielle.</w:t>
      </w:r>
    </w:p>
    <w:p>
      <w:pPr>
        <w:pStyle w:val="Heading3"/>
      </w:pPr>
      <w:bookmarkStart w:name="C1_4_1" w:id="5141"/>
      <w:r>
        <w:t xml:space="preserve">1.4.1 Solutions analytiques élastiques</w:t>
      </w:r>
      <w:bookmarkEnd w:id="5141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Boussinesq, Burmister et les codes associés (Alizé). Rappelle leurs hypothèses : élasticité, charge circulaire uniforme, statique.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Burmister (1943, 1945), Boussinesq, documentation Alizé-LCPC, Huang.</w:t>
      </w:r>
    </w:p>
    <w:p>
      <w:pPr>
        <w:pStyle w:val="Heading3"/>
      </w:pPr>
      <w:bookmarkStart w:name="C1_4_2" w:id="5142"/>
      <w:r>
        <w:t xml:space="preserve">1.4.2 Approches viscoélastiques et charges mobiles</w:t>
      </w:r>
      <w:bookmarkEnd w:id="5142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Décris les méthodes semi-analytiques en domaine fréquentiel (ViscoRoute, approches spectrales) et les modèles éléments finis viscoélastiques (COMSOL, Abaqus). Positionne ton futur code par rapport à ces outils.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ViscoRoute (Chabot, Duhamel et al.), méthodes spectrales (IJSS, IJPE), Roussel/Petitjean et al. (2002).</w:t>
      </w:r>
    </w:p>
    <w:p>
      <w:pPr>
        <w:pStyle w:val="Heading2"/>
      </w:pPr>
      <w:bookmarkStart w:name="C1_synth" w:id="5143"/>
      <w:r>
        <w:t xml:space="preserve">Synthèse du chapitre</w:t>
      </w:r>
      <w:bookmarkEnd w:id="5143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Récapitule les acquis et formule explicitement la lacune : propager une empreinte hétérogène mesurée dans un calcul viscoélastique multicouche, avec un apport théorique (semi-analytique) et expérimental. Termine par les questions de recherche auxquelles répondent les chapitres suivants.</w:t>
      </w:r>
    </w:p>
    <w:p>
      <w:bookmarkEnd w:id="5125"/>
    </w:p>
    <w:p>
      <w:pPr>
        <w:sectPr>
          <w:headerReference w:type="default" r:id="rId15"/>
          <w:headerReference w:type="first" r:id="rId16"/>
          <w:footerReference w:type="default" r:id="rId17"/>
          <w:footerReference w:type="first" r:id="rId18"/>
          <w:type w:val="nextPage"/>
          <w:pgSz w:w="11906" w:h="16838" w:orient="portrait"/>
          <w:pgMar w:top="1418" w:right="1418" w:bottom="1418" w:left="1418" w:header="708" w:footer="708" w:gutter="0"/>
          <w:pgNumType w:fmt="decimal"/>
          <w:titlePg/>
          <w:docGrid w:linePitch="360"/>
        </w:sectPr>
      </w:pPr>
    </w:p>
    <w:p>
      <w:pPr>
        <w:pStyle w:val="Heading1"/>
      </w:pPr>
      <w:bookmarkStart w:name="CHAP_2" w:id="5144"/>
      <w:r>
        <w:t xml:space="preserve">Chapitre 2 – Cadre théorique : viscoélasticité linéaire et formulation spectrale du problème multicouche</w:t>
      </w:r>
    </w:p>
    <w:p>
      <w:pPr>
        <w:pStyle w:val="TitreHorsTDM"/>
      </w:pPr>
      <w:r>
        <w:t xml:space="preserve">Sommaire du chapitre</w:t>
      </w:r>
    </w:p>
    <w:p>
      <w:pPr>
        <w:pStyle w:val="SommaireChapitre"/>
        <w:numPr>
          <w:ilvl w:val="0"/>
          <w:numId w:val="2"/>
        </w:numPr>
      </w:pPr>
      <w:hyperlink w:history="1" w:anchor="C2_intro">
        <w:r>
          <w:rPr>
            <w:b/>
            <w:bCs/>
            <w:color w:val="1F3864"/>
          </w:rPr>
          <w:t xml:space="preserve">Introduction du chapitre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2_1">
        <w:r>
          <w:rPr>
            <w:b/>
            <w:bCs/>
            <w:color w:val="1F3864"/>
          </w:rPr>
          <w:t xml:space="preserve">2.1 Hypothèses et rappels de mécanique des milieux continus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2_1_1">
        <w:r>
          <w:rPr>
            <w:b w:val="false"/>
            <w:bCs w:val="false"/>
            <w:color w:val="262626"/>
          </w:rPr>
          <w:t xml:space="preserve">2.1.1 Équations de champ et hypothèses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2_1_2">
        <w:r>
          <w:rPr>
            <w:b w:val="false"/>
            <w:bCs w:val="false"/>
            <w:color w:val="262626"/>
          </w:rPr>
          <w:t xml:space="preserve">2.1.2 Viscoélasticité linéaire héréditaire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2_2">
        <w:r>
          <w:rPr>
            <w:b/>
            <w:bCs/>
            <w:color w:val="1F3864"/>
          </w:rPr>
          <w:t xml:space="preserve">2.2 Le modèle 2S2P1D, du domaine fréquentiel au domaine temporel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2_2_1">
        <w:r>
          <w:rPr>
            <w:b w:val="false"/>
            <w:bCs w:val="false"/>
            <w:color w:val="262626"/>
          </w:rPr>
          <w:t xml:space="preserve">2.2.1 Formulation fréquentielle et équivalence temps-température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2_2_2">
        <w:r>
          <w:rPr>
            <w:b w:val="false"/>
            <w:bCs w:val="false"/>
            <w:color w:val="262626"/>
          </w:rPr>
          <w:t xml:space="preserve">2.2.2 Conversion en chaîne de Kelvin-Voigt généralisée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2_2_3">
        <w:r>
          <w:rPr>
            <w:b w:val="false"/>
            <w:bCs w:val="false"/>
            <w:color w:val="262626"/>
          </w:rPr>
          <w:t xml:space="preserve">2.2.3 Comportement tridimensionnel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2_3">
        <w:r>
          <w:rPr>
            <w:b/>
            <w:bCs/>
            <w:color w:val="1F3864"/>
          </w:rPr>
          <w:t xml:space="preserve">2.3 Formulation spectrale du problème multicouche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2_3_1">
        <w:r>
          <w:rPr>
            <w:b w:val="false"/>
            <w:bCs w:val="false"/>
            <w:color w:val="262626"/>
          </w:rPr>
          <w:t xml:space="preserve">2.3.1 Transformées de Fourier et repère mobile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2_3_2">
        <w:r>
          <w:rPr>
            <w:b w:val="false"/>
            <w:bCs w:val="false"/>
            <w:color w:val="262626"/>
          </w:rPr>
          <w:t xml:space="preserve">2.3.2 Matrices de transfert et de rigidité de couche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2_3_3">
        <w:r>
          <w:rPr>
            <w:b w:val="false"/>
            <w:bCs w:val="false"/>
            <w:color w:val="262626"/>
          </w:rPr>
          <w:t xml:space="preserve">2.3.3 Conditions d'interface et aux limites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2_4">
        <w:r>
          <w:rPr>
            <w:b/>
            <w:bCs/>
            <w:color w:val="1F3864"/>
          </w:rPr>
          <w:t xml:space="preserve">2.4 Représentation analytique des empreintes de pression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2_4_1">
        <w:r>
          <w:rPr>
            <w:b w:val="false"/>
            <w:bCs w:val="false"/>
            <w:color w:val="262626"/>
          </w:rPr>
          <w:t xml:space="preserve">2.4.1 Paramétrisation des profils hétérogènes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2_4_2">
        <w:r>
          <w:rPr>
            <w:b w:val="false"/>
            <w:bCs w:val="false"/>
            <w:color w:val="262626"/>
          </w:rPr>
          <w:t xml:space="preserve">2.4.2 Transformées des empreintes et superposition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2_synth">
        <w:r>
          <w:rPr>
            <w:b/>
            <w:bCs/>
            <w:color w:val="1F3864"/>
          </w:rPr>
          <w:t xml:space="preserve">Synthèse du chapitre</w:t>
        </w:r>
      </w:hyperlink>
    </w:p>
    <w:p>
      <w:pPr>
        <w:pStyle w:val="Consigne"/>
      </w:pPr>
      <w:r>
        <w:rPr>
          <w:b/>
          <w:bCs/>
        </w:rPr>
        <w:t xml:space="preserve">Mini-sommaire cliquable (Ctrl+clic). </w:t>
      </w:r>
      <w:r>
        <w:t xml:space="preserve">À mettre à jour à la main si tu renommes un titre — ou à remplacer par un sommaire automatique : Insertion &gt; QuickPart &gt; Champ… &gt; TOC, code de champ { TOC \b CHAP_2 \o "2-3" \h \z } (le signet CHAP_2 couvre déjà tout le chapitre).</w:t>
      </w:r>
    </w:p>
    <w:p>
      <w:pPr>
        <w:pStyle w:val="Heading2"/>
      </w:pPr>
      <w:bookmarkStart w:name="C2_intro" w:id="5145"/>
      <w:r>
        <w:t xml:space="preserve">Introduction du chapitre</w:t>
      </w:r>
      <w:bookmarkEnd w:id="5145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Expose l'objectif : construire un formalisme rigoureux et autonome, qui servira de base à la notice mathématique du code semi-analytique. Précise les conventions de notation (renvoi à la nomenclature).</w:t>
      </w:r>
    </w:p>
    <w:p>
      <w:pPr>
        <w:pStyle w:val="Heading2"/>
      </w:pPr>
      <w:bookmarkStart w:name="C2_1" w:id="5146"/>
      <w:r>
        <w:t xml:space="preserve">2.1 Hypothèses et rappels de mécanique des milieux continus</w:t>
      </w:r>
      <w:bookmarkEnd w:id="5146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Fixe le cadre (petites perturbations, isotropie, nature des interfaces) et les équations de champ.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ouvrages de MMC (Salençon, Mandel), cours de référence.</w:t>
      </w:r>
    </w:p>
    <w:p>
      <w:pPr>
        <w:pStyle w:val="Heading3"/>
      </w:pPr>
      <w:bookmarkStart w:name="C2_1_1" w:id="5147"/>
      <w:r>
        <w:t xml:space="preserve">2.1.1 Équations de champ et hypothèses</w:t>
      </w:r>
      <w:bookmarkEnd w:id="5147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Écris cinématique, équilibre (quasi-statique ou dynamique) et conditions aux limites. Justifie le choix quasi-statique ou dynamique selon les vitesses étudiées.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Salençon (Mécanique des milieux continus), Mandel.</w:t>
      </w:r>
    </w:p>
    <w:p>
      <w:pPr>
        <w:pStyle w:val="Heading3"/>
      </w:pPr>
      <w:bookmarkStart w:name="C2_1_2" w:id="5148"/>
      <w:r>
        <w:t xml:space="preserve">2.1.2 Viscoélasticité linéaire héréditaire</w:t>
      </w:r>
      <w:bookmarkEnd w:id="5148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la forme intégrale de Boltzmann, les fonctions de fluage et de relaxation, et le principe de correspondance élastique-viscoélastique. C'est le pont théorique entre solutions élastiques et réponse viscoélastique.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Christensen (Theory of Viscoelasticity), Salençon (Viscoélasticité pour le calcul des structures), Mandel.</w:t>
      </w:r>
    </w:p>
    <w:p>
      <w:pPr>
        <w:pStyle w:val="Heading2"/>
      </w:pPr>
      <w:bookmarkStart w:name="C2_2" w:id="5149"/>
      <w:r>
        <w:t xml:space="preserve">2.2 Le modèle 2S2P1D, du domaine fréquentiel au domaine temporel</w:t>
      </w:r>
      <w:bookmarkEnd w:id="5149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Formalise le modèle retenu et sa transposition dans les deux domaines utilisés par la thèse.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Olard &amp; Di Benedetto (2003), Tiouajni et al. (2011).</w:t>
      </w:r>
    </w:p>
    <w:p>
      <w:pPr>
        <w:pStyle w:val="Heading3"/>
      </w:pPr>
      <w:bookmarkStart w:name="C2_2_1" w:id="5150"/>
      <w:r>
        <w:t xml:space="preserve">2.2.1 Formulation fréquentielle et équivalence temps-température</w:t>
      </w:r>
      <w:bookmarkEnd w:id="5150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Donne E*(ω,T), le rôle de chaque paramètre et la loi WLF. Ajoute une vérification de cohérence des paramètres (cf. écart sur |E*| relevé lors de la rédaction de l'article TFE).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Olard &amp; Di Benedetto (2003), articles d'application du 2S2P1D, thèses LTDS.</w:t>
      </w:r>
    </w:p>
    <w:p>
      <w:pPr>
        <w:pStyle w:val="Heading3"/>
      </w:pPr>
      <w:bookmarkStart w:name="C2_2_2" w:id="5151"/>
      <w:r>
        <w:t xml:space="preserve">2.2.2 Conversion en chaîne de Kelvin-Voigt généralisée</w:t>
      </w:r>
      <w:bookmarkEnd w:id="5151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Détaille l'identification des paramètres KVG (méthode de Tiouajni et al., avec les corrections de notation et la coquille relevées au TFE). Discute le nombre de branches et la qualité d'approximation.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Tiouajni et al. (2011), articles sur l'identification de spectres discrets (séries de Prony).</w:t>
      </w:r>
    </w:p>
    <w:p>
      <w:pPr>
        <w:pStyle w:val="Heading3"/>
      </w:pPr>
      <w:bookmarkStart w:name="C2_2_3" w:id="5152"/>
      <w:r>
        <w:t xml:space="preserve">2.2.3 Comportement tridimensionnel</w:t>
      </w:r>
      <w:bookmarkEnd w:id="5152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Traite les parties sphérique et déviatorique, le coefficient de Poisson complexe et leurs conséquences sur la réponse 3D.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LTDS sur le coefficient de Poisson complexe, thèses sur la caractérisation 3D des enrobés.</w:t>
      </w:r>
    </w:p>
    <w:p>
      <w:pPr>
        <w:pStyle w:val="Heading2"/>
      </w:pPr>
      <w:bookmarkStart w:name="C2_3" w:id="5153"/>
      <w:r>
        <w:t xml:space="preserve">2.3 Formulation spectrale du problème multicouche</w:t>
      </w:r>
      <w:bookmarkEnd w:id="5153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Cœur de l'apport théorique : résolution du multicouche viscoélastique sous charge mobile dans l'espace des nombres d'onde.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sur les méthodes de transfert et de rigidité de couches, ViscoRoute, littérature de géophysique.</w:t>
      </w:r>
    </w:p>
    <w:p>
      <w:pPr>
        <w:pStyle w:val="Heading3"/>
      </w:pPr>
      <w:bookmarkStart w:name="C2_3_1" w:id="5154"/>
      <w:r>
        <w:t xml:space="preserve">2.3.1 Transformées de Fourier et repère mobile</w:t>
      </w:r>
      <w:bookmarkEnd w:id="5154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Introduis la double transformée en espace et le passage au repère lié à la charge à vitesse constante, qui transforme la viscoélasticité en dépendance au nombre d'onde. Explicite les conventions de signe.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ouvrages sur les transformées intégrales, articles sur les charges mobiles (Duhamel, Chabot).</w:t>
      </w:r>
    </w:p>
    <w:p>
      <w:pPr>
        <w:pStyle w:val="Heading3"/>
      </w:pPr>
      <w:bookmarkStart w:name="C2_3_2" w:id="5155"/>
      <w:r>
        <w:t xml:space="preserve">2.3.2 Matrices de transfert et de rigidité de couche</w:t>
      </w:r>
      <w:bookmarkEnd w:id="5155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Établis la solution dans une couche homogène puis l'assemblage des couches. Discute la stabilité numérique aux grands nombres d'onde.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Thomson (1950), Haskell (1953), Kausel &amp; Roësset (1981) — à vérifier dans ta base.</w:t>
      </w:r>
    </w:p>
    <w:p>
      <w:pPr>
        <w:pStyle w:val="Heading3"/>
      </w:pPr>
      <w:bookmarkStart w:name="C2_3_3" w:id="5156"/>
      <w:r>
        <w:t xml:space="preserve">2.3.3 Conditions d'interface et aux limites</w:t>
      </w:r>
      <w:bookmarkEnd w:id="5156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Traite les interfaces collées, glissantes ou partiellement collées et la condition de massif semi-infini. Prévois les cas limites qui serviront à la vérification au chapitre 4.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sur les interfaces de chaussées (Chupin, Chabot), thèses LTDS et Université Gustave Eiffel.</w:t>
      </w:r>
    </w:p>
    <w:p>
      <w:pPr>
        <w:pStyle w:val="Heading2"/>
      </w:pPr>
      <w:bookmarkStart w:name="C2_4" w:id="5157"/>
      <w:r>
        <w:t xml:space="preserve">2.4 Représentation analytique des empreintes de pression</w:t>
      </w:r>
      <w:bookmarkEnd w:id="5157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Construis une famille d'empreintes paramétrées, directement transformables dans l'espace spectral.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mesures De Beer, modèle à 5 gaussiennes du TFE.</w:t>
      </w:r>
    </w:p>
    <w:p>
      <w:pPr>
        <w:pStyle w:val="Heading3"/>
      </w:pPr>
      <w:bookmarkStart w:name="C2_4_1" w:id="5158"/>
      <w:r>
        <w:t xml:space="preserve">2.4.1 Paramétrisation des profils hétérogènes</w:t>
      </w:r>
      <w:bookmarkEnd w:id="5158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Formalise le modèle à gaussiennes et les fonctions erf, avec la contrainte d'intégrale (normalisation à la charge par roue). Relie chaque paramètre aux mesures.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De Beer et al., Tielking &amp; Roberts (1987), rapport HTPT Airbus.</w:t>
      </w:r>
    </w:p>
    <w:p>
      <w:pPr>
        <w:pStyle w:val="Heading3"/>
      </w:pPr>
      <w:bookmarkStart w:name="C2_4_2" w:id="5159"/>
      <w:r>
        <w:t xml:space="preserve">2.4.2 Transformées des empreintes et superposition</w:t>
      </w:r>
      <w:bookmarkEnd w:id="5159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Donne les transformées analytiques des empreintes et le principe de superposition pour les roues d'un bogie. Montre que les solutions élémentaires de type Boussinesq en sont un cas particulier.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ouvrages sur les transformées, articles semi-analytiques en mécanique des chaussées.</w:t>
      </w:r>
    </w:p>
    <w:p>
      <w:pPr>
        <w:pStyle w:val="Heading2"/>
      </w:pPr>
      <w:bookmarkStart w:name="C2_synth" w:id="5160"/>
      <w:r>
        <w:t xml:space="preserve">Synthèse du chapitre</w:t>
      </w:r>
      <w:bookmarkEnd w:id="5160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Récapitule le formalisme sous forme de schéma de résolution (entrées : empreinte et matériaux ; sorties : champs de contraintes et de déformations). Annonce son implémentation au chapitre 4.</w:t>
      </w:r>
    </w:p>
    <w:p>
      <w:bookmarkEnd w:id="5144"/>
    </w:p>
    <w:p>
      <w:pPr>
        <w:sectPr>
          <w:headerReference w:type="default" r:id="rId19"/>
          <w:headerReference w:type="first" r:id="rId20"/>
          <w:footerReference w:type="default" r:id="rId21"/>
          <w:footerReference w:type="first" r:id="rId22"/>
          <w:type w:val="nextPage"/>
          <w:pgSz w:w="11906" w:h="16838" w:orient="portrait"/>
          <w:pgMar w:top="1418" w:right="1418" w:bottom="1418" w:left="1418" w:header="708" w:footer="708" w:gutter="0"/>
          <w:pgNumType w:fmt="decimal"/>
          <w:titlePg/>
          <w:docGrid w:linePitch="360"/>
        </w:sectPr>
      </w:pPr>
    </w:p>
    <w:p>
      <w:pPr>
        <w:pStyle w:val="Heading1"/>
      </w:pPr>
      <w:bookmarkStart w:name="CHAP_3" w:id="5161"/>
      <w:r>
        <w:t xml:space="preserve">Chapitre 3 – Modélisation par éléments finis de l'effet des empreintes hétérogènes</w:t>
      </w:r>
    </w:p>
    <w:p>
      <w:pPr>
        <w:pStyle w:val="TitreHorsTDM"/>
      </w:pPr>
      <w:r>
        <w:t xml:space="preserve">Sommaire du chapitre</w:t>
      </w:r>
    </w:p>
    <w:p>
      <w:pPr>
        <w:pStyle w:val="SommaireChapitre"/>
        <w:numPr>
          <w:ilvl w:val="0"/>
          <w:numId w:val="2"/>
        </w:numPr>
      </w:pPr>
      <w:hyperlink w:history="1" w:anchor="C3_intro">
        <w:r>
          <w:rPr>
            <w:b/>
            <w:bCs/>
            <w:color w:val="1F3864"/>
          </w:rPr>
          <w:t xml:space="preserve">Introduction du chapitre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3_1">
        <w:r>
          <w:rPr>
            <w:b/>
            <w:bCs/>
            <w:color w:val="1F3864"/>
          </w:rPr>
          <w:t xml:space="preserve">3.1 Modèle éléments finis de référence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3_1_1">
        <w:r>
          <w:rPr>
            <w:b w:val="false"/>
            <w:bCs w:val="false"/>
            <w:color w:val="262626"/>
          </w:rPr>
          <w:t xml:space="preserve">3.1.1 Géométrie, structure et maillage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3_1_2">
        <w:r>
          <w:rPr>
            <w:b w:val="false"/>
            <w:bCs w:val="false"/>
            <w:color w:val="262626"/>
          </w:rPr>
          <w:t xml:space="preserve">3.1.2 Implémentation du comportement viscoélastique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3_1_3">
        <w:r>
          <w:rPr>
            <w:b w:val="false"/>
            <w:bCs w:val="false"/>
            <w:color w:val="262626"/>
          </w:rPr>
          <w:t xml:space="preserve">3.1.3 Validation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3_2">
        <w:r>
          <w:rPr>
            <w:b/>
            <w:bCs/>
            <w:color w:val="1F3864"/>
          </w:rPr>
          <w:t xml:space="preserve">3.2 Chargements étudiés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3_2_1">
        <w:r>
          <w:rPr>
            <w:b w:val="false"/>
            <w:bCs w:val="false"/>
            <w:color w:val="262626"/>
          </w:rPr>
          <w:t xml:space="preserve">3.2.1 Empreintes uniformes de référence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3_2_2">
        <w:r>
          <w:rPr>
            <w:b w:val="false"/>
            <w:bCs w:val="false"/>
            <w:color w:val="262626"/>
          </w:rPr>
          <w:t xml:space="preserve">3.2.2 Empreinte hétérogène de type M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3_2_3">
        <w:r>
          <w:rPr>
            <w:b w:val="false"/>
            <w:bCs w:val="false"/>
            <w:color w:val="262626"/>
          </w:rPr>
          <w:t xml:space="preserve">3.2.3 Configuration avion et conditions de calcul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3_3">
        <w:r>
          <w:rPr>
            <w:b/>
            <w:bCs/>
            <w:color w:val="1F3864"/>
          </w:rPr>
          <w:t xml:space="preserve">3.3 Résultats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3_3_1">
        <w:r>
          <w:rPr>
            <w:b w:val="false"/>
            <w:bCs w:val="false"/>
            <w:color w:val="262626"/>
          </w:rPr>
          <w:t xml:space="preserve">3.3.1 Réponse près de la surface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3_3_2">
        <w:r>
          <w:rPr>
            <w:b w:val="false"/>
            <w:bCs w:val="false"/>
            <w:color w:val="262626"/>
          </w:rPr>
          <w:t xml:space="preserve">3.3.2 Réponse en base de couche bitumineuse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3_3_3">
        <w:r>
          <w:rPr>
            <w:b w:val="false"/>
            <w:bCs w:val="false"/>
            <w:color w:val="262626"/>
          </w:rPr>
          <w:t xml:space="preserve">3.3.3 Comparaison élastique / viscoélastique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3_4">
        <w:r>
          <w:rPr>
            <w:b/>
            <w:bCs/>
            <w:color w:val="1F3864"/>
          </w:rPr>
          <w:t xml:space="preserve">3.4 Conséquences sur la durée de vie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3_4_1">
        <w:r>
          <w:rPr>
            <w:b w:val="false"/>
            <w:bCs w:val="false"/>
            <w:color w:val="262626"/>
          </w:rPr>
          <w:t xml:space="preserve">3.4.1 Lois d'endommagement utilisées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3_4_2">
        <w:r>
          <w:rPr>
            <w:b w:val="false"/>
            <w:bCs w:val="false"/>
            <w:color w:val="262626"/>
          </w:rPr>
          <w:t xml:space="preserve">3.4.2 Sensibilité de la durée de vie au profil de pression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3_synth">
        <w:r>
          <w:rPr>
            <w:b/>
            <w:bCs/>
            <w:color w:val="1F3864"/>
          </w:rPr>
          <w:t xml:space="preserve">Synthèse du chapitre</w:t>
        </w:r>
      </w:hyperlink>
    </w:p>
    <w:p>
      <w:pPr>
        <w:pStyle w:val="Consigne"/>
      </w:pPr>
      <w:r>
        <w:rPr>
          <w:b/>
          <w:bCs/>
        </w:rPr>
        <w:t xml:space="preserve">Mini-sommaire cliquable (Ctrl+clic). </w:t>
      </w:r>
      <w:r>
        <w:t xml:space="preserve">À mettre à jour à la main si tu renommes un titre — ou à remplacer par un sommaire automatique : Insertion &gt; QuickPart &gt; Champ… &gt; TOC, code de champ { TOC \b CHAP_3 \o "2-3" \h \z } (le signet CHAP_3 couvre déjà tout le chapitre).</w:t>
      </w:r>
    </w:p>
    <w:p>
      <w:pPr>
        <w:pStyle w:val="Heading2"/>
      </w:pPr>
      <w:bookmarkStart w:name="C3_intro" w:id="5162"/>
      <w:r>
        <w:t xml:space="preserve">Introduction du chapitre</w:t>
      </w:r>
      <w:bookmarkEnd w:id="5162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ce chapitre comme la consolidation des travaux du TFE et la construction d'une référence numérique pour valider le code semi-analytique.</w:t>
      </w:r>
    </w:p>
    <w:p>
      <w:pPr>
        <w:pStyle w:val="Heading2"/>
      </w:pPr>
      <w:bookmarkStart w:name="C3_1" w:id="5163"/>
      <w:r>
        <w:t xml:space="preserve">3.1 Modèle éléments finis de référence</w:t>
      </w:r>
      <w:bookmarkEnd w:id="5163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Décris le modèle COMSOL de manière reproductible.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documentation COMSOL, Roussel (2020), Roussel/Petitjean et al. (2002).</w:t>
      </w:r>
    </w:p>
    <w:p>
      <w:pPr>
        <w:pStyle w:val="Heading3"/>
      </w:pPr>
      <w:bookmarkStart w:name="C3_1_1" w:id="5164"/>
      <w:r>
        <w:t xml:space="preserve">3.1.1 Géométrie, structure et maillage</w:t>
      </w:r>
      <w:bookmarkEnd w:id="5164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la structure multicouche (BB/GB/GRH/plateforme/substratum), les dimensions et les conditions aux limites. Intègre l'étude de convergence (60 éléments/m, éléments quadratiques, écarts sur |ε_XZ|).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de modélisation EF des chaussées, documentation COMSOL.</w:t>
      </w:r>
    </w:p>
    <w:p>
      <w:pPr>
        <w:pStyle w:val="Heading3"/>
      </w:pPr>
      <w:bookmarkStart w:name="C3_1_2" w:id="5165"/>
      <w:r>
        <w:t xml:space="preserve">3.1.2 Implémentation du comportement viscoélastique</w:t>
      </w:r>
      <w:bookmarkEnd w:id="5165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Explique l'implémentation de la chaîne KVG dans COMSOL et les choix d'intégration temporelle.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documentation COMSOL, Tiouajni et al. (2011).</w:t>
      </w:r>
    </w:p>
    <w:p>
      <w:pPr>
        <w:pStyle w:val="Heading3"/>
      </w:pPr>
      <w:bookmarkStart w:name="C3_1_3" w:id="5166"/>
      <w:r>
        <w:t xml:space="preserve">3.1.3 Validation</w:t>
      </w:r>
      <w:bookmarkEnd w:id="5166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Compare aux résultats de référence (Roussel/Petitjean et al. 2002, Roussel 2020), avec environ 1 % d'écart en viscoélastique. Explique les écarts diagnostiqués (sondes, expressions, repliement spatial).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Roussel/Petitjean et al. (2002), Roussel (2020).</w:t>
      </w:r>
    </w:p>
    <w:p>
      <w:pPr>
        <w:pStyle w:val="Heading2"/>
      </w:pPr>
      <w:bookmarkStart w:name="C3_2" w:id="5167"/>
      <w:r>
        <w:t xml:space="preserve">3.2 Chargements étudiés</w:t>
      </w:r>
      <w:bookmarkEnd w:id="5167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Définis les trois empreintes comparées à charge égale.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De Beer et al., données Airbus.</w:t>
      </w:r>
    </w:p>
    <w:p>
      <w:pPr>
        <w:pStyle w:val="Heading3"/>
      </w:pPr>
      <w:bookmarkStart w:name="C3_2_1" w:id="5168"/>
      <w:r>
        <w:t xml:space="preserve">3.2.1 Empreintes uniformes de référence</w:t>
      </w:r>
      <w:bookmarkEnd w:id="5168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Décris les empreintes rectangulaire et circulaire uniformes et leur justification réglementaire.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guides STAC, documentation Alizé.</w:t>
      </w:r>
    </w:p>
    <w:p>
      <w:pPr>
        <w:pStyle w:val="Heading3"/>
      </w:pPr>
      <w:bookmarkStart w:name="C3_2_2" w:id="5169"/>
      <w:r>
        <w:t xml:space="preserve">3.2.2 Empreinte hétérogène de type M</w:t>
      </w:r>
      <w:bookmarkEnd w:id="5169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Retrace la calibration (Tielking, puis données VRSPTA, puis modèle à 5 gaussiennes) et la normalisation à 370 kN par roue (k = 370/372,8).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De Beer et al. (VRSPTA), Tielking &amp; Roberts (1987).</w:t>
      </w:r>
    </w:p>
    <w:p>
      <w:pPr>
        <w:pStyle w:val="Heading3"/>
      </w:pPr>
      <w:bookmarkStart w:name="C3_2_3" w:id="5170"/>
      <w:r>
        <w:t xml:space="preserve">3.2.3 Configuration avion et conditions de calcul</w:t>
      </w:r>
      <w:bookmarkEnd w:id="5170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Précise le bogie A340, la vitesse, la température et le pas de temps. Justifie ces choix au regard des données STAC.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caractéristiques avions Airbus, rapports STAC.</w:t>
      </w:r>
    </w:p>
    <w:p>
      <w:pPr>
        <w:pStyle w:val="Heading2"/>
      </w:pPr>
      <w:bookmarkStart w:name="C3_3" w:id="5171"/>
      <w:r>
        <w:t xml:space="preserve">3.3 Résultats</w:t>
      </w:r>
      <w:bookmarkEnd w:id="5171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les champs mécaniques en séparant zone superficielle et base de couche.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principalement tes résultats ; citer des références pour comparer les ordres de grandeur.</w:t>
      </w:r>
    </w:p>
    <w:p>
      <w:pPr>
        <w:pStyle w:val="Heading3"/>
      </w:pPr>
      <w:bookmarkStart w:name="C3_3_1" w:id="5172"/>
      <w:r>
        <w:t xml:space="preserve">3.3.1 Réponse près de la surface</w:t>
      </w:r>
      <w:bookmarkEnd w:id="5172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Analyse la densité d'énergie de déformation, τxz, ε1 et les directions principales (matrices 2×3 de la soutenance). Argumente le lien avec le top-down cracking.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sur le top-down cracking et les critères en surface.</w:t>
      </w:r>
    </w:p>
    <w:p>
      <w:pPr>
        <w:pStyle w:val="Heading3"/>
      </w:pPr>
      <w:bookmarkStart w:name="C3_3_2" w:id="5173"/>
      <w:r>
        <w:t xml:space="preserve">3.3.2 Réponse en base de couche bitumineuse</w:t>
      </w:r>
      <w:bookmarkEnd w:id="5173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Montre la quasi-insensibilité de ε_xx en base (≈ 2 %) à la forme de l'empreinte. Discute les implications pour les critères de dimensionnement actuels.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guides de dimensionnement (STAC, FAA).</w:t>
      </w:r>
    </w:p>
    <w:p>
      <w:pPr>
        <w:pStyle w:val="Heading3"/>
      </w:pPr>
      <w:bookmarkStart w:name="C3_3_3" w:id="5174"/>
      <w:r>
        <w:t xml:space="preserve">3.3.3 Comparaison élastique / viscoélastique</w:t>
      </w:r>
      <w:bookmarkEnd w:id="5174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Quantifie l'apport du comportement viscoélastique et discute le module élastique équivalent (point à trancher : 11 670 ou 14 877 MPa).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comparant calculs élastiques et viscoélastiques.</w:t>
      </w:r>
    </w:p>
    <w:p>
      <w:pPr>
        <w:pStyle w:val="Heading2"/>
      </w:pPr>
      <w:bookmarkStart w:name="C3_4" w:id="5175"/>
      <w:r>
        <w:t xml:space="preserve">3.4 Conséquences sur la durée de vie</w:t>
      </w:r>
      <w:bookmarkEnd w:id="5175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Traduis les écarts de sollicitation en écarts de durée de vie.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lois de fatigue STAC/LCPC, articles de fatigue.</w:t>
      </w:r>
    </w:p>
    <w:p>
      <w:pPr>
        <w:pStyle w:val="Heading3"/>
      </w:pPr>
      <w:bookmarkStart w:name="C3_4_1" w:id="5176"/>
      <w:r>
        <w:t xml:space="preserve">3.4.1 Lois d'endommagement utilisées</w:t>
      </w:r>
      <w:bookmarkEnd w:id="5176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les lois de fatigue et leurs hypothèses, en précisant leur domaine de validité.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guides STAC/LCPC, NF EN 12697-24.</w:t>
      </w:r>
    </w:p>
    <w:p>
      <w:pPr>
        <w:pStyle w:val="Heading3"/>
      </w:pPr>
      <w:bookmarkStart w:name="C3_4_2" w:id="5177"/>
      <w:r>
        <w:t xml:space="preserve">3.4.2 Sensibilité de la durée de vie au profil de pression</w:t>
      </w:r>
      <w:bookmarkEnd w:id="5177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la réduction de durée de vie (30 à 52 % pour le profil à pics d'épaulement) et sa sensibilité. Discute les limites (critère unique, matériau, surface lisse).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de sensibilité en dimensionnement.</w:t>
      </w:r>
    </w:p>
    <w:p>
      <w:pPr>
        <w:pStyle w:val="Heading2"/>
      </w:pPr>
      <w:bookmarkStart w:name="C3_synth" w:id="5178"/>
      <w:r>
        <w:t xml:space="preserve">Synthèse du chapitre</w:t>
      </w:r>
      <w:bookmarkEnd w:id="5178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Résume les résultats clés et leurs limites, qui motivent les chapitres 4 (coût de calcul, généralisation), 5 (texture) et 6 (validation expérimentale).</w:t>
      </w:r>
    </w:p>
    <w:p>
      <w:bookmarkEnd w:id="5161"/>
    </w:p>
    <w:p>
      <w:pPr>
        <w:sectPr>
          <w:headerReference w:type="default" r:id="rId23"/>
          <w:headerReference w:type="first" r:id="rId24"/>
          <w:footerReference w:type="default" r:id="rId25"/>
          <w:footerReference w:type="first" r:id="rId26"/>
          <w:type w:val="nextPage"/>
          <w:pgSz w:w="11906" w:h="16838" w:orient="portrait"/>
          <w:pgMar w:top="1418" w:right="1418" w:bottom="1418" w:left="1418" w:header="708" w:footer="708" w:gutter="0"/>
          <w:pgNumType w:fmt="decimal"/>
          <w:titlePg/>
          <w:docGrid w:linePitch="360"/>
        </w:sectPr>
      </w:pPr>
    </w:p>
    <w:p>
      <w:pPr>
        <w:pStyle w:val="Heading1"/>
      </w:pPr>
      <w:bookmarkStart w:name="CHAP_4" w:id="5179"/>
      <w:r>
        <w:t xml:space="preserve">Chapitre 4 – Code semi-analytique spectral : implémentation, validation et études paramétriques</w:t>
      </w:r>
    </w:p>
    <w:p>
      <w:pPr>
        <w:pStyle w:val="TitreHorsTDM"/>
      </w:pPr>
      <w:r>
        <w:t xml:space="preserve">Sommaire du chapitre</w:t>
      </w:r>
    </w:p>
    <w:p>
      <w:pPr>
        <w:pStyle w:val="SommaireChapitre"/>
        <w:numPr>
          <w:ilvl w:val="0"/>
          <w:numId w:val="2"/>
        </w:numPr>
      </w:pPr>
      <w:hyperlink w:history="1" w:anchor="C4_intro">
        <w:r>
          <w:rPr>
            <w:b/>
            <w:bCs/>
            <w:color w:val="1F3864"/>
          </w:rPr>
          <w:t xml:space="preserve">Introduction du chapitre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4_1">
        <w:r>
          <w:rPr>
            <w:b/>
            <w:bCs/>
            <w:color w:val="1F3864"/>
          </w:rPr>
          <w:t xml:space="preserve">4.1 Implémentation numérique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4_1_1">
        <w:r>
          <w:rPr>
            <w:b w:val="false"/>
            <w:bCs w:val="false"/>
            <w:color w:val="262626"/>
          </w:rPr>
          <w:t xml:space="preserve">4.1.1 Discrétisation spectrale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4_1_2">
        <w:r>
          <w:rPr>
            <w:b w:val="false"/>
            <w:bCs w:val="false"/>
            <w:color w:val="262626"/>
          </w:rPr>
          <w:t xml:space="preserve">4.1.2 Résolution couche par couche et transformée inverse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4_1_3">
        <w:r>
          <w:rPr>
            <w:b w:val="false"/>
            <w:bCs w:val="false"/>
            <w:color w:val="262626"/>
          </w:rPr>
          <w:t xml:space="preserve">4.1.3 Architecture logicielle et notice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4_2">
        <w:r>
          <w:rPr>
            <w:b/>
            <w:bCs/>
            <w:color w:val="1F3864"/>
          </w:rPr>
          <w:t xml:space="preserve">4.2 Vérification et validation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4_2_1">
        <w:r>
          <w:rPr>
            <w:b w:val="false"/>
            <w:bCs w:val="false"/>
            <w:color w:val="262626"/>
          </w:rPr>
          <w:t xml:space="preserve">4.2.1 Cas analytiques élastiques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4_2_2">
        <w:r>
          <w:rPr>
            <w:b w:val="false"/>
            <w:bCs w:val="false"/>
            <w:color w:val="262626"/>
          </w:rPr>
          <w:t xml:space="preserve">4.2.2 Comparaison au modèle éléments finis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4_2_3">
        <w:r>
          <w:rPr>
            <w:b w:val="false"/>
            <w:bCs w:val="false"/>
            <w:color w:val="262626"/>
          </w:rPr>
          <w:t xml:space="preserve">4.2.3 Comparaison à un outil semi-analytique existant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4_3">
        <w:r>
          <w:rPr>
            <w:b/>
            <w:bCs/>
            <w:color w:val="1F3864"/>
          </w:rPr>
          <w:t xml:space="preserve">4.3 Études paramétriques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4_3_1">
        <w:r>
          <w:rPr>
            <w:b w:val="false"/>
            <w:bCs w:val="false"/>
            <w:color w:val="262626"/>
          </w:rPr>
          <w:t xml:space="preserve">4.3.1 Vitesse de roulage et température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4_3_2">
        <w:r>
          <w:rPr>
            <w:b w:val="false"/>
            <w:bCs w:val="false"/>
            <w:color w:val="262626"/>
          </w:rPr>
          <w:t xml:space="preserve">4.3.2 Forme et paramètres de l'empreinte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4_3_3">
        <w:r>
          <w:rPr>
            <w:b w:val="false"/>
            <w:bCs w:val="false"/>
            <w:color w:val="262626"/>
          </w:rPr>
          <w:t xml:space="preserve">4.3.3 Configurations de trains d'atterrissage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4_4">
        <w:r>
          <w:rPr>
            <w:b/>
            <w:bCs/>
            <w:color w:val="1F3864"/>
          </w:rPr>
          <w:t xml:space="preserve">4.4 Performances et domaine de validité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4_synth">
        <w:r>
          <w:rPr>
            <w:b/>
            <w:bCs/>
            <w:color w:val="1F3864"/>
          </w:rPr>
          <w:t xml:space="preserve">Synthèse du chapitre</w:t>
        </w:r>
      </w:hyperlink>
    </w:p>
    <w:p>
      <w:pPr>
        <w:pStyle w:val="Consigne"/>
      </w:pPr>
      <w:r>
        <w:rPr>
          <w:b/>
          <w:bCs/>
        </w:rPr>
        <w:t xml:space="preserve">Mini-sommaire cliquable (Ctrl+clic). </w:t>
      </w:r>
      <w:r>
        <w:t xml:space="preserve">À mettre à jour à la main si tu renommes un titre — ou à remplacer par un sommaire automatique : Insertion &gt; QuickPart &gt; Champ… &gt; TOC, code de champ { TOC \b CHAP_4 \o "2-3" \h \z } (le signet CHAP_4 couvre déjà tout le chapitre).</w:t>
      </w:r>
    </w:p>
    <w:p>
      <w:pPr>
        <w:pStyle w:val="Heading2"/>
      </w:pPr>
      <w:bookmarkStart w:name="C4_intro" w:id="5180"/>
      <w:r>
        <w:t xml:space="preserve">Introduction du chapitre</w:t>
      </w:r>
      <w:bookmarkEnd w:id="5180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l'objectif : un outil maison rapide, documenté et vérifié, qui implémente le formalisme du chapitre 2.</w:t>
      </w:r>
    </w:p>
    <w:p>
      <w:pPr>
        <w:pStyle w:val="Heading2"/>
      </w:pPr>
      <w:bookmarkStart w:name="C4_1" w:id="5181"/>
      <w:r>
        <w:t xml:space="preserve">4.1 Implémentation numérique</w:t>
      </w:r>
      <w:bookmarkEnd w:id="5181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Décris l'architecture du code de façon à permettre sa reproduction.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ouvrages de méthodes numériques (FFT, quadratures), documentation NumPy/SciPy.</w:t>
      </w:r>
    </w:p>
    <w:p>
      <w:pPr>
        <w:pStyle w:val="Heading3"/>
      </w:pPr>
      <w:bookmarkStart w:name="C4_1_1" w:id="5182"/>
      <w:r>
        <w:t xml:space="preserve">4.1.1 Discrétisation spectrale</w:t>
      </w:r>
      <w:bookmarkEnd w:id="5182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Justifie les grilles en nombre d'onde, la taille de domaine et le fenêtrage. Traite le repliement et le phénomène de Gibbs.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ouvrages de traitement du signal, articles sur la FFT en mécanique des chaussées.</w:t>
      </w:r>
    </w:p>
    <w:p>
      <w:pPr>
        <w:pStyle w:val="Heading3"/>
      </w:pPr>
      <w:bookmarkStart w:name="C4_1_2" w:id="5183"/>
      <w:r>
        <w:t xml:space="preserve">4.1.2 Résolution couche par couche et transformée inverse</w:t>
      </w:r>
      <w:bookmarkEnd w:id="5183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Décris l'assemblage, la résolution et l'inversion (FFT 2D ou transformée de Hankel selon la symétrie). Précise les techniques de stabilisation.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méthodologiques (Kausel, méthodes de rigidité stables).</w:t>
      </w:r>
    </w:p>
    <w:p>
      <w:pPr>
        <w:pStyle w:val="Heading3"/>
      </w:pPr>
      <w:bookmarkStart w:name="C4_1_3" w:id="5184"/>
      <w:r>
        <w:t xml:space="preserve">4.1.3 Architecture logicielle et notice</w:t>
      </w:r>
      <w:bookmarkEnd w:id="5184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la structure du code, les tests unitaires et la notice mathématique (renvoyée en annexe A).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pas de source ; renvoi à l'annexe.</w:t>
      </w:r>
    </w:p>
    <w:p>
      <w:pPr>
        <w:pStyle w:val="Heading2"/>
      </w:pPr>
      <w:bookmarkStart w:name="C4_2" w:id="5185"/>
      <w:r>
        <w:t xml:space="preserve">4.2 Vérification et validation</w:t>
      </w:r>
      <w:bookmarkEnd w:id="5185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Établis la confiance dans le code par une hiérarchie de cas tests, du plus simple au plus représentatif.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solutions de référence publiées.</w:t>
      </w:r>
    </w:p>
    <w:p>
      <w:pPr>
        <w:pStyle w:val="Heading3"/>
      </w:pPr>
      <w:bookmarkStart w:name="C4_2_1" w:id="5186"/>
      <w:r>
        <w:t xml:space="preserve">4.2.1 Cas analytiques élastiques</w:t>
      </w:r>
      <w:bookmarkEnd w:id="5186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Compare à Boussinesq et à Burmister (Alizé) sous charge circulaire uniforme.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Burmister, documentation Alizé, Huang.</w:t>
      </w:r>
    </w:p>
    <w:p>
      <w:pPr>
        <w:pStyle w:val="Heading3"/>
      </w:pPr>
      <w:bookmarkStart w:name="C4_2_2" w:id="5187"/>
      <w:r>
        <w:t xml:space="preserve">4.2.2 Comparaison au modèle éléments finis</w:t>
      </w:r>
      <w:bookmarkEnd w:id="5187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Confronte le code aux résultats COMSOL du chapitre 3 pour les trois empreintes, en viscoélastique.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tes résultats du chapitre 3.</w:t>
      </w:r>
    </w:p>
    <w:p>
      <w:pPr>
        <w:pStyle w:val="Heading3"/>
      </w:pPr>
      <w:bookmarkStart w:name="C4_2_3" w:id="5188"/>
      <w:r>
        <w:t xml:space="preserve">4.2.3 Comparaison à un outil semi-analytique existant</w:t>
      </w:r>
      <w:bookmarkEnd w:id="5188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Si l'outil est accessible, compare à ViscoRoute ou à un code équivalent sur un cas publié.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ViscoRoute (Chabot, Duhamel et al.).</w:t>
      </w:r>
    </w:p>
    <w:p>
      <w:pPr>
        <w:pStyle w:val="Heading2"/>
      </w:pPr>
      <w:bookmarkStart w:name="C4_3" w:id="5189"/>
      <w:r>
        <w:t xml:space="preserve">4.3 Études paramétriques</w:t>
      </w:r>
      <w:bookmarkEnd w:id="5189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Exploite la rapidité du code pour balayer l'espace des paramètres.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données STAC sur le trafic et le climat.</w:t>
      </w:r>
    </w:p>
    <w:p>
      <w:pPr>
        <w:pStyle w:val="Heading3"/>
      </w:pPr>
      <w:bookmarkStart w:name="C4_3_1" w:id="5190"/>
      <w:r>
        <w:t xml:space="preserve">4.3.1 Vitesse de roulage et température</w:t>
      </w:r>
      <w:bookmarkEnd w:id="5190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Étudie l'effet couplé vitesse/température via l'équivalence temps-température, notamment pour les zones de circulation lente.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rapports STAC, articles sur les effets de vitesse.</w:t>
      </w:r>
    </w:p>
    <w:p>
      <w:pPr>
        <w:pStyle w:val="Heading3"/>
      </w:pPr>
      <w:bookmarkStart w:name="C4_3_2" w:id="5191"/>
      <w:r>
        <w:t xml:space="preserve">4.3.2 Forme et paramètres de l'empreinte</w:t>
      </w:r>
      <w:bookmarkEnd w:id="5191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Fais varier amplitude, position et largeur des pics du profil M, et identifie les paramètres les plus influents.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De Beer et al., rapport HTPT Airbus.</w:t>
      </w:r>
    </w:p>
    <w:p>
      <w:pPr>
        <w:pStyle w:val="Heading3"/>
      </w:pPr>
      <w:bookmarkStart w:name="C4_3_3" w:id="5192"/>
      <w:r>
        <w:t xml:space="preserve">4.3.3 Configurations de trains d'atterrissage</w:t>
      </w:r>
      <w:bookmarkEnd w:id="5192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Compare plusieurs avions (A340, A380, B777…) et l'interaction entre roues.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caractéristiques avions des constructeurs, documentation OACI ACR-PCR.</w:t>
      </w:r>
    </w:p>
    <w:p>
      <w:pPr>
        <w:pStyle w:val="Heading2"/>
      </w:pPr>
      <w:bookmarkStart w:name="C4_4" w:id="5193"/>
      <w:r>
        <w:t xml:space="preserve">4.4 Performances et domaine de validité</w:t>
      </w:r>
      <w:bookmarkEnd w:id="5193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Quantifie le temps de calcul et la précision par rapport aux éléments finis. Liste les limites (linéarité, interfaces, extension latérale infinie).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comparant le coût des méthodes de calcul de chaussées.</w:t>
      </w:r>
    </w:p>
    <w:p>
      <w:pPr>
        <w:pStyle w:val="Heading2"/>
      </w:pPr>
      <w:bookmarkStart w:name="C4_synth" w:id="5194"/>
      <w:r>
        <w:t xml:space="preserve">Synthèse du chapitre</w:t>
      </w:r>
      <w:bookmarkEnd w:id="5194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Conclus sur la validité du code et sur ce qu'il permet que les éléments finis ne permettent pas aisément (balayages paramétriques, lecture théorique des résultats).</w:t>
      </w:r>
    </w:p>
    <w:p>
      <w:bookmarkEnd w:id="5179"/>
    </w:p>
    <w:p>
      <w:pPr>
        <w:sectPr>
          <w:headerReference w:type="default" r:id="rId27"/>
          <w:headerReference w:type="first" r:id="rId28"/>
          <w:footerReference w:type="default" r:id="rId29"/>
          <w:footerReference w:type="first" r:id="rId30"/>
          <w:type w:val="nextPage"/>
          <w:pgSz w:w="11906" w:h="16838" w:orient="portrait"/>
          <w:pgMar w:top="1418" w:right="1418" w:bottom="1418" w:left="1418" w:header="708" w:footer="708" w:gutter="0"/>
          <w:pgNumType w:fmt="decimal"/>
          <w:titlePg/>
          <w:docGrid w:linePitch="360"/>
        </w:sectPr>
      </w:pPr>
    </w:p>
    <w:p>
      <w:pPr>
        <w:pStyle w:val="Heading1"/>
      </w:pPr>
      <w:bookmarkStart w:name="CHAP_5" w:id="5195"/>
      <w:r>
        <w:t xml:space="preserve">Chapitre 5 – Influence de la texture de surface sur la réponse mécanique proche de la surface</w:t>
      </w:r>
    </w:p>
    <w:p>
      <w:pPr>
        <w:pStyle w:val="TitreHorsTDM"/>
      </w:pPr>
      <w:r>
        <w:t xml:space="preserve">Sommaire du chapitre</w:t>
      </w:r>
    </w:p>
    <w:p>
      <w:pPr>
        <w:pStyle w:val="SommaireChapitre"/>
        <w:numPr>
          <w:ilvl w:val="0"/>
          <w:numId w:val="2"/>
        </w:numPr>
      </w:pPr>
      <w:hyperlink w:history="1" w:anchor="C5_intro">
        <w:r>
          <w:rPr>
            <w:b/>
            <w:bCs/>
            <w:color w:val="1F3864"/>
          </w:rPr>
          <w:t xml:space="preserve">Introduction du chapitre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5_1">
        <w:r>
          <w:rPr>
            <w:b/>
            <w:bCs/>
            <w:color w:val="1F3864"/>
          </w:rPr>
          <w:t xml:space="preserve">5.1 Caractérisation de la texture des surfaces aéronautiques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5_1_1">
        <w:r>
          <w:rPr>
            <w:b w:val="false"/>
            <w:bCs w:val="false"/>
            <w:color w:val="262626"/>
          </w:rPr>
          <w:t xml:space="preserve">5.1.1 Grandeurs descriptives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5_1_2">
        <w:r>
          <w:rPr>
            <w:b w:val="false"/>
            <w:bCs w:val="false"/>
            <w:color w:val="262626"/>
          </w:rPr>
          <w:t xml:space="preserve">5.1.2 Rainurage des pistes et données disponibles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5_2">
        <w:r>
          <w:rPr>
            <w:b/>
            <w:bCs/>
            <w:color w:val="1F3864"/>
          </w:rPr>
          <w:t xml:space="preserve">5.2 Modélisation du contact pneumatique-texture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5_2_1">
        <w:r>
          <w:rPr>
            <w:b w:val="false"/>
            <w:bCs w:val="false"/>
            <w:color w:val="262626"/>
          </w:rPr>
          <w:t xml:space="preserve">5.2.1 Théories du contact rugueux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5_2_2">
        <w:r>
          <w:rPr>
            <w:b w:val="false"/>
            <w:bCs w:val="false"/>
            <w:color w:val="262626"/>
          </w:rPr>
          <w:t xml:space="preserve">5.2.2 Couplage empreinte globale / texture locale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5_3">
        <w:r>
          <w:rPr>
            <w:b/>
            <w:bCs/>
            <w:color w:val="1F3864"/>
          </w:rPr>
          <w:t xml:space="preserve">5.3 Réponse mécanique près de la surface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5_3_1">
        <w:r>
          <w:rPr>
            <w:b w:val="false"/>
            <w:bCs w:val="false"/>
            <w:color w:val="262626"/>
          </w:rPr>
          <w:t xml:space="preserve">5.3.1 Comparaison surface lisse / surface texturée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5_3_2">
        <w:r>
          <w:rPr>
            <w:b w:val="false"/>
            <w:bCs w:val="false"/>
            <w:color w:val="262626"/>
          </w:rPr>
          <w:t xml:space="preserve">5.3.2 Conséquences pour la fissuration en surface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5_synth">
        <w:r>
          <w:rPr>
            <w:b/>
            <w:bCs/>
            <w:color w:val="1F3864"/>
          </w:rPr>
          <w:t xml:space="preserve">Synthèse du chapitre</w:t>
        </w:r>
      </w:hyperlink>
    </w:p>
    <w:p>
      <w:pPr>
        <w:pStyle w:val="Consigne"/>
      </w:pPr>
      <w:r>
        <w:rPr>
          <w:b/>
          <w:bCs/>
        </w:rPr>
        <w:t xml:space="preserve">Mini-sommaire cliquable (Ctrl+clic). </w:t>
      </w:r>
      <w:r>
        <w:t xml:space="preserve">À mettre à jour à la main si tu renommes un titre — ou à remplacer par un sommaire automatique : Insertion &gt; QuickPart &gt; Champ… &gt; TOC, code de champ { TOC \b CHAP_5 \o "2-3" \h \z } (le signet CHAP_5 couvre déjà tout le chapitre).</w:t>
      </w:r>
    </w:p>
    <w:p>
      <w:pPr>
        <w:pStyle w:val="Heading2"/>
      </w:pPr>
      <w:bookmarkStart w:name="C5_intro" w:id="5196"/>
      <w:r>
        <w:t xml:space="preserve">Introduction du chapitre</w:t>
      </w:r>
      <w:bookmarkEnd w:id="5196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Pose l'hypothèse de travail : une surface texturée est plus défavorable, près de la surface, que la surface lisse supposée au TFE.</w:t>
      </w:r>
    </w:p>
    <w:p>
      <w:pPr>
        <w:pStyle w:val="Heading2"/>
      </w:pPr>
      <w:bookmarkStart w:name="C5_1" w:id="5197"/>
      <w:r>
        <w:t xml:space="preserve">5.1 Caractérisation de la texture des surfaces aéronautiques</w:t>
      </w:r>
      <w:bookmarkEnd w:id="5197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Décris la texture comme une donnée d'entrée mécanique.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normes, rapports STAC, articles de métrologie de surface.</w:t>
      </w:r>
    </w:p>
    <w:p>
      <w:pPr>
        <w:pStyle w:val="Heading3"/>
      </w:pPr>
      <w:bookmarkStart w:name="C5_1_1" w:id="5198"/>
      <w:r>
        <w:t xml:space="preserve">5.1.1 Grandeurs descriptives</w:t>
      </w:r>
      <w:bookmarkEnd w:id="5198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Définis la MPD, la profondeur moyenne de texture et les spectres de rugosité (densité spectrale de puissance), ainsi que leur mesure par profilométrie laser.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ISO 13473-1 et -2, articles de caractérisation de texture.</w:t>
      </w:r>
    </w:p>
    <w:p>
      <w:pPr>
        <w:pStyle w:val="Heading3"/>
      </w:pPr>
      <w:bookmarkStart w:name="C5_1_2" w:id="5199"/>
      <w:r>
        <w:t xml:space="preserve">5.1.2 Rainurage des pistes et données disponibles</w:t>
      </w:r>
      <w:bookmarkEnd w:id="5199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le rainurage (géométrie, objectifs d'adhérence) et les données de texture accessibles via le STAC.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circulaires FAA sur le rainurage, documents STAC sur l'adhérence.</w:t>
      </w:r>
    </w:p>
    <w:p>
      <w:pPr>
        <w:pStyle w:val="Heading2"/>
      </w:pPr>
      <w:bookmarkStart w:name="C5_2" w:id="5200"/>
      <w:r>
        <w:t xml:space="preserve">5.2 Modélisation du contact pneumatique-texture</w:t>
      </w:r>
      <w:bookmarkEnd w:id="5200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Construis la modélisation à deux échelles.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littérature sur le contact rugueux et la tribologie.</w:t>
      </w:r>
    </w:p>
    <w:p>
      <w:pPr>
        <w:pStyle w:val="Heading3"/>
      </w:pPr>
      <w:bookmarkStart w:name="C5_2_1" w:id="5201"/>
      <w:r>
        <w:t xml:space="preserve">5.2.1 Théories du contact rugueux</w:t>
      </w:r>
      <w:bookmarkEnd w:id="5201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Compare Greenwood-Williamson, Persson et les approches numériques (éléments de frontière). Choisis la plus adaptée aux échelles en jeu.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Greenwood &amp; Williamson (1966), Persson (2001), Johnson (1985).</w:t>
      </w:r>
    </w:p>
    <w:p>
      <w:pPr>
        <w:pStyle w:val="Heading3"/>
      </w:pPr>
      <w:bookmarkStart w:name="C5_2_2" w:id="5202"/>
      <w:r>
        <w:t xml:space="preserve">5.2.2 Couplage empreinte globale / texture locale</w:t>
      </w:r>
      <w:bookmarkEnd w:id="5202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Formule le couplage entre l'empreinte globale (profil M) et la redistribution locale des pressions par la texture (étude « niveau 1 »).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multi-échelles sur le contact pneu-chaussée (bruit, adhérence).</w:t>
      </w:r>
    </w:p>
    <w:p>
      <w:pPr>
        <w:pStyle w:val="Heading2"/>
      </w:pPr>
      <w:bookmarkStart w:name="C5_3" w:id="5203"/>
      <w:r>
        <w:t xml:space="preserve">5.3 Réponse mécanique près de la surface</w:t>
      </w:r>
      <w:bookmarkEnd w:id="5203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Évalue l'effet de la texture sur les champs mécaniques avec le code semi-analytique.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tes résultats ; articles sur les contraintes en surface.</w:t>
      </w:r>
    </w:p>
    <w:p>
      <w:pPr>
        <w:pStyle w:val="Heading3"/>
      </w:pPr>
      <w:bookmarkStart w:name="C5_3_1" w:id="5204"/>
      <w:r>
        <w:t xml:space="preserve">5.3.1 Comparaison surface lisse / surface texturée</w:t>
      </w:r>
      <w:bookmarkEnd w:id="5204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Compare aux résultats du TFE et du chapitre 3 à charge égale, et quantifie les concentrations locales.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résultats des chapitres 3 et 4.</w:t>
      </w:r>
    </w:p>
    <w:p>
      <w:pPr>
        <w:pStyle w:val="Heading3"/>
      </w:pPr>
      <w:bookmarkStart w:name="C5_3_2" w:id="5205"/>
      <w:r>
        <w:t xml:space="preserve">5.3.2 Conséquences pour la fissuration en surface</w:t>
      </w:r>
      <w:bookmarkEnd w:id="5205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Discute les implications pour le top-down cracking et l'arrachement, ainsi que la profondeur d'influence de la texture.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sur la fissuration de surface et le désenrobage.</w:t>
      </w:r>
    </w:p>
    <w:p>
      <w:pPr>
        <w:pStyle w:val="Heading2"/>
      </w:pPr>
      <w:bookmarkStart w:name="C5_synth" w:id="5206"/>
      <w:r>
        <w:t xml:space="preserve">Synthèse du chapitre</w:t>
      </w:r>
      <w:bookmarkEnd w:id="5206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Conclus sur la nécessité de prendre en compte la texture et sur la profondeur au-delà de laquelle son effet devient négligeable.</w:t>
      </w:r>
    </w:p>
    <w:p>
      <w:bookmarkEnd w:id="5195"/>
    </w:p>
    <w:p>
      <w:pPr>
        <w:sectPr>
          <w:headerReference w:type="default" r:id="rId31"/>
          <w:headerReference w:type="first" r:id="rId32"/>
          <w:footerReference w:type="default" r:id="rId33"/>
          <w:footerReference w:type="first" r:id="rId34"/>
          <w:type w:val="nextPage"/>
          <w:pgSz w:w="11906" w:h="16838" w:orient="portrait"/>
          <w:pgMar w:top="1418" w:right="1418" w:bottom="1418" w:left="1418" w:header="708" w:footer="708" w:gutter="0"/>
          <w:pgNumType w:fmt="decimal"/>
          <w:titlePg/>
          <w:docGrid w:linePitch="360"/>
        </w:sectPr>
      </w:pPr>
    </w:p>
    <w:p>
      <w:pPr>
        <w:pStyle w:val="Heading1"/>
      </w:pPr>
      <w:bookmarkStart w:name="CHAP_6" w:id="5207"/>
      <w:r>
        <w:t xml:space="preserve">Chapitre 6 – Campagne expérimentale de fatigue sous chemins de chargement représentatifs (banc 2T3C)</w:t>
      </w:r>
    </w:p>
    <w:p>
      <w:pPr>
        <w:pStyle w:val="TitreHorsTDM"/>
      </w:pPr>
      <w:r>
        <w:t xml:space="preserve">Sommaire du chapitre</w:t>
      </w:r>
    </w:p>
    <w:p>
      <w:pPr>
        <w:pStyle w:val="SommaireChapitre"/>
        <w:numPr>
          <w:ilvl w:val="0"/>
          <w:numId w:val="2"/>
        </w:numPr>
      </w:pPr>
      <w:hyperlink w:history="1" w:anchor="C6_intro">
        <w:r>
          <w:rPr>
            <w:b/>
            <w:bCs/>
            <w:color w:val="1F3864"/>
          </w:rPr>
          <w:t xml:space="preserve">Introduction du chapitre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6_1">
        <w:r>
          <w:rPr>
            <w:b/>
            <w:bCs/>
            <w:color w:val="1F3864"/>
          </w:rPr>
          <w:t xml:space="preserve">6.1 Des modèles à l'essai : définition des chemins de chargement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6_1_1">
        <w:r>
          <w:rPr>
            <w:b w:val="false"/>
            <w:bCs w:val="false"/>
            <w:color w:val="262626"/>
          </w:rPr>
          <w:t xml:space="preserve">6.1.1 Extraction des chemins de chargement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6_1_2">
        <w:r>
          <w:rPr>
            <w:b w:val="false"/>
            <w:bCs w:val="false"/>
            <w:color w:val="262626"/>
          </w:rPr>
          <w:t xml:space="preserve">6.1.2 Apport des mesures in situ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6_1_3">
        <w:r>
          <w:rPr>
            <w:b w:val="false"/>
            <w:bCs w:val="false"/>
            <w:color w:val="262626"/>
          </w:rPr>
          <w:t xml:space="preserve">6.1.3 Traduction en consignes d'essai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6_2">
        <w:r>
          <w:rPr>
            <w:b/>
            <w:bCs/>
            <w:color w:val="1F3864"/>
          </w:rPr>
          <w:t xml:space="preserve">6.2 Dispositif expérimental et matériaux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6_2_1">
        <w:r>
          <w:rPr>
            <w:b w:val="false"/>
            <w:bCs w:val="false"/>
            <w:color w:val="262626"/>
          </w:rPr>
          <w:t xml:space="preserve">6.2.1 Le banc 2T3C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6_2_2">
        <w:r>
          <w:rPr>
            <w:b w:val="false"/>
            <w:bCs w:val="false"/>
            <w:color w:val="262626"/>
          </w:rPr>
          <w:t xml:space="preserve">6.2.2 Matériau et éprouvettes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6_3">
        <w:r>
          <w:rPr>
            <w:b/>
            <w:bCs/>
            <w:color w:val="1F3864"/>
          </w:rPr>
          <w:t xml:space="preserve">6.3 Programme expérimental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6_4">
        <w:r>
          <w:rPr>
            <w:b/>
            <w:bCs/>
            <w:color w:val="1F3864"/>
          </w:rPr>
          <w:t xml:space="preserve">6.4 Résultats et analyse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6_4_1">
        <w:r>
          <w:rPr>
            <w:b w:val="false"/>
            <w:bCs w:val="false"/>
            <w:color w:val="262626"/>
          </w:rPr>
          <w:t xml:space="preserve">6.4.1 Linéarité et évolution du module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6_4_2">
        <w:r>
          <w:rPr>
            <w:b w:val="false"/>
            <w:bCs w:val="false"/>
            <w:color w:val="262626"/>
          </w:rPr>
          <w:t xml:space="preserve">6.4.2 Durées de vie et critères de rupture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6_4_3">
        <w:r>
          <w:rPr>
            <w:b w:val="false"/>
            <w:bCs w:val="false"/>
            <w:color w:val="262626"/>
          </w:rPr>
          <w:t xml:space="preserve">6.4.3 Effet du chemin de chargement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6_synth">
        <w:r>
          <w:rPr>
            <w:b/>
            <w:bCs/>
            <w:color w:val="1F3864"/>
          </w:rPr>
          <w:t xml:space="preserve">Synthèse du chapitre</w:t>
        </w:r>
      </w:hyperlink>
    </w:p>
    <w:p>
      <w:pPr>
        <w:pStyle w:val="Consigne"/>
      </w:pPr>
      <w:r>
        <w:rPr>
          <w:b/>
          <w:bCs/>
        </w:rPr>
        <w:t xml:space="preserve">Mini-sommaire cliquable (Ctrl+clic). </w:t>
      </w:r>
      <w:r>
        <w:t xml:space="preserve">À mettre à jour à la main si tu renommes un titre — ou à remplacer par un sommaire automatique : Insertion &gt; QuickPart &gt; Champ… &gt; TOC, code de champ { TOC \b CHAP_6 \o "2-3" \h \z } (le signet CHAP_6 couvre déjà tout le chapitre).</w:t>
      </w:r>
    </w:p>
    <w:p>
      <w:pPr>
        <w:pStyle w:val="Heading2"/>
      </w:pPr>
      <w:bookmarkStart w:name="C6_intro" w:id="5208"/>
      <w:r>
        <w:t xml:space="preserve">Introduction du chapitre</w:t>
      </w:r>
      <w:bookmarkEnd w:id="5208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la logique : confronter à l'expérience les chemins de chargement issus des modèles, en fatigue multiaxiale.</w:t>
      </w:r>
    </w:p>
    <w:p>
      <w:pPr>
        <w:pStyle w:val="Heading2"/>
      </w:pPr>
      <w:bookmarkStart w:name="C6_1" w:id="5209"/>
      <w:r>
        <w:t xml:space="preserve">6.1 Des modèles à l'essai : définition des chemins de chargement</w:t>
      </w:r>
      <w:bookmarkEnd w:id="5209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Établis comment les sollicitations calculées deviennent des consignes d'essai.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sur la fatigue multiaxiale et les chemins de chargement.</w:t>
      </w:r>
    </w:p>
    <w:p>
      <w:pPr>
        <w:pStyle w:val="Heading3"/>
      </w:pPr>
      <w:bookmarkStart w:name="C6_1_1" w:id="5210"/>
      <w:r>
        <w:t xml:space="preserve">6.1.1 Extraction des chemins de chargement</w:t>
      </w:r>
      <w:bookmarkEnd w:id="5210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Extrais des modèles (COMSOL, semi-analytique) l'évolution des tenseurs et des cercles de Mohr au passage d'un bogie.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résultats des chapitres 3 à 5.</w:t>
      </w:r>
    </w:p>
    <w:p>
      <w:pPr>
        <w:pStyle w:val="Heading3"/>
      </w:pPr>
      <w:bookmarkStart w:name="C6_1_2" w:id="5211"/>
      <w:r>
        <w:t xml:space="preserve">6.1.2 Apport des mesures in situ</w:t>
      </w:r>
      <w:bookmarkEnd w:id="5211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Intègre, si elles sont disponibles, les données de planches instrumentées du STAC pour valider les chemins calculés.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rapports d'instrumentation STAC (diffusion à vérifier), articles sur les pistes instrumentées.</w:t>
      </w:r>
    </w:p>
    <w:p>
      <w:pPr>
        <w:pStyle w:val="Heading3"/>
      </w:pPr>
      <w:bookmarkStart w:name="C6_1_3" w:id="5212"/>
      <w:r>
        <w:t xml:space="preserve">6.1.3 Traduction en consignes d'essai</w:t>
      </w:r>
      <w:bookmarkEnd w:id="5212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Convertis les chemins en consignes couplées torsion / traction-compression sur cylindre creux, dans les limites du banc.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thèses et articles sur le banc 2T3C (ENTPE).</w:t>
      </w:r>
    </w:p>
    <w:p>
      <w:pPr>
        <w:pStyle w:val="Heading2"/>
      </w:pPr>
      <w:bookmarkStart w:name="C6_2" w:id="5213"/>
      <w:r>
        <w:t xml:space="preserve">6.2 Dispositif expérimental et matériaux</w:t>
      </w:r>
      <w:bookmarkEnd w:id="5213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Décris le banc, le matériau et la préparation des éprouvettes.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normes NF EN 12697, thèses LTDS.</w:t>
      </w:r>
    </w:p>
    <w:p>
      <w:pPr>
        <w:pStyle w:val="Heading3"/>
      </w:pPr>
      <w:bookmarkStart w:name="C6_2_1" w:id="5214"/>
      <w:r>
        <w:t xml:space="preserve">6.2.1 Le banc 2T3C</w:t>
      </w:r>
      <w:bookmarkEnd w:id="5214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le principe (torsion et traction-compression sur cylindre creux), la métrologie et le pilotage.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thèses et articles ENTPE/LTDS sur le 2T3C.</w:t>
      </w:r>
    </w:p>
    <w:p>
      <w:pPr>
        <w:pStyle w:val="Heading3"/>
      </w:pPr>
      <w:bookmarkStart w:name="C6_2_2" w:id="5215"/>
      <w:r>
        <w:t xml:space="preserve">6.2.2 Matériau et éprouvettes</w:t>
      </w:r>
      <w:bookmarkEnd w:id="5215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Décris la formulation, la fabrication des éprouvettes monocouches et la caractérisation préalable du module complexe (calage 2S2P1D).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NF EN 12697-26 et -33, Olard &amp; Di Benedetto (2003).</w:t>
      </w:r>
    </w:p>
    <w:p>
      <w:pPr>
        <w:pStyle w:val="Heading2"/>
      </w:pPr>
      <w:bookmarkStart w:name="C6_3" w:id="5216"/>
      <w:r>
        <w:t xml:space="preserve">6.3 Programme expérimental</w:t>
      </w:r>
      <w:bookmarkEnd w:id="5216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le plan d'essais (chemins, niveaux, températures, fréquences, répétitions) et sa justification statistique.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sur les plans d'expérience en fatigue des enrobés.</w:t>
      </w:r>
    </w:p>
    <w:p>
      <w:pPr>
        <w:pStyle w:val="Heading2"/>
      </w:pPr>
      <w:bookmarkStart w:name="C6_4" w:id="5217"/>
      <w:r>
        <w:t xml:space="preserve">6.4 Résultats et analyse</w:t>
      </w:r>
      <w:bookmarkEnd w:id="5217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Analyse les essais en lien avec les prédictions numériques.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travaux fatigue LTDS, articles de fatigue multiaxiale.</w:t>
      </w:r>
    </w:p>
    <w:p>
      <w:pPr>
        <w:pStyle w:val="Heading3"/>
      </w:pPr>
      <w:bookmarkStart w:name="C6_4_1" w:id="5218"/>
      <w:r>
        <w:t xml:space="preserve">6.4.1 Linéarité et évolution du module</w:t>
      </w:r>
      <w:bookmarkEnd w:id="5218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Analyse l'évolution du module complexe au cours des essais, en distinguant la fatigue des effets biaisants (échauffement, thixotropie).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travaux du groupe Di Benedetto sur les effets biaisants.</w:t>
      </w:r>
    </w:p>
    <w:p>
      <w:pPr>
        <w:pStyle w:val="Heading3"/>
      </w:pPr>
      <w:bookmarkStart w:name="C6_4_2" w:id="5219"/>
      <w:r>
        <w:t xml:space="preserve">6.4.2 Durées de vie et critères de rupture</w:t>
      </w:r>
      <w:bookmarkEnd w:id="5219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les durées de vie selon les critères retenus et leur dispersion.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NF EN 12697-24, articles sur les critères de rupture.</w:t>
      </w:r>
    </w:p>
    <w:p>
      <w:pPr>
        <w:pStyle w:val="Heading3"/>
      </w:pPr>
      <w:bookmarkStart w:name="C6_4_3" w:id="5220"/>
      <w:r>
        <w:t xml:space="preserve">6.4.3 Effet du chemin de chargement</w:t>
      </w:r>
      <w:bookmarkEnd w:id="5220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Compare chemins uniaxiaux et multiaxiaux, et confronte aux prédictions des chapitres 3 et 4.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de fatigue multiaxiale (enrobés, et métaux pour les critères).</w:t>
      </w:r>
    </w:p>
    <w:p>
      <w:pPr>
        <w:pStyle w:val="Heading2"/>
      </w:pPr>
      <w:bookmarkStart w:name="C6_synth" w:id="5221"/>
      <w:r>
        <w:t xml:space="preserve">Synthèse du chapitre</w:t>
      </w:r>
      <w:bookmarkEnd w:id="5221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Conclus sur la validation expérimentale et sur la pertinence des critères de dimensionnement actuels face aux chemins de chargement réels.</w:t>
      </w:r>
    </w:p>
    <w:p>
      <w:bookmarkEnd w:id="5207"/>
    </w:p>
    <w:p>
      <w:pPr>
        <w:sectPr>
          <w:headerReference w:type="default" r:id="rId35"/>
          <w:headerReference w:type="first" r:id="rId36"/>
          <w:footerReference w:type="default" r:id="rId37"/>
          <w:footerReference w:type="first" r:id="rId38"/>
          <w:type w:val="nextPage"/>
          <w:pgSz w:w="11906" w:h="16838" w:orient="portrait"/>
          <w:pgMar w:top="1418" w:right="1418" w:bottom="1418" w:left="1418" w:header="708" w:footer="708" w:gutter="0"/>
          <w:pgNumType w:fmt="decimal"/>
          <w:titlePg/>
          <w:docGrid w:linePitch="360"/>
        </w:sectPr>
      </w:pPr>
    </w:p>
    <w:p>
      <w:pPr>
        <w:pStyle w:val="Heading1"/>
      </w:pPr>
      <w:bookmarkStart w:name="CHAP_7" w:id="5222"/>
      <w:r>
        <w:t xml:space="preserve">Chapitre 7 – Implications pour le dimensionnement des chaussées aéronautiques</w:t>
      </w:r>
    </w:p>
    <w:p>
      <w:pPr>
        <w:pStyle w:val="TitreHorsTDM"/>
      </w:pPr>
      <w:r>
        <w:t xml:space="preserve">Sommaire du chapitre</w:t>
      </w:r>
    </w:p>
    <w:p>
      <w:pPr>
        <w:pStyle w:val="SommaireChapitre"/>
        <w:numPr>
          <w:ilvl w:val="0"/>
          <w:numId w:val="2"/>
        </w:numPr>
      </w:pPr>
      <w:hyperlink w:history="1" w:anchor="C7_intro">
        <w:r>
          <w:rPr>
            <w:b/>
            <w:bCs/>
            <w:color w:val="1F3864"/>
          </w:rPr>
          <w:t xml:space="preserve">Introduction du chapitre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7_1">
        <w:r>
          <w:rPr>
            <w:b/>
            <w:bCs/>
            <w:color w:val="1F3864"/>
          </w:rPr>
          <w:t xml:space="preserve">7.1 Confrontation des approches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7_1_1">
        <w:r>
          <w:rPr>
            <w:b w:val="false"/>
            <w:bCs w:val="false"/>
            <w:color w:val="262626"/>
          </w:rPr>
          <w:t xml:space="preserve">7.1.1 Cohérence des résultats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7_1_2">
        <w:r>
          <w:rPr>
            <w:b w:val="false"/>
            <w:bCs w:val="false"/>
            <w:color w:val="262626"/>
          </w:rPr>
          <w:t xml:space="preserve">7.1.2 Domaine d'emploi de chaque outil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7_2">
        <w:r>
          <w:rPr>
            <w:b/>
            <w:bCs/>
            <w:color w:val="1F3864"/>
          </w:rPr>
          <w:t xml:space="preserve">7.2 Prise en compte de l'empreinte réelle dans le dimensionnement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7_2_1">
        <w:r>
          <w:rPr>
            <w:b w:val="false"/>
            <w:bCs w:val="false"/>
            <w:color w:val="262626"/>
          </w:rPr>
          <w:t xml:space="preserve">7.2.1 Proposition méthodologique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7_2_2">
        <w:r>
          <w:rPr>
            <w:b w:val="false"/>
            <w:bCs w:val="false"/>
            <w:color w:val="262626"/>
          </w:rPr>
          <w:t xml:space="preserve">7.2.2 Application à des structures de pistes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7_3">
        <w:r>
          <w:rPr>
            <w:b/>
            <w:bCs/>
            <w:color w:val="1F3864"/>
          </w:rPr>
          <w:t xml:space="preserve">7.3 Limites et recommandations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7_synth">
        <w:r>
          <w:rPr>
            <w:b/>
            <w:bCs/>
            <w:color w:val="1F3864"/>
          </w:rPr>
          <w:t xml:space="preserve">Synthèse du chapitre</w:t>
        </w:r>
      </w:hyperlink>
    </w:p>
    <w:p>
      <w:pPr>
        <w:pStyle w:val="Consigne"/>
      </w:pPr>
      <w:r>
        <w:rPr>
          <w:b/>
          <w:bCs/>
        </w:rPr>
        <w:t xml:space="preserve">Mini-sommaire cliquable (Ctrl+clic). </w:t>
      </w:r>
      <w:r>
        <w:t xml:space="preserve">À mettre à jour à la main si tu renommes un titre — ou à remplacer par un sommaire automatique : Insertion &gt; QuickPart &gt; Champ… &gt; TOC, code de champ { TOC \b CHAP_7 \o "2-3" \h \z } (le signet CHAP_7 couvre déjà tout le chapitre).</w:t>
      </w:r>
    </w:p>
    <w:p>
      <w:pPr>
        <w:pStyle w:val="Heading2"/>
      </w:pPr>
      <w:bookmarkStart w:name="C7_intro" w:id="5223"/>
      <w:r>
        <w:t xml:space="preserve">Introduction du chapitre</w:t>
      </w:r>
      <w:bookmarkEnd w:id="5223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Prépare la valorisation auprès du STAC : traduire les résultats en éléments opérationnels.</w:t>
      </w:r>
    </w:p>
    <w:p>
      <w:pPr>
        <w:pStyle w:val="Heading2"/>
      </w:pPr>
      <w:bookmarkStart w:name="C7_1" w:id="5224"/>
      <w:r>
        <w:t xml:space="preserve">7.1 Confrontation des approches</w:t>
      </w:r>
      <w:bookmarkEnd w:id="5224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Compare éléments finis, semi-analytique et expérience : convergences, écarts, domaines d'usage.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tes chapitres 3 à 6.</w:t>
      </w:r>
    </w:p>
    <w:p>
      <w:pPr>
        <w:pStyle w:val="Heading3"/>
      </w:pPr>
      <w:bookmarkStart w:name="C7_1_1" w:id="5225"/>
      <w:r>
        <w:t xml:space="preserve">7.1.1 Cohérence des résultats</w:t>
      </w:r>
      <w:bookmarkEnd w:id="5225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un tableau croisé des grandeurs clés obtenues par chaque approche.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aucune source nouvelle.</w:t>
      </w:r>
    </w:p>
    <w:p>
      <w:pPr>
        <w:pStyle w:val="Heading3"/>
      </w:pPr>
      <w:bookmarkStart w:name="C7_1_2" w:id="5226"/>
      <w:r>
        <w:t xml:space="preserve">7.1.2 Domaine d'emploi de chaque outil</w:t>
      </w:r>
      <w:bookmarkEnd w:id="5226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Recommande l'outil adapté selon la question posée (étude, expertise, dimensionnement).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guides STAC.</w:t>
      </w:r>
    </w:p>
    <w:p>
      <w:pPr>
        <w:pStyle w:val="Heading2"/>
      </w:pPr>
      <w:bookmarkStart w:name="C7_2" w:id="5227"/>
      <w:r>
        <w:t xml:space="preserve">7.2 Prise en compte de l'empreinte réelle dans le dimensionnement</w:t>
      </w:r>
      <w:bookmarkEnd w:id="5227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Propose une méthode : coefficient correcteur, empreinte normalisée ou nouveau critère en surface.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guides STAC et FAA, articles sur l'évolution des méthodes (ACR-PCR).</w:t>
      </w:r>
    </w:p>
    <w:p>
      <w:pPr>
        <w:pStyle w:val="Heading3"/>
      </w:pPr>
      <w:bookmarkStart w:name="C7_2_1" w:id="5228"/>
      <w:r>
        <w:t xml:space="preserve">7.2.1 Proposition méthodologique</w:t>
      </w:r>
      <w:bookmarkEnd w:id="5228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Décris la méthode proposée et ses données d'entrée.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guides de dimensionnement.</w:t>
      </w:r>
    </w:p>
    <w:p>
      <w:pPr>
        <w:pStyle w:val="Heading3"/>
      </w:pPr>
      <w:bookmarkStart w:name="C7_2_2" w:id="5229"/>
      <w:r>
        <w:t xml:space="preserve">7.2.2 Application à des structures de pistes</w:t>
      </w:r>
      <w:bookmarkEnd w:id="5229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Applique la méthode à une ou deux structures types fournies par le STAC.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données STAC.</w:t>
      </w:r>
    </w:p>
    <w:p>
      <w:pPr>
        <w:pStyle w:val="Heading2"/>
      </w:pPr>
      <w:bookmarkStart w:name="C7_3" w:id="5230"/>
      <w:r>
        <w:t xml:space="preserve">7.3 Limites et recommandations</w:t>
      </w:r>
      <w:bookmarkEnd w:id="5230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Liste les limites de la démarche et les recommandations pratiques pour le STAC et les gestionnaires.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rapports STAC.</w:t>
      </w:r>
    </w:p>
    <w:p>
      <w:pPr>
        <w:pStyle w:val="Heading2"/>
      </w:pPr>
      <w:bookmarkStart w:name="C7_synth" w:id="5231"/>
      <w:r>
        <w:t xml:space="preserve">Synthèse du chapitre</w:t>
      </w:r>
      <w:bookmarkEnd w:id="5231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Synthétise l'apport opérationnel de la thèse pour le STAC et les gestionnaires d'aéroports.</w:t>
      </w:r>
    </w:p>
    <w:p>
      <w:bookmarkEnd w:id="5222"/>
    </w:p>
    <w:p>
      <w:pPr>
        <w:sectPr>
          <w:headerReference w:type="default" r:id="rId39"/>
          <w:headerReference w:type="first" r:id="rId40"/>
          <w:footerReference w:type="default" r:id="rId41"/>
          <w:footerReference w:type="first" r:id="rId42"/>
          <w:type w:val="nextPage"/>
          <w:pgSz w:w="11906" w:h="16838" w:orient="portrait"/>
          <w:pgMar w:top="1418" w:right="1418" w:bottom="1418" w:left="1418" w:header="708" w:footer="708" w:gutter="0"/>
          <w:pgNumType w:fmt="decimal"/>
          <w:titlePg/>
          <w:docGrid w:linePitch="360"/>
        </w:sectPr>
      </w:pPr>
    </w:p>
    <w:p>
      <w:pPr>
        <w:pStyle w:val="Heading1"/>
      </w:pPr>
      <w:bookmarkStart w:name="CHAP_CONCL" w:id="5232"/>
      <w:r>
        <w:t xml:space="preserve">Conclusion générale et perspectives</w:t>
      </w:r>
    </w:p>
    <w:p>
      <w:pPr>
        <w:pStyle w:val="TitreHorsTDM"/>
      </w:pPr>
      <w:r>
        <w:t xml:space="preserve">Sommaire du chapitre</w:t>
      </w:r>
    </w:p>
    <w:p>
      <w:pPr>
        <w:pStyle w:val="SommaireChapitre"/>
        <w:numPr>
          <w:ilvl w:val="0"/>
          <w:numId w:val="2"/>
        </w:numPr>
      </w:pPr>
      <w:hyperlink w:history="1" w:anchor="CCONCL_1">
        <w:r>
          <w:rPr>
            <w:b/>
            <w:bCs/>
            <w:color w:val="1F3864"/>
          </w:rPr>
          <w:t xml:space="preserve">Synthèse des résultats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CONCL_2">
        <w:r>
          <w:rPr>
            <w:b/>
            <w:bCs/>
            <w:color w:val="1F3864"/>
          </w:rPr>
          <w:t xml:space="preserve">Contributions de la thèse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CONCL_3">
        <w:r>
          <w:rPr>
            <w:b/>
            <w:bCs/>
            <w:color w:val="1F3864"/>
          </w:rPr>
          <w:t xml:space="preserve">Perspectives</w:t>
        </w:r>
      </w:hyperlink>
    </w:p>
    <w:p>
      <w:pPr>
        <w:pStyle w:val="Consigne"/>
      </w:pPr>
      <w:r>
        <w:rPr>
          <w:b/>
          <w:bCs/>
        </w:rPr>
        <w:t xml:space="preserve">Mini-sommaire cliquable (Ctrl+clic). </w:t>
      </w:r>
      <w:r>
        <w:t xml:space="preserve">À mettre à jour à la main si tu renommes un titre — ou à remplacer par un sommaire automatique : Insertion &gt; QuickPart &gt; Champ… &gt; TOC, code de champ { TOC \b CHAP_CONCL \o "2-3" \h \z } (le signet CHAP_CONCL couvre déjà tout le chapitre).</w:t>
      </w:r>
    </w:p>
    <w:p>
      <w:pPr>
        <w:pStyle w:val="Heading2"/>
      </w:pPr>
      <w:bookmarkStart w:name="CCONCL_1" w:id="5233"/>
      <w:r>
        <w:t xml:space="preserve">Synthèse des résultats</w:t>
      </w:r>
      <w:bookmarkEnd w:id="5233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Reprends les questions de recherche de l'introduction et réponds-y une par une, avec les chiffres clés.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aucune source nouvelle ; renvois internes aux chapitres.</w:t>
      </w:r>
    </w:p>
    <w:p>
      <w:pPr>
        <w:pStyle w:val="Heading2"/>
      </w:pPr>
      <w:bookmarkStart w:name="CCONCL_2" w:id="5234"/>
      <w:r>
        <w:t xml:space="preserve">Contributions de la thèse</w:t>
      </w:r>
      <w:bookmarkEnd w:id="5234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Distingue les apports théorique (formulation spectrale), numérique (code, référence éléments finis) et expérimental (fatigue sous chemins réels).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tes publications (saisies dans Zotero).</w:t>
      </w:r>
    </w:p>
    <w:p>
      <w:pPr>
        <w:pStyle w:val="Heading2"/>
      </w:pPr>
      <w:bookmarkStart w:name="CCONCL_3" w:id="5235"/>
      <w:r>
        <w:t xml:space="preserve">Perspectives</w:t>
      </w:r>
      <w:bookmarkEnd w:id="5235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Ouvre sur les suites : non-linéarités, autres matériaux, couplage thermique, intégration dans les outils du STAC.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quelques articles récents ouvrant ces pistes.</w:t>
      </w:r>
    </w:p>
    <w:p>
      <w:bookmarkEnd w:id="5232"/>
    </w:p>
    <w:p>
      <w:pPr>
        <w:sectPr>
          <w:headerReference w:type="default" r:id="rId43"/>
          <w:headerReference w:type="first" r:id="rId44"/>
          <w:footerReference w:type="default" r:id="rId45"/>
          <w:footerReference w:type="first" r:id="rId46"/>
          <w:type w:val="nextPage"/>
          <w:pgSz w:w="11906" w:h="16838" w:orient="portrait"/>
          <w:pgMar w:top="1418" w:right="1418" w:bottom="1418" w:left="1418" w:header="708" w:footer="708" w:gutter="0"/>
          <w:pgNumType w:fmt="decimal"/>
          <w:titlePg/>
          <w:docGrid w:linePitch="360"/>
        </w:sectPr>
      </w:pPr>
    </w:p>
    <w:p>
      <w:pPr>
        <w:pStyle w:val="Heading1"/>
      </w:pPr>
      <w:r>
        <w:t xml:space="preserve">Références bibliographiques</w:t>
      </w:r>
    </w:p>
    <w:p>
      <w:pPr>
        <w:pStyle w:val="Consigne"/>
      </w:pPr>
      <w:r>
        <w:rPr>
          <w:b/>
          <w:bCs/>
        </w:rPr>
        <w:t xml:space="preserve">Zotero : </w:t>
      </w:r>
      <w:r>
        <w:t xml:space="preserve">place le curseur ici puis Zotero &gt; Add/Edit Bibliography. Avant cela, règle une seule fois Zotero &gt; Document Preferences sur le style choisi (le même que dans les chapitres), puis Refresh après chaque fusion.</w:t>
      </w:r>
    </w:p>
    <w:p>
      <w:pPr>
        <w:sectPr>
          <w:headerReference w:type="default" r:id="rId47"/>
          <w:headerReference w:type="first" r:id="rId48"/>
          <w:footerReference w:type="default" r:id="rId49"/>
          <w:footerReference w:type="first" r:id="rId50"/>
          <w:type w:val="nextPage"/>
          <w:pgSz w:w="11906" w:h="16838" w:orient="portrait"/>
          <w:pgMar w:top="1418" w:right="1418" w:bottom="1418" w:left="1418" w:header="708" w:footer="708" w:gutter="0"/>
          <w:pgNumType w:fmt="decimal"/>
          <w:titlePg/>
          <w:docGrid w:linePitch="360"/>
        </w:sectPr>
      </w:pPr>
    </w:p>
    <w:p>
      <w:pPr>
        <w:pStyle w:val="Heading1"/>
      </w:pPr>
      <w:bookmarkStart w:name="CHAP_ANNEX" w:id="5236"/>
      <w:r>
        <w:t xml:space="preserve">Annexes</w:t>
      </w:r>
    </w:p>
    <w:p>
      <w:pPr>
        <w:pStyle w:val="TitreHorsTDM"/>
      </w:pPr>
      <w:r>
        <w:t xml:space="preserve">Sommaire du chapitre</w:t>
      </w:r>
    </w:p>
    <w:p>
      <w:pPr>
        <w:pStyle w:val="SommaireChapitre"/>
        <w:numPr>
          <w:ilvl w:val="0"/>
          <w:numId w:val="2"/>
        </w:numPr>
      </w:pPr>
      <w:hyperlink w:history="1" w:anchor="CANNEX_1">
        <w:r>
          <w:rPr>
            <w:b/>
            <w:bCs/>
            <w:color w:val="1F3864"/>
          </w:rPr>
          <w:t xml:space="preserve">Annexe A – Notice mathématique du code semi-analytique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ANNEX_2">
        <w:r>
          <w:rPr>
            <w:b/>
            <w:bCs/>
            <w:color w:val="1F3864"/>
          </w:rPr>
          <w:t xml:space="preserve">Annexe B – Identification des paramètres KVG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ANNEX_3">
        <w:r>
          <w:rPr>
            <w:b/>
            <w:bCs/>
            <w:color w:val="1F3864"/>
          </w:rPr>
          <w:t xml:space="preserve">Annexe C – Données expérimentales</w:t>
        </w:r>
      </w:hyperlink>
    </w:p>
    <w:p>
      <w:pPr>
        <w:pStyle w:val="Consigne"/>
      </w:pPr>
      <w:r>
        <w:rPr>
          <w:b/>
          <w:bCs/>
        </w:rPr>
        <w:t xml:space="preserve">Mini-sommaire cliquable (Ctrl+clic). </w:t>
      </w:r>
      <w:r>
        <w:t xml:space="preserve">À mettre à jour à la main si tu renommes un titre — ou à remplacer par un sommaire automatique : Insertion &gt; QuickPart &gt; Champ… &gt; TOC, code de champ { TOC \b CHAP_ANNEX \o "2-3" \h \z } (le signet CHAP_ANNEX couvre déjà tout le chapitre).</w:t>
      </w:r>
    </w:p>
    <w:p>
      <w:pPr>
        <w:pStyle w:val="Heading2"/>
      </w:pPr>
      <w:bookmarkStart w:name="CANNEX_1" w:id="5237"/>
      <w:r>
        <w:t xml:space="preserve">Annexe A – Notice mathématique du code semi-analytique</w:t>
      </w:r>
      <w:bookmarkEnd w:id="5237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Formalisme complet, conventions, algorithme et vérifications : version longue du chapitre 2 et de la partie implémentation du chapitre 4.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mêmes références qu'aux chapitres 2 et 4.</w:t>
      </w:r>
    </w:p>
    <w:p>
      <w:pPr>
        <w:pStyle w:val="Heading2"/>
      </w:pPr>
      <w:bookmarkStart w:name="CANNEX_2" w:id="5238"/>
      <w:r>
        <w:t xml:space="preserve">Annexe B – Identification des paramètres KVG</w:t>
      </w:r>
      <w:bookmarkEnd w:id="5238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Démonstration détaillée, corrections apportées à Tiouajni et al. (2011), script SymPy et tableaux de paramètres.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Tiouajni et al. (2011).</w:t>
      </w:r>
    </w:p>
    <w:p>
      <w:pPr>
        <w:pStyle w:val="Heading2"/>
      </w:pPr>
      <w:bookmarkStart w:name="CANNEX_3" w:id="5239"/>
      <w:r>
        <w:t xml:space="preserve">Annexe C – Données expérimentales</w:t>
      </w:r>
      <w:bookmarkEnd w:id="5239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Fiches d'essais 2T3C, courbes maîtresses, paramètres 2S2P1D calés.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normes NF EN 12697.</w:t>
      </w:r>
    </w:p>
    <w:p>
      <w:bookmarkEnd w:id="5236"/>
    </w:p>
    <w:sectPr>
      <w:headerReference w:type="default" r:id="rId51"/>
      <w:headerReference w:type="first" r:id="rId52"/>
      <w:footerReference w:type="default" r:id="rId53"/>
      <w:footerReference w:type="first" r:id="rId54"/>
      <w:type w:val="nextPage"/>
      <w:pgSz w:w="11906" w:h="16838" w:orient="portrait"/>
      <w:pgMar w:top="1418" w:right="1418" w:bottom="1418" w:left="1418" w:header="708" w:footer="708" w:gutter="0"/>
      <w:pgNumType w:fmt="decimal"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ADB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Introduction générale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ADB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Chapitre 1 – État de l'art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ADB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Chapitre 2 – Cadre théorique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ADB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Chapitre 3 – Modélisation éléments finis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ADB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Chapitre 4 – Code semi-analytique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ADB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Chapitre 5 – Texture de surface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ADB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Chapitre 6 – Campagne expérimentale 2T3C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ADB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Chapitre 7 – Implications pour le dimensionnement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ADB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Conclusion générale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ADB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Références bibliographiques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ADB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Annexes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1F3864"/>
      </w:rPr>
    </w:lvl>
    <w:lvl w:ilvl="1" w15:tentative="1">
      <w:start w:val="1"/>
      <w:numFmt w:val="bullet"/>
      <w:lvlText w:val="–"/>
      <w:lvlJc w:val="left"/>
      <w:pPr>
        <w:ind w:left="880" w:hanging="260"/>
      </w:pPr>
      <w:rPr>
        <w:color w:val="2E5E8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  <w:lang w:val="fr-FR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20" w:line="276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864" w:sz="12" w:space="6"/>
      </w:pBdr>
      <w:spacing w:after="480" w:before="0" w:line="320"/>
      <w:jc w:val="left"/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60" w:before="400"/>
      <w:jc w:val="left"/>
      <w:outlineLvl w:val="1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20" w:before="280"/>
      <w:jc w:val="left"/>
      <w:outlineLvl w:val="2"/>
    </w:pPr>
    <w:rPr>
      <w:rFonts w:ascii="Calibri" w:cs="Calibri" w:eastAsia="Calibri" w:hAnsi="Calibri"/>
      <w:b/>
      <w:bCs/>
      <w:color w:val="2E5E8C"/>
      <w:sz w:val="25"/>
      <w:szCs w:val="25"/>
    </w:rPr>
  </w:style>
  <w:style w:type="paragraph" w:styleId="Consigne">
    <w:name w:val="Consigne de rédaction"/>
    <w:basedOn w:val="Normal"/>
    <w:next w:val="Normal"/>
    <w:qFormat/>
    <w:pPr>
      <w:pBdr>
        <w:left w:val="single" w:color="5B9BD5" w:sz="18" w:space="6"/>
      </w:pBdr>
      <w:shd w:fill="E8F0FA" w:color="auto" w:val="clear"/>
      <w:spacing w:after="80" w:before="40" w:line="252"/>
      <w:ind w:left="170"/>
      <w:jc w:val="left"/>
    </w:pPr>
    <w:rPr>
      <w:rFonts w:ascii="Calibri" w:cs="Calibri" w:eastAsia="Calibri" w:hAnsi="Calibri"/>
      <w:i/>
      <w:iCs/>
      <w:color w:val="1F4E79"/>
      <w:sz w:val="20"/>
      <w:szCs w:val="20"/>
    </w:rPr>
  </w:style>
  <w:style w:type="paragraph" w:styleId="TitreHorsTDM">
    <w:name w:val="Titre hors TDM"/>
    <w:basedOn w:val="Normal"/>
    <w:next w:val="Normal"/>
    <w:qFormat/>
    <w:pPr>
      <w:keepNext/>
      <w:pBdr>
        <w:bottom w:val="single" w:color="8EAADB" w:sz="4" w:space="3"/>
      </w:pBdr>
      <w:spacing w:after="120" w:before="240"/>
      <w:jc w:val="left"/>
    </w:pPr>
    <w:rPr>
      <w:rFonts w:ascii="Calibri" w:cs="Calibri" w:eastAsia="Calibri" w:hAnsi="Calibri"/>
      <w:b/>
      <w:bCs/>
      <w:smallCaps/>
      <w:color w:val="1F3864"/>
      <w:sz w:val="26"/>
      <w:szCs w:val="26"/>
    </w:rPr>
  </w:style>
  <w:style w:type="paragraph" w:styleId="SommaireChapitre">
    <w:name w:val="Sommaire chapitre"/>
    <w:basedOn w:val="Normal"/>
    <w:next w:val="SommaireChapitre"/>
    <w:qFormat/>
    <w:pPr>
      <w:spacing w:after="40" w:before="0" w:line="252"/>
      <w:jc w:val="left"/>
    </w:pPr>
    <w:rPr>
      <w:rFonts w:ascii="Calibri" w:cs="Calibri" w:eastAsia="Calibri" w:hAnsi="Calibri"/>
      <w:sz w:val="21"/>
      <w:szCs w:val="21"/>
    </w:rPr>
  </w:style>
  <w:style w:type="paragraph" w:styleId="PageTitre">
    <w:name w:val="Page de titre"/>
    <w:basedOn w:val="Normal"/>
    <w:next w:val="PageTitre"/>
    <w:pPr>
      <w:spacing w:after="160" w:line="320"/>
      <w:jc w:val="center"/>
    </w:pPr>
    <w:rPr>
      <w:rFonts w:ascii="Calibri" w:cs="Calibri" w:eastAsia="Calibri" w:hAnsi="Calibri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header" Target="header6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header" Target="header8.xml"/><Relationship Id="rId21" Type="http://schemas.openxmlformats.org/officeDocument/2006/relationships/footer" Target="footer7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header" Target="header10.xml"/><Relationship Id="rId25" Type="http://schemas.openxmlformats.org/officeDocument/2006/relationships/footer" Target="footer9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header" Target="header12.xml"/><Relationship Id="rId29" Type="http://schemas.openxmlformats.org/officeDocument/2006/relationships/footer" Target="footer11.xml"/><Relationship Id="rId30" Type="http://schemas.openxmlformats.org/officeDocument/2006/relationships/footer" Target="footer12.xml"/><Relationship Id="rId31" Type="http://schemas.openxmlformats.org/officeDocument/2006/relationships/header" Target="header13.xml"/><Relationship Id="rId32" Type="http://schemas.openxmlformats.org/officeDocument/2006/relationships/header" Target="header14.xml"/><Relationship Id="rId33" Type="http://schemas.openxmlformats.org/officeDocument/2006/relationships/footer" Target="footer13.xml"/><Relationship Id="rId34" Type="http://schemas.openxmlformats.org/officeDocument/2006/relationships/footer" Target="footer14.xml"/><Relationship Id="rId35" Type="http://schemas.openxmlformats.org/officeDocument/2006/relationships/header" Target="header15.xml"/><Relationship Id="rId36" Type="http://schemas.openxmlformats.org/officeDocument/2006/relationships/header" Target="header16.xml"/><Relationship Id="rId37" Type="http://schemas.openxmlformats.org/officeDocument/2006/relationships/footer" Target="footer15.xml"/><Relationship Id="rId38" Type="http://schemas.openxmlformats.org/officeDocument/2006/relationships/footer" Target="footer16.xml"/><Relationship Id="rId39" Type="http://schemas.openxmlformats.org/officeDocument/2006/relationships/header" Target="header17.xml"/><Relationship Id="rId40" Type="http://schemas.openxmlformats.org/officeDocument/2006/relationships/header" Target="header18.xml"/><Relationship Id="rId41" Type="http://schemas.openxmlformats.org/officeDocument/2006/relationships/footer" Target="footer17.xml"/><Relationship Id="rId42" Type="http://schemas.openxmlformats.org/officeDocument/2006/relationships/footer" Target="footer18.xml"/><Relationship Id="rId43" Type="http://schemas.openxmlformats.org/officeDocument/2006/relationships/header" Target="header19.xml"/><Relationship Id="rId44" Type="http://schemas.openxmlformats.org/officeDocument/2006/relationships/header" Target="header20.xml"/><Relationship Id="rId45" Type="http://schemas.openxmlformats.org/officeDocument/2006/relationships/footer" Target="footer19.xml"/><Relationship Id="rId46" Type="http://schemas.openxmlformats.org/officeDocument/2006/relationships/footer" Target="footer20.xml"/><Relationship Id="rId47" Type="http://schemas.openxmlformats.org/officeDocument/2006/relationships/header" Target="header21.xml"/><Relationship Id="rId48" Type="http://schemas.openxmlformats.org/officeDocument/2006/relationships/header" Target="header22.xml"/><Relationship Id="rId49" Type="http://schemas.openxmlformats.org/officeDocument/2006/relationships/footer" Target="footer21.xml"/><Relationship Id="rId50" Type="http://schemas.openxmlformats.org/officeDocument/2006/relationships/footer" Target="footer22.xml"/><Relationship Id="rId51" Type="http://schemas.openxmlformats.org/officeDocument/2006/relationships/header" Target="header23.xml"/><Relationship Id="rId52" Type="http://schemas.openxmlformats.org/officeDocument/2006/relationships/header" Target="header24.xml"/><Relationship Id="rId53" Type="http://schemas.openxmlformats.org/officeDocument/2006/relationships/footer" Target="footer23.xml"/><Relationship Id="rId54" Type="http://schemas.openxmlformats.org/officeDocument/2006/relationships/footer" Target="footer24.xml"/><Relationship Id="rId5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er19.xml.rels><?xml version="1.0" encoding="UTF-8"?><Relationships xmlns="http://schemas.openxmlformats.org/package/2006/relationships"/>
</file>

<file path=word/_rels/footer20.xml.rels><?xml version="1.0" encoding="UTF-8"?><Relationships xmlns="http://schemas.openxmlformats.org/package/2006/relationships"/>
</file>

<file path=word/_rels/footer21.xml.rels><?xml version="1.0" encoding="UTF-8"?><Relationships xmlns="http://schemas.openxmlformats.org/package/2006/relationships"/>
</file>

<file path=word/_rels/footer22.xml.rels><?xml version="1.0" encoding="UTF-8"?><Relationships xmlns="http://schemas.openxmlformats.org/package/2006/relationships"/>
</file>

<file path=word/_rels/footer23.xml.rels><?xml version="1.0" encoding="UTF-8"?><Relationships xmlns="http://schemas.openxmlformats.org/package/2006/relationships"/>
</file>

<file path=word/_rels/footer2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word/_rels/header15.xml.rels><?xml version="1.0" encoding="UTF-8"?><Relationships xmlns="http://schemas.openxmlformats.org/package/2006/relationships"/>
</file>

<file path=word/_rels/header16.xml.rels><?xml version="1.0" encoding="UTF-8"?><Relationships xmlns="http://schemas.openxmlformats.org/package/2006/relationships"/>
</file>

<file path=word/_rels/header17.xml.rels><?xml version="1.0" encoding="UTF-8"?><Relationships xmlns="http://schemas.openxmlformats.org/package/2006/relationships"/>
</file>

<file path=word/_rels/header18.xml.rels><?xml version="1.0" encoding="UTF-8"?><Relationships xmlns="http://schemas.openxmlformats.org/package/2006/relationships"/>
</file>

<file path=word/_rels/header19.xml.rels><?xml version="1.0" encoding="UTF-8"?><Relationships xmlns="http://schemas.openxmlformats.org/package/2006/relationships"/>
</file>

<file path=word/_rels/header20.xml.rels><?xml version="1.0" encoding="UTF-8"?><Relationships xmlns="http://schemas.openxmlformats.org/package/2006/relationships"/>
</file>

<file path=word/_rels/header21.xml.rels><?xml version="1.0" encoding="UTF-8"?><Relationships xmlns="http://schemas.openxmlformats.org/package/2006/relationships"/>
</file>

<file path=word/_rels/header22.xml.rels><?xml version="1.0" encoding="UTF-8"?><Relationships xmlns="http://schemas.openxmlformats.org/package/2006/relationships"/>
</file>

<file path=word/_rels/header23.xml.rels><?xml version="1.0" encoding="UTF-8"?><Relationships xmlns="http://schemas.openxmlformats.org/package/2006/relationships"/>
</file>

<file path=word/_rels/header2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Thèse – trame complète (aperçu)</dc:title>
  <dc:creator>Lucas DAVID</dc:creator>
  <cp:lastModifiedBy>Un-named</cp:lastModifiedBy>
  <cp:revision>1</cp:revision>
  <dcterms:created xsi:type="dcterms:W3CDTF">2026-10-05T08:09:58.795Z</dcterms:created>
  <dcterms:modified xsi:type="dcterms:W3CDTF">2026-10-05T08:09:58.795Z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