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B7E" w:rsidRPr="00923AF4" w:rsidRDefault="00890607" w:rsidP="00890607">
      <w:pPr>
        <w:jc w:val="center"/>
        <w:rPr>
          <w:rFonts w:ascii="Baskerville Old Face" w:hAnsi="Baskerville Old Face"/>
          <w:color w:val="FF0000"/>
          <w:sz w:val="96"/>
        </w:rPr>
      </w:pPr>
      <w:r w:rsidRPr="00923AF4">
        <w:rPr>
          <w:rFonts w:ascii="Baskerville Old Face" w:hAnsi="Baskerville Old Face"/>
          <w:color w:val="FF0000"/>
          <w:sz w:val="96"/>
        </w:rPr>
        <w:t>Cours de C#</w:t>
      </w:r>
    </w:p>
    <w:p w:rsidR="00890607" w:rsidRDefault="00923AF4" w:rsidP="00923AF4">
      <w:pPr>
        <w:jc w:val="right"/>
        <w:rPr>
          <w:rFonts w:ascii="Baskerville Old Face" w:hAnsi="Baskerville Old Face"/>
          <w:sz w:val="48"/>
        </w:rPr>
      </w:pPr>
      <w:r>
        <w:rPr>
          <w:rFonts w:ascii="Baskerville Old Face" w:hAnsi="Baskerville Old Face"/>
          <w:sz w:val="48"/>
        </w:rPr>
        <w:t>DENELE Lucas</w:t>
      </w:r>
      <w:r>
        <w:rPr>
          <w:rFonts w:ascii="Baskerville Old Face" w:hAnsi="Baskerville Old Face"/>
          <w:sz w:val="48"/>
        </w:rPr>
        <w:tab/>
      </w:r>
      <w:r>
        <w:rPr>
          <w:rFonts w:ascii="Baskerville Old Face" w:hAnsi="Baskerville Old Face"/>
          <w:sz w:val="48"/>
        </w:rPr>
        <w:tab/>
      </w:r>
      <w:r>
        <w:rPr>
          <w:rFonts w:ascii="Baskerville Old Face" w:hAnsi="Baskerville Old Face"/>
          <w:sz w:val="48"/>
        </w:rPr>
        <w:tab/>
      </w:r>
      <w:r>
        <w:rPr>
          <w:rFonts w:ascii="Baskerville Old Face" w:hAnsi="Baskerville Old Face"/>
          <w:sz w:val="48"/>
        </w:rPr>
        <w:tab/>
      </w:r>
      <w:r>
        <w:rPr>
          <w:rFonts w:ascii="Baskerville Old Face" w:hAnsi="Baskerville Old Face"/>
          <w:sz w:val="48"/>
        </w:rPr>
        <w:tab/>
        <w:t xml:space="preserve"> TABBARA Arnaud</w:t>
      </w:r>
    </w:p>
    <w:p w:rsidR="00923AF4" w:rsidRDefault="00923AF4" w:rsidP="00923AF4">
      <w:pPr>
        <w:jc w:val="right"/>
        <w:rPr>
          <w:rFonts w:ascii="Baskerville Old Face" w:hAnsi="Baskerville Old Face"/>
          <w:sz w:val="48"/>
        </w:rPr>
      </w:pPr>
      <w:r>
        <w:rPr>
          <w:rFonts w:ascii="Baskerville Old Face" w:hAnsi="Baskerville Old Face"/>
          <w:sz w:val="48"/>
        </w:rPr>
        <w:t>FONTAINE Maxime</w:t>
      </w:r>
      <w:r>
        <w:rPr>
          <w:rFonts w:ascii="Baskerville Old Face" w:hAnsi="Baskerville Old Face"/>
          <w:sz w:val="48"/>
        </w:rPr>
        <w:tab/>
        <w:t xml:space="preserve"> </w:t>
      </w:r>
      <w:r>
        <w:rPr>
          <w:rFonts w:ascii="Baskerville Old Face" w:hAnsi="Baskerville Old Face"/>
          <w:sz w:val="48"/>
        </w:rPr>
        <w:tab/>
      </w:r>
      <w:r>
        <w:rPr>
          <w:rFonts w:ascii="Baskerville Old Face" w:hAnsi="Baskerville Old Face"/>
          <w:sz w:val="48"/>
        </w:rPr>
        <w:tab/>
        <w:t xml:space="preserve">    CECCOTTI Romain</w:t>
      </w:r>
    </w:p>
    <w:p w:rsidR="00923AF4" w:rsidRDefault="00923AF4" w:rsidP="00923AF4">
      <w:pPr>
        <w:jc w:val="right"/>
        <w:rPr>
          <w:rFonts w:ascii="Baskerville Old Face" w:hAnsi="Baskerville Old Face"/>
          <w:sz w:val="40"/>
        </w:rPr>
      </w:pPr>
    </w:p>
    <w:p w:rsidR="003F137D" w:rsidRPr="005B045A" w:rsidRDefault="003F137D" w:rsidP="003F137D">
      <w:pPr>
        <w:rPr>
          <w:rFonts w:ascii="Baskerville Old Face" w:hAnsi="Baskerville Old Face"/>
          <w:sz w:val="40"/>
        </w:rPr>
      </w:pPr>
      <w:r>
        <w:rPr>
          <w:rFonts w:ascii="Baskerville Old Face" w:hAnsi="Baskerville Old Face"/>
          <w:sz w:val="48"/>
        </w:rPr>
        <w:t>Les génériques : Qu’est-ce que c’est ?</w:t>
      </w:r>
    </w:p>
    <w:p w:rsidR="005B045A" w:rsidRDefault="00923AF4" w:rsidP="003F137D">
      <w:pPr>
        <w:ind w:firstLine="708"/>
        <w:jc w:val="both"/>
        <w:rPr>
          <w:rFonts w:ascii="Baskerville Old Face" w:hAnsi="Baskerville Old Face"/>
          <w:sz w:val="28"/>
        </w:rPr>
      </w:pPr>
      <w:r w:rsidRPr="005B045A">
        <w:rPr>
          <w:rFonts w:ascii="Baskerville Old Face" w:hAnsi="Baskerville Old Face"/>
          <w:sz w:val="28"/>
        </w:rPr>
        <w:t>Les génériques sont une classe qui permet à l’utilisateur de définir des classes et méthodes avec un type non défini</w:t>
      </w:r>
      <w:r w:rsidR="00FA20BF" w:rsidRPr="005B045A">
        <w:rPr>
          <w:rFonts w:ascii="Baskerville Old Face" w:hAnsi="Baskerville Old Face"/>
          <w:sz w:val="28"/>
        </w:rPr>
        <w:t xml:space="preserve">. L’idée basique derrière l’utilisation des génériques c’est de permettre au type (Integer, String, etc. et les types définis par l’utilisateur) d’être un paramètre des méthodes, classes et interfaces. </w:t>
      </w:r>
    </w:p>
    <w:p w:rsidR="005B045A" w:rsidRDefault="003F137D" w:rsidP="003F137D">
      <w:pPr>
        <w:jc w:val="both"/>
        <w:rPr>
          <w:rFonts w:ascii="Baskerville Old Face" w:hAnsi="Baskerville Old Face"/>
          <w:sz w:val="28"/>
        </w:rPr>
      </w:pPr>
      <w:r>
        <w:rPr>
          <w:rFonts w:ascii="Baskerville Old Face" w:hAnsi="Baskerville Old Face"/>
          <w:sz w:val="48"/>
        </w:rPr>
        <w:t>Avantages</w:t>
      </w:r>
    </w:p>
    <w:p w:rsidR="00923AF4" w:rsidRPr="005B045A" w:rsidRDefault="00FA20BF" w:rsidP="003F137D">
      <w:pPr>
        <w:ind w:firstLine="708"/>
        <w:jc w:val="both"/>
        <w:rPr>
          <w:rFonts w:ascii="Baskerville Old Face" w:hAnsi="Baskerville Old Face"/>
          <w:sz w:val="28"/>
        </w:rPr>
      </w:pPr>
      <w:r w:rsidRPr="005B045A">
        <w:rPr>
          <w:rFonts w:ascii="Baskerville Old Face" w:hAnsi="Baskerville Old Face"/>
          <w:sz w:val="28"/>
        </w:rPr>
        <w:t xml:space="preserve">Une première limite des collections non génériques est l’absence d’une vérification-du-type efficace. Cela signifie que l’on peut mettre n’importe quel objet dans une collection car chaque classe en </w:t>
      </w:r>
      <w:r w:rsidR="005B045A" w:rsidRPr="005B045A">
        <w:rPr>
          <w:rFonts w:ascii="Baskerville Old Face" w:hAnsi="Baskerville Old Face"/>
          <w:sz w:val="28"/>
        </w:rPr>
        <w:t>C</w:t>
      </w:r>
      <w:r w:rsidRPr="005B045A">
        <w:rPr>
          <w:rFonts w:ascii="Baskerville Old Face" w:hAnsi="Baskerville Old Face"/>
          <w:sz w:val="28"/>
        </w:rPr>
        <w:t># héritent de la classe Objet de Base. Cela compromet la sécurité du type (type safety) et est contradictoire la définition de base du C# en tant que type-safe langage. De plus, utiliser les collections non génériques implique de grosses performances sous la forme d’implicites et explicites type casting, qui est requis pour ajouter ou récupérer un objet de la collection.</w:t>
      </w:r>
    </w:p>
    <w:p w:rsidR="00FA20BF" w:rsidRPr="005B045A" w:rsidRDefault="00FA20BF" w:rsidP="003F137D">
      <w:pPr>
        <w:jc w:val="both"/>
        <w:rPr>
          <w:rFonts w:ascii="Baskerville Old Face" w:hAnsi="Baskerville Old Face"/>
          <w:sz w:val="28"/>
        </w:rPr>
      </w:pPr>
      <w:r w:rsidRPr="005B045A">
        <w:rPr>
          <w:rFonts w:ascii="Baskerville Old Face" w:hAnsi="Baskerville Old Face"/>
          <w:sz w:val="28"/>
        </w:rPr>
        <w:t xml:space="preserve">Pour répondre </w:t>
      </w:r>
      <w:r w:rsidR="005B045A" w:rsidRPr="005B045A">
        <w:rPr>
          <w:rFonts w:ascii="Baskerville Old Face" w:hAnsi="Baskerville Old Face"/>
          <w:sz w:val="28"/>
        </w:rPr>
        <w:t>à</w:t>
      </w:r>
      <w:r w:rsidRPr="005B045A">
        <w:rPr>
          <w:rFonts w:ascii="Baskerville Old Face" w:hAnsi="Baskerville Old Face"/>
          <w:sz w:val="28"/>
        </w:rPr>
        <w:t xml:space="preserve"> ce problème le framework .NET fournit les génériques pour créer des classes, structures, interfaces et méthodes qui ont un type non défini et un emplacement pour le type qu’elles utilisent. Les génériques sont communément utilisés pour créer justement des collections génériques qui ont donc la propriété du type-safe.</w:t>
      </w:r>
    </w:p>
    <w:p w:rsidR="00FA20BF" w:rsidRPr="005B045A" w:rsidRDefault="00FA20BF" w:rsidP="003F137D">
      <w:pPr>
        <w:jc w:val="both"/>
        <w:rPr>
          <w:rFonts w:ascii="Baskerville Old Face" w:hAnsi="Baskerville Old Face"/>
          <w:sz w:val="28"/>
        </w:rPr>
      </w:pPr>
    </w:p>
    <w:p w:rsidR="00FA20BF" w:rsidRPr="005B045A" w:rsidRDefault="00FA20BF" w:rsidP="003F137D">
      <w:pPr>
        <w:ind w:firstLine="708"/>
        <w:jc w:val="both"/>
        <w:rPr>
          <w:rFonts w:ascii="Baskerville Old Face" w:hAnsi="Baskerville Old Face"/>
          <w:sz w:val="28"/>
        </w:rPr>
      </w:pPr>
      <w:r w:rsidRPr="005B045A">
        <w:rPr>
          <w:rFonts w:ascii="Baskerville Old Face" w:hAnsi="Baskerville Old Face"/>
          <w:sz w:val="28"/>
        </w:rPr>
        <w:t xml:space="preserve">Les génériques en C# sont </w:t>
      </w:r>
      <w:r w:rsidR="005B045A" w:rsidRPr="005B045A">
        <w:rPr>
          <w:rFonts w:ascii="Baskerville Old Face" w:hAnsi="Baskerville Old Face"/>
          <w:sz w:val="28"/>
        </w:rPr>
        <w:t>sa fonction la plus puissante. Le fait que les structures de données soient type-safe permet un remarquable boost de performance et du code de haute qualité, puisque cela permet de réutiliser les algorithmes de process de données sans devoir refaire du code. Les génériques sont similaires aux templates de C++ mais sont différents dans l’implémentation et leurs capacités. Les génériques introduisent le concept de type paramètre, grâce auquel il est possible de créer des méthodes et classes qui reportent la définition du type de données au moment où la classe ou la méthode sont déclarés et sont instanciées par le client code.</w:t>
      </w:r>
    </w:p>
    <w:p w:rsidR="005B045A" w:rsidRDefault="005B045A" w:rsidP="003F137D">
      <w:pPr>
        <w:jc w:val="both"/>
        <w:rPr>
          <w:rFonts w:ascii="Baskerville Old Face" w:hAnsi="Baskerville Old Face"/>
          <w:sz w:val="28"/>
        </w:rPr>
      </w:pPr>
      <w:r w:rsidRPr="005B045A">
        <w:rPr>
          <w:rFonts w:ascii="Baskerville Old Face" w:hAnsi="Baskerville Old Face"/>
          <w:sz w:val="28"/>
        </w:rPr>
        <w:t>Le type générique performe mieux que les systèmes normaux parce qu’ils retirent la nécessite de boxing-unboxing et de type casting pour les variables ou les objets.</w:t>
      </w:r>
    </w:p>
    <w:p w:rsidR="003F137D" w:rsidRDefault="003F137D" w:rsidP="00923AF4">
      <w:pPr>
        <w:rPr>
          <w:rFonts w:ascii="Baskerville Old Face" w:hAnsi="Baskerville Old Face"/>
          <w:sz w:val="48"/>
        </w:rPr>
      </w:pPr>
    </w:p>
    <w:p w:rsidR="003F137D" w:rsidRDefault="003F137D" w:rsidP="00351FF1">
      <w:pPr>
        <w:jc w:val="both"/>
        <w:rPr>
          <w:rFonts w:ascii="Baskerville Old Face" w:hAnsi="Baskerville Old Face"/>
          <w:sz w:val="28"/>
        </w:rPr>
      </w:pPr>
      <w:r>
        <w:rPr>
          <w:rFonts w:ascii="Baskerville Old Face" w:hAnsi="Baskerville Old Face"/>
          <w:sz w:val="48"/>
        </w:rPr>
        <w:t>Inconvénients</w:t>
      </w:r>
    </w:p>
    <w:p w:rsidR="005B045A" w:rsidRPr="005B045A" w:rsidRDefault="005B045A" w:rsidP="00351FF1">
      <w:pPr>
        <w:ind w:firstLine="708"/>
        <w:jc w:val="both"/>
        <w:rPr>
          <w:rFonts w:ascii="Baskerville Old Face" w:hAnsi="Baskerville Old Face"/>
          <w:sz w:val="28"/>
        </w:rPr>
      </w:pPr>
      <w:r>
        <w:rPr>
          <w:rFonts w:ascii="Baskerville Old Face" w:hAnsi="Baskerville Old Face"/>
          <w:sz w:val="28"/>
        </w:rPr>
        <w:t>L’inconvénient pourrait être l’ajout de complexité car ajout d’une nouvelle couche d’abstraction de paramétrages en plus de ceux existant. Comme tout puissant outil, il est inutile de l’utiliser pour des choses simples et ce serait une perte de temps, c’est un de ces inconvénients il peut être mal utilisé ou mal compris.</w:t>
      </w:r>
    </w:p>
    <w:p w:rsidR="00923AF4" w:rsidRDefault="00923AF4" w:rsidP="00351FF1">
      <w:pPr>
        <w:jc w:val="both"/>
        <w:rPr>
          <w:rFonts w:ascii="Baskerville Old Face" w:hAnsi="Baskerville Old Face"/>
          <w:sz w:val="40"/>
        </w:rPr>
      </w:pPr>
    </w:p>
    <w:p w:rsidR="003F137D" w:rsidRDefault="003F137D" w:rsidP="00351FF1">
      <w:pPr>
        <w:jc w:val="both"/>
        <w:rPr>
          <w:rFonts w:ascii="Baskerville Old Face" w:hAnsi="Baskerville Old Face"/>
          <w:sz w:val="48"/>
        </w:rPr>
      </w:pPr>
      <w:r>
        <w:rPr>
          <w:rFonts w:ascii="Baskerville Old Face" w:hAnsi="Baskerville Old Face"/>
          <w:sz w:val="48"/>
        </w:rPr>
        <w:t>Les génériques dans les collections</w:t>
      </w:r>
    </w:p>
    <w:p w:rsidR="003F137D" w:rsidRDefault="003F137D" w:rsidP="00351FF1">
      <w:pPr>
        <w:ind w:firstLine="708"/>
        <w:jc w:val="both"/>
        <w:rPr>
          <w:rFonts w:ascii="Baskerville Old Face" w:hAnsi="Baskerville Old Face"/>
          <w:sz w:val="28"/>
        </w:rPr>
      </w:pPr>
      <w:r>
        <w:rPr>
          <w:rFonts w:ascii="Baskerville Old Face" w:hAnsi="Baskerville Old Face"/>
          <w:sz w:val="28"/>
        </w:rPr>
        <w:t>La différence basique est que les collections génériques sont fortement typées alors que les non génériques ne le sont pas, sauf si elles ont été spécialement écrites pour n’accepter qu’un seul type de données.</w:t>
      </w:r>
      <w:r w:rsidR="00351FF1">
        <w:rPr>
          <w:rFonts w:ascii="Baskerville Old Face" w:hAnsi="Baskerville Old Face"/>
          <w:sz w:val="28"/>
        </w:rPr>
        <w:t xml:space="preserve"> </w:t>
      </w:r>
      <w:r>
        <w:rPr>
          <w:rFonts w:ascii="Baskerville Old Face" w:hAnsi="Baskerville Old Face"/>
          <w:sz w:val="28"/>
        </w:rPr>
        <w:t>Dans le Framework .NET, les collections non génériques (ArrayList, Hashtable, SortedList, Queue, etc.) stockent les éléments de façon interne dans des tableaux d’objet, qui, évidemment, peuvent stocker n’importe quel type de données.</w:t>
      </w:r>
      <w:r>
        <w:rPr>
          <w:rFonts w:ascii="Baskerville Old Face" w:hAnsi="Baskerville Old Face"/>
          <w:sz w:val="28"/>
        </w:rPr>
        <w:br/>
        <w:t>Cela signifie que, dans le cas de value-type (int, double, bool, char, etc.) il faut qu’il soit ‘boxed’ (mis en un objet) puis ensuite ‘unboxed’ (sorti de l’objet) quand on veut le récupérer de la collection, ce qui est une opération assez lente.</w:t>
      </w:r>
      <w:r w:rsidR="00351FF1">
        <w:rPr>
          <w:rFonts w:ascii="Baskerville Old Face" w:hAnsi="Baskerville Old Face"/>
          <w:sz w:val="28"/>
        </w:rPr>
        <w:t xml:space="preserve"> </w:t>
      </w:r>
      <w:r>
        <w:rPr>
          <w:rFonts w:ascii="Baskerville Old Face" w:hAnsi="Baskerville Old Face"/>
          <w:sz w:val="28"/>
        </w:rPr>
        <w:t>Même si cela n’est pas un problème pour les référence-types, il faut quand même les caster en tant que leur vrai type avant de pouvoir les utiliser.</w:t>
      </w:r>
    </w:p>
    <w:p w:rsidR="00351FF1" w:rsidRDefault="003F137D" w:rsidP="00351FF1">
      <w:pPr>
        <w:ind w:firstLine="708"/>
        <w:jc w:val="both"/>
        <w:rPr>
          <w:rFonts w:ascii="Baskerville Old Face" w:hAnsi="Baskerville Old Face"/>
          <w:sz w:val="28"/>
        </w:rPr>
      </w:pPr>
      <w:r>
        <w:rPr>
          <w:rFonts w:ascii="Baskerville Old Face" w:hAnsi="Baskerville Old Face"/>
          <w:sz w:val="28"/>
        </w:rPr>
        <w:t>Alors que de l’autre côté, les collections génériques (List&lt;T&gt;, Dictionary&lt;T, U&gt;, Queue&lt;T&gt;, etc.) stockent les élément</w:t>
      </w:r>
      <w:r w:rsidR="00351FF1">
        <w:rPr>
          <w:rFonts w:ascii="Baskerville Old Face" w:hAnsi="Baskerville Old Face"/>
          <w:sz w:val="28"/>
        </w:rPr>
        <w:t>s</w:t>
      </w:r>
      <w:r>
        <w:rPr>
          <w:rFonts w:ascii="Baskerville Old Face" w:hAnsi="Baskerville Old Face"/>
          <w:sz w:val="28"/>
        </w:rPr>
        <w:t xml:space="preserve"> de façon interne dans des tableaux de leur vrai type, donc aucun ‘boxing’, ‘unboxing’ ou ‘</w:t>
      </w:r>
      <w:proofErr w:type="spellStart"/>
      <w:r>
        <w:rPr>
          <w:rFonts w:ascii="Baskerville Old Face" w:hAnsi="Baskerville Old Face"/>
          <w:sz w:val="28"/>
        </w:rPr>
        <w:t>cast</w:t>
      </w:r>
      <w:proofErr w:type="spellEnd"/>
      <w:r>
        <w:rPr>
          <w:rFonts w:ascii="Baskerville Old Face" w:hAnsi="Baskerville Old Face"/>
          <w:sz w:val="28"/>
        </w:rPr>
        <w:t>’ ne sera jamais nécessaire.</w:t>
      </w:r>
      <w:r w:rsidR="00351FF1">
        <w:rPr>
          <w:rFonts w:ascii="Baskerville Old Face" w:hAnsi="Baskerville Old Face"/>
          <w:sz w:val="28"/>
        </w:rPr>
        <w:t xml:space="preserve"> Cela signifie que les collections génériques sont plus rapides que leurs homonymes non génériques lors de l’utilisation de value-type et plus pratiques lors de l’utilisation de référence type. Pour faire court, les non génériques sont maintenant virtuellement superflues.</w:t>
      </w:r>
    </w:p>
    <w:p w:rsidR="00351FF1" w:rsidRDefault="00351FF1" w:rsidP="003F137D">
      <w:pPr>
        <w:rPr>
          <w:rFonts w:ascii="Baskerville Old Face" w:hAnsi="Baskerville Old Face"/>
          <w:sz w:val="48"/>
        </w:rPr>
      </w:pPr>
    </w:p>
    <w:p w:rsidR="00351FF1" w:rsidRDefault="00351FF1" w:rsidP="003F137D">
      <w:pPr>
        <w:rPr>
          <w:rFonts w:ascii="Baskerville Old Face" w:hAnsi="Baskerville Old Face"/>
          <w:sz w:val="48"/>
        </w:rPr>
      </w:pPr>
    </w:p>
    <w:p w:rsidR="00351FF1" w:rsidRDefault="00351FF1" w:rsidP="003F137D">
      <w:pPr>
        <w:rPr>
          <w:rFonts w:ascii="Baskerville Old Face" w:hAnsi="Baskerville Old Face"/>
          <w:sz w:val="48"/>
        </w:rPr>
      </w:pPr>
    </w:p>
    <w:p w:rsidR="00351FF1" w:rsidRDefault="00351FF1" w:rsidP="003F137D">
      <w:pPr>
        <w:rPr>
          <w:rFonts w:ascii="Baskerville Old Face" w:hAnsi="Baskerville Old Face"/>
          <w:sz w:val="48"/>
        </w:rPr>
      </w:pPr>
    </w:p>
    <w:p w:rsidR="003F137D" w:rsidRDefault="00351FF1" w:rsidP="003F137D">
      <w:pPr>
        <w:rPr>
          <w:noProof/>
        </w:rPr>
      </w:pPr>
      <w:r w:rsidRPr="00351FF1">
        <w:rPr>
          <w:rFonts w:ascii="Baskerville Old Face" w:hAnsi="Baskerville Old Face"/>
          <w:sz w:val="40"/>
        </w:rPr>
        <w:lastRenderedPageBreak/>
        <w:drawing>
          <wp:anchor distT="0" distB="0" distL="114300" distR="114300" simplePos="0" relativeHeight="251659264" behindDoc="0" locked="0" layoutInCell="1" allowOverlap="1" wp14:anchorId="794C4784">
            <wp:simplePos x="0" y="0"/>
            <wp:positionH relativeFrom="page">
              <wp:align>right</wp:align>
            </wp:positionH>
            <wp:positionV relativeFrom="paragraph">
              <wp:posOffset>584200</wp:posOffset>
            </wp:positionV>
            <wp:extent cx="3909060" cy="2952750"/>
            <wp:effectExtent l="0" t="0" r="0" b="0"/>
            <wp:wrapSquare wrapText="bothSides"/>
            <wp:docPr id="4" name="Image 3">
              <a:extLst xmlns:a="http://schemas.openxmlformats.org/drawingml/2006/main">
                <a:ext uri="{FF2B5EF4-FFF2-40B4-BE49-F238E27FC236}">
                  <a16:creationId xmlns:a16="http://schemas.microsoft.com/office/drawing/2014/main" id="{4DFE6B0A-7D37-4424-B8CF-B95FCB0432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4DFE6B0A-7D37-4424-B8CF-B95FCB0432B7}"/>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909060" cy="2952750"/>
                    </a:xfrm>
                    <a:prstGeom prst="rect">
                      <a:avLst/>
                    </a:prstGeom>
                  </pic:spPr>
                </pic:pic>
              </a:graphicData>
            </a:graphic>
            <wp14:sizeRelH relativeFrom="margin">
              <wp14:pctWidth>0</wp14:pctWidth>
            </wp14:sizeRelH>
            <wp14:sizeRelV relativeFrom="margin">
              <wp14:pctHeight>0</wp14:pctHeight>
            </wp14:sizeRelV>
          </wp:anchor>
        </w:drawing>
      </w:r>
      <w:r w:rsidRPr="00351FF1">
        <w:rPr>
          <w:rFonts w:ascii="Baskerville Old Face" w:hAnsi="Baskerville Old Face"/>
          <w:sz w:val="48"/>
        </w:rPr>
        <w:drawing>
          <wp:anchor distT="0" distB="0" distL="114300" distR="114300" simplePos="0" relativeHeight="251658240" behindDoc="0" locked="0" layoutInCell="1" allowOverlap="1" wp14:anchorId="6182C51F">
            <wp:simplePos x="0" y="0"/>
            <wp:positionH relativeFrom="margin">
              <wp:posOffset>-342900</wp:posOffset>
            </wp:positionH>
            <wp:positionV relativeFrom="paragraph">
              <wp:posOffset>466725</wp:posOffset>
            </wp:positionV>
            <wp:extent cx="3392170" cy="3438525"/>
            <wp:effectExtent l="0" t="0" r="0" b="9525"/>
            <wp:wrapSquare wrapText="bothSides"/>
            <wp:docPr id="3" name="Image 2">
              <a:extLst xmlns:a="http://schemas.openxmlformats.org/drawingml/2006/main">
                <a:ext uri="{FF2B5EF4-FFF2-40B4-BE49-F238E27FC236}">
                  <a16:creationId xmlns:a16="http://schemas.microsoft.com/office/drawing/2014/main" id="{34C813EF-3FEF-432F-B1DC-71B91F888D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34C813EF-3FEF-432F-B1DC-71B91F888D46}"/>
                        </a:ext>
                      </a:extLst>
                    </pic:cNvPr>
                    <pic:cNvPicPr>
                      <a:picLocks noChangeAspect="1"/>
                    </pic:cNvPicPr>
                  </pic:nvPicPr>
                  <pic:blipFill rotWithShape="1">
                    <a:blip r:embed="rId5">
                      <a:extLst>
                        <a:ext uri="{28A0092B-C50C-407E-A947-70E740481C1C}">
                          <a14:useLocalDpi xmlns:a14="http://schemas.microsoft.com/office/drawing/2010/main" val="0"/>
                        </a:ext>
                      </a:extLst>
                    </a:blip>
                    <a:srcRect r="20996"/>
                    <a:stretch/>
                  </pic:blipFill>
                  <pic:spPr bwMode="auto">
                    <a:xfrm>
                      <a:off x="0" y="0"/>
                      <a:ext cx="3392170" cy="3438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Baskerville Old Face" w:hAnsi="Baskerville Old Face"/>
          <w:sz w:val="48"/>
        </w:rPr>
        <w:t>Créer une classe générique</w:t>
      </w:r>
      <w:r w:rsidRPr="00351FF1">
        <w:rPr>
          <w:noProof/>
        </w:rPr>
        <w:t xml:space="preserve"> </w:t>
      </w:r>
    </w:p>
    <w:p w:rsidR="00351FF1" w:rsidRDefault="00351FF1" w:rsidP="003F137D">
      <w:pPr>
        <w:rPr>
          <w:noProof/>
        </w:rPr>
      </w:pPr>
    </w:p>
    <w:p w:rsidR="00351FF1" w:rsidRDefault="00351FF1" w:rsidP="003F137D">
      <w:pPr>
        <w:rPr>
          <w:noProof/>
        </w:rPr>
      </w:pPr>
    </w:p>
    <w:p w:rsidR="00351FF1" w:rsidRPr="00351FF1" w:rsidRDefault="00351FF1" w:rsidP="003F137D">
      <w:pPr>
        <w:rPr>
          <w:rFonts w:ascii="Baskerville Old Face" w:hAnsi="Baskerville Old Face"/>
          <w:noProof/>
        </w:rPr>
      </w:pPr>
      <w:r>
        <w:rPr>
          <w:rFonts w:ascii="Baskerville Old Face" w:hAnsi="Baskerville Old Face"/>
          <w:sz w:val="28"/>
        </w:rPr>
        <w:t xml:space="preserve">On définit la classe </w:t>
      </w:r>
      <w:r w:rsidR="00C2003B">
        <w:rPr>
          <w:rFonts w:ascii="Baskerville Old Face" w:hAnsi="Baskerville Old Face"/>
          <w:sz w:val="28"/>
        </w:rPr>
        <w:t>en précisant que c’est une classe générique grâce aux chevrons et au T qui est une convention pour ‘Type’. Puis on lui assigne un attribut value qui est du type T correspondant. On peut ensuite dans le main créer une version ‘String’, une version ‘</w:t>
      </w:r>
      <w:proofErr w:type="spellStart"/>
      <w:r w:rsidR="00C2003B">
        <w:rPr>
          <w:rFonts w:ascii="Baskerville Old Face" w:hAnsi="Baskerville Old Face"/>
          <w:sz w:val="28"/>
        </w:rPr>
        <w:t>float</w:t>
      </w:r>
      <w:proofErr w:type="spellEnd"/>
      <w:r w:rsidR="00C2003B">
        <w:rPr>
          <w:rFonts w:ascii="Baskerville Old Face" w:hAnsi="Baskerville Old Face"/>
          <w:sz w:val="28"/>
        </w:rPr>
        <w:t xml:space="preserve">’, etc. de cette classe et cela fonctionne. </w:t>
      </w:r>
    </w:p>
    <w:p w:rsidR="00351FF1" w:rsidRDefault="00C2003B" w:rsidP="003F137D">
      <w:pPr>
        <w:rPr>
          <w:noProof/>
        </w:rPr>
      </w:pPr>
      <w:r w:rsidRPr="00351FF1">
        <w:rPr>
          <w:rFonts w:ascii="Baskerville Old Face" w:hAnsi="Baskerville Old Face"/>
          <w:sz w:val="40"/>
        </w:rPr>
        <w:drawing>
          <wp:anchor distT="0" distB="0" distL="114300" distR="114300" simplePos="0" relativeHeight="251660288" behindDoc="0" locked="0" layoutInCell="1" allowOverlap="1" wp14:anchorId="5BBBB5FB">
            <wp:simplePos x="0" y="0"/>
            <wp:positionH relativeFrom="page">
              <wp:posOffset>142874</wp:posOffset>
            </wp:positionH>
            <wp:positionV relativeFrom="paragraph">
              <wp:posOffset>-63500</wp:posOffset>
            </wp:positionV>
            <wp:extent cx="3951411" cy="4752975"/>
            <wp:effectExtent l="0" t="0" r="0" b="0"/>
            <wp:wrapSquare wrapText="bothSides"/>
            <wp:docPr id="1" name="Image 2">
              <a:extLst xmlns:a="http://schemas.openxmlformats.org/drawingml/2006/main">
                <a:ext uri="{FF2B5EF4-FFF2-40B4-BE49-F238E27FC236}">
                  <a16:creationId xmlns:a16="http://schemas.microsoft.com/office/drawing/2014/main" id="{A406CE86-8198-4601-B543-DA55C1E272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A406CE86-8198-4601-B543-DA55C1E272B8}"/>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959465" cy="4762663"/>
                    </a:xfrm>
                    <a:prstGeom prst="rect">
                      <a:avLst/>
                    </a:prstGeom>
                  </pic:spPr>
                </pic:pic>
              </a:graphicData>
            </a:graphic>
            <wp14:sizeRelH relativeFrom="margin">
              <wp14:pctWidth>0</wp14:pctWidth>
            </wp14:sizeRelH>
            <wp14:sizeRelV relativeFrom="margin">
              <wp14:pctHeight>0</wp14:pctHeight>
            </wp14:sizeRelV>
          </wp:anchor>
        </w:drawing>
      </w:r>
    </w:p>
    <w:p w:rsidR="00351FF1" w:rsidRDefault="00C2003B" w:rsidP="003F137D">
      <w:pPr>
        <w:rPr>
          <w:rFonts w:ascii="Baskerville Old Face" w:hAnsi="Baskerville Old Face"/>
          <w:sz w:val="28"/>
        </w:rPr>
      </w:pPr>
      <w:r>
        <w:rPr>
          <w:rFonts w:ascii="Baskerville Old Face" w:hAnsi="Baskerville Old Face"/>
          <w:sz w:val="28"/>
        </w:rPr>
        <w:t>On créer maintenant une méthode générique du type T qui va afficher un message et une value de type T.</w:t>
      </w:r>
    </w:p>
    <w:p w:rsidR="00C2003B" w:rsidRDefault="00C2003B" w:rsidP="003F137D">
      <w:pPr>
        <w:rPr>
          <w:noProof/>
        </w:rPr>
      </w:pPr>
      <w:r>
        <w:rPr>
          <w:rFonts w:ascii="Baskerville Old Face" w:hAnsi="Baskerville Old Face"/>
          <w:sz w:val="28"/>
        </w:rPr>
        <w:t>On teste ceci dans le main avec les type double, char, et int, et tout cela fonctionne bien.</w:t>
      </w:r>
      <w:bookmarkStart w:id="0" w:name="_GoBack"/>
      <w:bookmarkEnd w:id="0"/>
    </w:p>
    <w:p w:rsidR="00351FF1" w:rsidRDefault="00351FF1" w:rsidP="003F137D">
      <w:pPr>
        <w:rPr>
          <w:noProof/>
        </w:rPr>
      </w:pPr>
    </w:p>
    <w:p w:rsidR="00351FF1" w:rsidRDefault="00351FF1" w:rsidP="003F137D">
      <w:pPr>
        <w:rPr>
          <w:noProof/>
        </w:rPr>
      </w:pPr>
    </w:p>
    <w:p w:rsidR="00351FF1" w:rsidRDefault="00351FF1" w:rsidP="003F137D">
      <w:pPr>
        <w:rPr>
          <w:noProof/>
        </w:rPr>
      </w:pPr>
    </w:p>
    <w:p w:rsidR="00351FF1" w:rsidRDefault="00351FF1" w:rsidP="003F137D">
      <w:pPr>
        <w:rPr>
          <w:noProof/>
        </w:rPr>
      </w:pPr>
    </w:p>
    <w:p w:rsidR="00351FF1" w:rsidRDefault="00351FF1" w:rsidP="003F137D">
      <w:pPr>
        <w:rPr>
          <w:noProof/>
        </w:rPr>
      </w:pPr>
    </w:p>
    <w:p w:rsidR="00351FF1" w:rsidRDefault="00351FF1" w:rsidP="003F137D">
      <w:pPr>
        <w:rPr>
          <w:noProof/>
        </w:rPr>
      </w:pPr>
    </w:p>
    <w:p w:rsidR="00351FF1" w:rsidRPr="005B045A" w:rsidRDefault="00351FF1" w:rsidP="003F137D">
      <w:pPr>
        <w:rPr>
          <w:rFonts w:ascii="Baskerville Old Face" w:hAnsi="Baskerville Old Face"/>
          <w:sz w:val="40"/>
        </w:rPr>
      </w:pPr>
    </w:p>
    <w:p w:rsidR="00923AF4" w:rsidRPr="005B045A" w:rsidRDefault="00351FF1" w:rsidP="00923AF4">
      <w:pPr>
        <w:rPr>
          <w:rFonts w:ascii="Baskerville Old Face" w:hAnsi="Baskerville Old Face"/>
          <w:sz w:val="40"/>
        </w:rPr>
      </w:pPr>
      <w:r w:rsidRPr="00351FF1">
        <w:rPr>
          <w:rFonts w:ascii="Baskerville Old Face" w:hAnsi="Baskerville Old Face"/>
          <w:sz w:val="40"/>
        </w:rPr>
        <w:t xml:space="preserve"> </w:t>
      </w:r>
    </w:p>
    <w:sectPr w:rsidR="00923AF4" w:rsidRPr="005B045A" w:rsidSect="008906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07"/>
    <w:rsid w:val="00171B7E"/>
    <w:rsid w:val="00351FF1"/>
    <w:rsid w:val="003F137D"/>
    <w:rsid w:val="005B045A"/>
    <w:rsid w:val="00890607"/>
    <w:rsid w:val="00923AF4"/>
    <w:rsid w:val="00C2003B"/>
    <w:rsid w:val="00FA20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C0F4"/>
  <w15:chartTrackingRefBased/>
  <w15:docId w15:val="{62E9A2FE-9B4F-4343-8B54-BB168534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689</Words>
  <Characters>3790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dc:creator>
  <cp:keywords/>
  <dc:description/>
  <cp:lastModifiedBy>arnaud</cp:lastModifiedBy>
  <cp:revision>1</cp:revision>
  <dcterms:created xsi:type="dcterms:W3CDTF">2019-02-25T15:01:00Z</dcterms:created>
  <dcterms:modified xsi:type="dcterms:W3CDTF">2019-02-25T16:17:00Z</dcterms:modified>
</cp:coreProperties>
</file>