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8kdzqniykbp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 que é Técnica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Uma técnica é um procedimento que tem como objetivo a obtenção de um determinado resultado, seja na ciência, na tecnologia, na arte ou em qualquer outra área.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Por outras palavras, uma técnica é um conjunto de regras, normas ou protocolos que se utiliza como meio para chegar a uma certa meta.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3lbl1savis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 que  é Tecnologia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Tecnologia é o uso de técnicas e do conhecimento adquirido para aperfeiçoar e/ou facilitar o trabalho com a arte, a resolução de um problema ou a execução de uma tarefa específica.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gfqk1813ir7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Técnica X Tecnologia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“ Técnica está relacionada ao fazer, executar algo, enquanto que a tecnologia é o resultado das técnicas: ela engloba as técnicas, os conhecimentos de diversas fontes e tudo aquilo que o ser humano foi capaz de criar.”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aeafarn47yj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Componentes Tecnológicos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1"/>
          <w:szCs w:val="31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é a parte física de um computador, sendo a unidade responsável pelo processamento dos dados, ou seja, o equipamento.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1"/>
          <w:szCs w:val="31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é a parte responsável pela organização e metodologia no qual os dados serão processados ( ou seja o programa em si).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Dispositivos de Entrada: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Todo dispositivo que permite a entrada de dados (informação) no computador, como mouses, teclados, webcam ...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Processamento: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Central de processamento que controla o fluxo de funcionamento de toda a máquina.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1"/>
          <w:szCs w:val="31"/>
          <w:rtl w:val="0"/>
        </w:rPr>
        <w:t xml:space="preserve">Memória RAM - Memória de Acesso Aleatório: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Usado para guardar dados temporariamente, ou seja um  Armazenamento temporário (volátil):Os dados contidos na memória se perdem se a energia cair ou se o programa for fechado.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Dispositivos de Saída: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Todo dispositivo que permite a saída de dados ou informações processadas pelo computador, como o monitor (tela), auto falante (caixa de som), impressora...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Armazenamento Secundário: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É onde são armazenados dados “fisicamente”, como pen drives, HDs ...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Resumindo: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152900" cy="4886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275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u4fw0klp8gb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Refinar pesquisas na Web com a ferramenta Google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em mídias sociais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um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antes de uma palavra para pesquisar em mídias sociais. Por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@twitter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um preço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um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antes de um número. Por exemplo: câmera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$400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hashtags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00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uma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antes de uma palavra. Por exemplo: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#tbt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Excluir palavras da pesquisa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um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antes de uma palavra que você queira deixar de fora. Por exemplo, velocidade do Jaguar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–carro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uma correspondência exata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uma palavra ou frase entre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aspas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Por exemplo, o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"prédio mais alto do mundo"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dentro de um intervalo de números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entre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dois números. Por exemplo, câmera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$50..$100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Combinar pesquisas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entre cada consulta de pesquisa. Por exemplo, a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maratona OR corrida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um Site específico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"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" antes de um site ou domínio. Por exemplo,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site:youtube.com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site: .gov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Pesquisar por um tipo de Arquivo Específico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Coloque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filetype: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 o tipo de arquivo após o termo que deseja buscar. Por exemplo, Unipar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7"/>
          <w:szCs w:val="27"/>
          <w:rtl w:val="0"/>
        </w:rPr>
        <w:t xml:space="preserve">filetype:pdf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Pesquisas via Imagem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78155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143250" cy="2600325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2330775</wp:posOffset>
            </wp:positionH>
            <wp:positionV relativeFrom="paragraph">
              <wp:posOffset>114300</wp:posOffset>
            </wp:positionV>
            <wp:extent cx="3400425" cy="1314450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wlkrier9zak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Gmail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2667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Enviar Mensagens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1612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Adicionar Destinatários (Cc)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Qualquer pessoa nesse campo verá os outros destinatários da mensagem, o campo "Cc" muitas vezes é usado para adicionar a um e-mail destinatários que não precisam realizar ações, mas apenas tomar ciência de algo.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Ocultar Destinatários (Cco)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destinatários não saberão que você adicionou alguém a "Cco."</w:t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Todos os destinatários adicionados ao campo "Cco" verão que foram adicionados usando o campo "Cco". Eles também verão os destinatários da mensagem nos campos "Para" e "Cc".</w:t>
      </w:r>
    </w:p>
    <w:p w:rsidR="00000000" w:rsidDel="00000000" w:rsidP="00000000" w:rsidRDefault="00000000" w:rsidRPr="00000000" w14:paraId="0000005A">
      <w:pPr>
        <w:ind w:left="0"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As pessoas que você adicionar ao campo "Cco" não verão o nome nem o endereço de e-mail das outras pessoas adicionadas a esse campo, se alguém responder a todos na mensagem, as pessoas no campo "Cco" não verão a resposta.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Tipos de grupos: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 você precisa enviar um e-mail para várias pessoas, também será possível criar um grupo.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Lista de e-mails: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os participantes se comunicam usando um único endereço de e-mail.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Fórum da Web: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os participantes se comunicam usando o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Grupos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do Google.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Fórum de perguntas e respostas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os participantes fazem perguntas e respondem às perguntas uns dos outros.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Caixa de entrada de colaboração: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os participantes atribuem tópicos uns aos outros e rastreiam os tópicos como tarefas.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401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222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Opções de Formatação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Estão disponíveis cores, fontes, estilo de texto (negrito, itálico, sublinhado)...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953000" cy="1143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