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shd w:fill="ffff00" w:val="clea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shd w:fill="ffff00"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shd w:fill="ffff00" w:val="clea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adecuadamente las estructuras gramaticales y el vocabulario pertinentes al tema.</w:t>
            </w:r>
            <w:r w:rsidDel="00000000" w:rsidR="00000000" w:rsidRPr="00000000">
              <w:rPr>
                <w:rtl w:val="0"/>
              </w:rPr>
            </w:r>
          </w:p>
        </w:tc>
        <w:tc>
          <w:tcPr>
            <w:shd w:fill="ffff00" w:val="clea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3q9Dy2MLzoPZfA7OQDMd227bg==">CgMxLjA4AHIhMUVBeXdUTUlPYlBTZFdXbm5CRUJaQWdia3NMSlVvblZz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